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0"/>
        </w:rPr>
      </w:pPr>
      <w:r>
        <w:rPr>
          <w:rFonts w:ascii="Times New Roman;serif" w:hAnsi="Times New Roman;serif"/>
          <w:b/>
          <w:color w:val="000000"/>
          <w:sz w:val="40"/>
        </w:rPr>
        <w:t>FORM 8-K</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Securities Exchange Act of 1934</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Wealthfront Corporation</w:t>
      </w:r>
    </w:p>
    <w:p>
      <w:pPr>
        <w:pStyle w:val="TextBody"/>
        <w:bidi w:val="0"/>
        <w:spacing w:before="0" w:after="0"/>
        <w:jc w:val="center"/>
        <w:rPr/>
      </w:pPr>
      <w:r>
        <w:rPr/>
      </w:r>
    </w:p>
    <w:p>
      <w:pPr>
        <w:pStyle w:val="TextBody"/>
        <w:bidi w:val="0"/>
        <w:spacing w:lineRule="auto" w:line="288" w:before="0" w:after="4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140" w:type="dxa"/>
        <w:jc w:val="left"/>
        <w:tblInd w:w="0" w:type="dxa"/>
        <w:tblLayout w:type="fixed"/>
        <w:tblCellMar>
          <w:top w:w="28" w:type="dxa"/>
          <w:left w:w="28" w:type="dxa"/>
          <w:bottom w:w="28" w:type="dxa"/>
          <w:right w:w="28" w:type="dxa"/>
        </w:tblCellMar>
      </w:tblPr>
      <w:tblGrid>
        <w:gridCol w:w="710"/>
        <w:gridCol w:w="623"/>
        <w:gridCol w:w="632"/>
        <w:gridCol w:w="109"/>
        <w:gridCol w:w="109"/>
        <w:gridCol w:w="109"/>
        <w:gridCol w:w="354"/>
        <w:gridCol w:w="354"/>
        <w:gridCol w:w="358"/>
        <w:gridCol w:w="109"/>
        <w:gridCol w:w="109"/>
        <w:gridCol w:w="109"/>
        <w:gridCol w:w="425"/>
        <w:gridCol w:w="425"/>
        <w:gridCol w:w="605"/>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20-8280144</w:t>
            </w:r>
          </w:p>
        </w:tc>
      </w:tr>
      <w:tr>
        <w:trPr/>
        <w:tc>
          <w:tcPr>
            <w:tcW w:w="1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bl>
    <w:tbl>
      <w:tblPr>
        <w:tblW w:w="4180" w:type="dxa"/>
        <w:jc w:val="left"/>
        <w:tblInd w:w="0" w:type="dxa"/>
        <w:tblLayout w:type="fixed"/>
        <w:tblCellMar>
          <w:top w:w="28" w:type="dxa"/>
          <w:left w:w="28" w:type="dxa"/>
          <w:bottom w:w="28" w:type="dxa"/>
          <w:right w:w="28" w:type="dxa"/>
        </w:tblCellMar>
      </w:tblPr>
      <w:tblGrid>
        <w:gridCol w:w="1058"/>
        <w:gridCol w:w="930"/>
        <w:gridCol w:w="936"/>
        <w:gridCol w:w="109"/>
        <w:gridCol w:w="109"/>
        <w:gridCol w:w="109"/>
        <w:gridCol w:w="272"/>
        <w:gridCol w:w="272"/>
        <w:gridCol w:w="385"/>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261 Hamilton Avenue</w:t>
            </w:r>
          </w:p>
          <w:p>
            <w:pPr>
              <w:pStyle w:val="TableContents"/>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Palo Alto,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94301</w:t>
            </w:r>
          </w:p>
        </w:tc>
      </w:tr>
      <w:tr>
        <w:trPr/>
        <w:tc>
          <w:tcPr>
            <w:tcW w:w="29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(844) 995-8437</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36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p>
      <w:pPr>
        <w:pStyle w:val="TextBody"/>
        <w:bidi w:val="0"/>
        <w:spacing w:lineRule="auto" w:line="333"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tbl>
      <w:tblPr>
        <w:tblW w:w="7980" w:type="dxa"/>
        <w:jc w:val="left"/>
        <w:tblInd w:w="0" w:type="dxa"/>
        <w:tblLayout w:type="fixed"/>
        <w:tblCellMar>
          <w:top w:w="28" w:type="dxa"/>
          <w:left w:w="28" w:type="dxa"/>
          <w:bottom w:w="28" w:type="dxa"/>
          <w:right w:w="28" w:type="dxa"/>
        </w:tblCellMar>
      </w:tblPr>
      <w:tblGrid>
        <w:gridCol w:w="1208"/>
        <w:gridCol w:w="1061"/>
        <w:gridCol w:w="1061"/>
        <w:gridCol w:w="475"/>
        <w:gridCol w:w="475"/>
        <w:gridCol w:w="475"/>
        <w:gridCol w:w="945"/>
        <w:gridCol w:w="945"/>
        <w:gridCol w:w="1335"/>
      </w:tblGrid>
      <w:tr>
        <w:trPr/>
        <w:tc>
          <w:tcPr>
            <w:tcW w:w="120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79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 $0.0001 par value per share</w:t>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WLTH</w:t>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587"/>
        <w:gridCol w:w="3118"/>
        <w:gridCol w:w="3127"/>
        <w:gridCol w:w="109"/>
        <w:gridCol w:w="109"/>
        <w:gridCol w:w="155"/>
      </w:tblGrid>
      <w:tr>
        <w:trPr/>
        <w:tc>
          <w:tcPr>
            <w:tcW w:w="3587"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20, 2026, the Board of Directors of Wealthfront Corporation (the “Company”) approved the repurchase of up to an additional $150.0 million of the Company’s common stock under the Company’s share repurchase program. This authorization is an increase to the existing $100.0 million repurchase authorization, which was originally approved by the Company’s Board of Directors in March 2026, of which approximately $18.3 million remained available as of October 20,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Repurchases under the program may be made in the open market, in privately negotiated transactions, or by other methods, with the amount and timing of repurchases to be determined at the Company’s discretion, depending on market conditions and corporate needs. Open market repurchases will be structured to occur in accordance with applicable federal and state securities laws, including within the pricing and volume conditions of Rule 10b-18 under the Securities Exchange Act of 1934, as amended. The Company may also, from time to time, enter into Rule 10b5-1 plans to facilitate repurchases of its shares under this authorization. This program does not obligate the Company to repurchase any particular dollar amount or number of shares of common stock and may be modified, suspended, or terminated at any time at the discretion of the Company’s Board of Directors. The Company expects to fund repurchases with existing cash and cash equivalents and ongoing cash from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Form 8-K contains forward-looking statements within the meaning of the Private Securities Litigation Reform Act of 1995. All statements contained in this Form 8-K that do not relate to matters of historical fact should be considered forward-looking statements, including without limitation statements regarding the amount, timing and sources of funding for the share repurchase program. These statements are neither promises nor guarantees, but involve known and unknown risks, uncertainties and other important factors that may cause actual events or results to differ materially from those expressed or implied by the forward-looking statements, including, but not limited to, risks relating to the fact that common stock repurchases may not be conducted in the timeframe or in the manner the Company expects, or at all, and the important factors discussed under the caption “Risk Factors” in the Company’s Quarterly Report on Form 10-Q for the quarter ended July 31, 2026, filed with the Securities and Exchange Commission on September 14, 2026, and the Company’s other filings with the Securities and Exchange Commission. These factors could cause actual results to differ materially from those indicated by the forward-looking statements made in this Form 8-K. Any such forward-looking statements represent management’s estimates as of the date of this Form 8-K. While the Company may elect to update such forward-looking statements at some point in the future, the Company disclaims any obligation to do so, even if subsequent events cause its views to 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9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642"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356"/>
        <w:gridCol w:w="356"/>
        <w:gridCol w:w="356"/>
        <w:gridCol w:w="729"/>
        <w:gridCol w:w="729"/>
        <w:gridCol w:w="104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20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Wealthfront Corporation</w:t>
            </w:r>
          </w:p>
        </w:tc>
      </w:tr>
      <w:tr>
        <w:trPr/>
        <w:tc>
          <w:tcPr>
            <w:tcW w:w="564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c>
          <w:tcPr>
            <w:tcW w:w="10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Alan Imberman</w:t>
            </w:r>
          </w:p>
        </w:tc>
      </w:tr>
      <w:tr>
        <w:trPr/>
        <w:tc>
          <w:tcPr>
            <w:tcW w:w="3137" w:type="dxa"/>
            <w:gridSpan w:val="9"/>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Alan Imberman</w:t>
            </w:r>
          </w:p>
        </w:tc>
      </w:tr>
      <w:tr>
        <w:trPr/>
        <w:tc>
          <w:tcPr>
            <w:tcW w:w="3137" w:type="dxa"/>
            <w:gridSpan w:val="9"/>
            <w:vMerge w:val="continue"/>
            <w:tcBorders/>
            <w:tcMar>
              <w:top w:w="0" w:type="dxa"/>
              <w:left w:w="0" w:type="dxa"/>
              <w:bottom w:w="0" w:type="dxa"/>
              <w:right w:w="0" w:type="dxa"/>
            </w:tcMar>
            <w:vAlign w:val="center"/>
          </w:tcPr>
          <w:p>
            <w:pPr>
              <w:pStyle w:val="Normal"/>
              <w:bidi w:val="0"/>
              <w:jc w:val="left"/>
              <w:rPr/>
            </w:pPr>
            <w:r>
              <w:rPr/>
            </w:r>
          </w:p>
        </w:tc>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824</Words>
  <Characters>4574</Characters>
  <CharactersWithSpaces>5339</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