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780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7805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Wetterwald Julien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80"/>
        <w:spacing w:after="0" w:line="328" w:lineRule="auto"/>
        <w:rPr>
          <w:sz w:val="20"/>
          <w:szCs w:val="20"/>
          <w:color w:val="auto"/>
        </w:rPr>
      </w:pPr>
      <w:r>
        <w:rPr>
          <w:rFonts w:ascii="Times New Roman" w:cs="Times New Roman" w:eastAsia="Times New Roman" w:hAnsi="Times New Roman"/>
          <w:sz w:val="16"/>
          <w:szCs w:val="16"/>
          <w:color w:val="0000FF"/>
        </w:rPr>
        <w:t>C/O WEALTHFRONT CORPORATION 261 HAMILTON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WEALTHFRONT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WLTH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8"/>
          </w:tcPr>
          <w:p>
            <w:pPr>
              <w:jc w:val="center"/>
              <w:ind w:right="28"/>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94301</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jc w:val="center"/>
              <w:ind w:left="62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20,525</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750,077</w:t>
            </w:r>
            <w:r>
              <w:rPr>
                <w:rFonts w:ascii="Times New Roman" w:cs="Times New Roman" w:eastAsia="Times New Roman" w:hAnsi="Times New Roman"/>
                <w:sz w:val="21"/>
                <w:szCs w:val="21"/>
                <w:color w:val="008000"/>
                <w:w w:val="94"/>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20,388</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770,465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21,113</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791,578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80" w:type="dxa"/>
            <w:vAlign w:val="bottom"/>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19,000</w:t>
            </w:r>
          </w:p>
        </w:tc>
        <w:tc>
          <w:tcPr>
            <w:tcW w:w="5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810,578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629"/>
              <w:spacing w:after="0"/>
              <w:rPr>
                <w:sz w:val="20"/>
                <w:szCs w:val="20"/>
                <w:color w:val="auto"/>
              </w:rPr>
            </w:pPr>
            <w:r>
              <w:rPr>
                <w:rFonts w:ascii="Times New Roman" w:cs="Times New Roman" w:eastAsia="Times New Roman" w:hAnsi="Times New Roman"/>
                <w:sz w:val="17"/>
                <w:szCs w:val="17"/>
                <w:color w:val="0000FF"/>
              </w:rPr>
              <w:t>06/15/2026</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43,716</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766,862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220" w:type="dxa"/>
            <w:vAlign w:val="bottom"/>
          </w:tcPr>
          <w:p>
            <w:pPr>
              <w:spacing w:after="0"/>
              <w:rPr>
                <w:sz w:val="15"/>
                <w:szCs w:val="15"/>
                <w:color w:val="auto"/>
              </w:rPr>
            </w:pPr>
          </w:p>
        </w:tc>
        <w:tc>
          <w:tcPr>
            <w:tcW w:w="48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20,525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20,525</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40"/>
              <w:spacing w:after="0" w:line="129"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220" w:type="dxa"/>
            <w:vAlign w:val="bottom"/>
          </w:tcPr>
          <w:p>
            <w:pPr>
              <w:spacing w:after="0"/>
              <w:rPr>
                <w:sz w:val="15"/>
                <w:szCs w:val="15"/>
                <w:color w:val="auto"/>
              </w:rPr>
            </w:pPr>
          </w:p>
        </w:tc>
        <w:tc>
          <w:tcPr>
            <w:tcW w:w="48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20,388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20,388</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122,325</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220" w:type="dxa"/>
            <w:vAlign w:val="bottom"/>
          </w:tcPr>
          <w:p>
            <w:pPr>
              <w:spacing w:after="0"/>
              <w:rPr>
                <w:sz w:val="15"/>
                <w:szCs w:val="15"/>
                <w:color w:val="auto"/>
              </w:rPr>
            </w:pPr>
          </w:p>
        </w:tc>
        <w:tc>
          <w:tcPr>
            <w:tcW w:w="48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21,113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21,113</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40"/>
              <w:spacing w:after="0" w:line="129" w:lineRule="exact"/>
              <w:rPr>
                <w:sz w:val="20"/>
                <w:szCs w:val="20"/>
                <w:color w:val="auto"/>
              </w:rPr>
            </w:pPr>
            <w:r>
              <w:rPr>
                <w:rFonts w:ascii="Times New Roman" w:cs="Times New Roman" w:eastAsia="Times New Roman" w:hAnsi="Times New Roman"/>
                <w:sz w:val="13"/>
                <w:szCs w:val="13"/>
                <w:color w:val="0000FF"/>
                <w:w w:val="99"/>
              </w:rPr>
              <w:t>211,125</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220" w:type="dxa"/>
            <w:vAlign w:val="bottom"/>
          </w:tcPr>
          <w:p>
            <w:pPr>
              <w:spacing w:after="0"/>
              <w:rPr>
                <w:sz w:val="15"/>
                <w:szCs w:val="15"/>
                <w:color w:val="auto"/>
              </w:rPr>
            </w:pPr>
          </w:p>
        </w:tc>
        <w:tc>
          <w:tcPr>
            <w:tcW w:w="480" w:type="dxa"/>
            <w:vAlign w:val="bottom"/>
            <w:vMerge w:val="restart"/>
          </w:tcPr>
          <w:p>
            <w:pPr>
              <w:jc w:val="center"/>
              <w:ind w:right="173"/>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19,000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line="129" w:lineRule="exact"/>
              <w:rPr>
                <w:sz w:val="20"/>
                <w:szCs w:val="20"/>
                <w:color w:val="auto"/>
              </w:rPr>
            </w:pPr>
            <w:r>
              <w:rPr>
                <w:rFonts w:ascii="Times New Roman" w:cs="Times New Roman" w:eastAsia="Times New Roman" w:hAnsi="Times New Roman"/>
                <w:sz w:val="13"/>
                <w:szCs w:val="13"/>
                <w:color w:val="0000FF"/>
              </w:rPr>
              <w:t>19,000</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ind w:right="2"/>
              <w:spacing w:after="0" w:line="129" w:lineRule="exact"/>
              <w:rPr>
                <w:sz w:val="20"/>
                <w:szCs w:val="20"/>
                <w:color w:val="auto"/>
              </w:rPr>
            </w:pPr>
            <w:r>
              <w:rPr>
                <w:rFonts w:ascii="Times New Roman" w:cs="Times New Roman" w:eastAsia="Times New Roman" w:hAnsi="Times New Roman"/>
                <w:sz w:val="13"/>
                <w:szCs w:val="13"/>
                <w:color w:val="0000FF"/>
                <w:w w:val="99"/>
              </w:rPr>
              <w:t>266,000</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-3069590</wp:posOffset>
            </wp:positionV>
            <wp:extent cx="29210" cy="3074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74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2,500 shares of Class A Common Stock acquired by the reporting person in one or more transactions with Issuer pursuant to its Employee Stock Purchase Plan, which transactions are exempt pursuant to Rules 16a3(f)(1)(i)(B) and 16b3(c).</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represents the number of shares of Common Stock withheld by the Issuer to satisfy tax withholding liabilities in connection with the net settlement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September, December, March, and June, subject to the reporting person's continued service to the Issuer on each vesting date, with the first tranche vested on September 15, 2022.</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do not expire; they either vest or are cancelled prior to the vesting date.</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March, June, September, and December, subject to the reporting person's continued service to the Issuer on each vesting date, with the first tranche vested on March 15, 2024.</w:t>
      </w:r>
    </w:p>
    <w:p>
      <w:pPr>
        <w:spacing w:after="0" w:line="16"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March, June, September, and December, subject to the reporting person's continued service to the Issuer on each vesting date, with the first tranche vested on March 15, 2025.</w:t>
      </w:r>
    </w:p>
    <w:p>
      <w:pPr>
        <w:spacing w:after="0" w:line="16"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award vested or vests as to 1/16 of the total award quarterly on the fifteenth calendar day of March, June, September, and December, subject to the reporting person's continued service to the Issuer on each vesting date, with the first tranche vested on March 15, 2026.</w:t>
      </w:r>
    </w:p>
    <w:p>
      <w:pPr>
        <w:sectPr>
          <w:pgSz w:w="11900" w:h="16838" w:orient="portrait"/>
          <w:cols w:equalWidth="0" w:num="1">
            <w:col w:w="11080"/>
          </w:cols>
          <w:pgMar w:left="460" w:top="217" w:right="359" w:bottom="0" w:gutter="0" w:footer="0" w:header="0"/>
          <w:type w:val="continuous"/>
        </w:sectPr>
      </w:pP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Lauren Lin, as Attorney-in-</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8580" TargetMode="External"/><Relationship Id="rId14" Type="http://schemas.openxmlformats.org/officeDocument/2006/relationships/hyperlink" Target="http://www.sec.gov/cgi-bin/browse-edgar?action=getcompany&amp;CIK=00015245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2026-06-17T15:24:10Z</dcterms:created>
  <dcterms:modified xsi:type="dcterms:W3CDTF">2026-06-17T15:24:10Z</dcterms:modified>
</cp:coreProperties>
</file>