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82026_080906.xml.htm"/>
      <w:bookmarkStart w:id="1" w:name="ksform409182026_0809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Imberman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WEALTHFRONT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261 HAMILTON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PALO ALTO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WEALTHFRONT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9"/>
        <w:gridCol w:w="902"/>
        <w:gridCol w:w="772"/>
        <w:gridCol w:w="599"/>
        <w:gridCol w:w="344"/>
        <w:gridCol w:w="919"/>
        <w:gridCol w:w="443"/>
        <w:gridCol w:w="924"/>
        <w:gridCol w:w="1143"/>
        <w:gridCol w:w="983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76,540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10.1034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396,970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pursuant to a Rule 10b5-1 trading plan adopted by the reporting person on June 12,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Lin,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82642" TargetMode="External"/><Relationship Id="rId5" Type="http://schemas.openxmlformats.org/officeDocument/2006/relationships/hyperlink" Target="http://www.sec.gov/cgi-bin/browse-edgar?action=getcompany&amp;CIK=00015245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3190</Characters>
  <CharactersWithSpaces>3708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