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172026_090340.xml.htm"/>
      <w:bookmarkStart w:id="1" w:name="ksform403172026_0903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Schmidt Michael Reed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WEALTHFRONT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261 HAMILTON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WEALTHFRONT CORP</w:t>
              </w:r>
            </w:hyperlink>
            <w:r>
              <w:rPr/>
              <w:t xml:space="preserve"> [ </w:t>
            </w:r>
            <w:r>
              <w:rPr>
                <w:rFonts w:ascii="Times;serif" w:hAnsi="Times;serif"/>
                <w:color w:val="0000FF"/>
                <w:sz w:val="24"/>
                <w:shd w:fill="FFFFFF" w:val="clear"/>
              </w:rPr>
              <w:t>WLTH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2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606"/>
        <w:gridCol w:w="906"/>
        <w:gridCol w:w="801"/>
        <w:gridCol w:w="891"/>
        <w:gridCol w:w="801"/>
        <w:gridCol w:w="801"/>
        <w:gridCol w:w="936"/>
        <w:gridCol w:w="831"/>
        <w:gridCol w:w="846"/>
      </w:tblGrid>
      <w:tr>
        <w:trPr>
          <w:tblHeader w:val="true"/>
        </w:trPr>
        <w:tc>
          <w:tcPr>
            <w:tcW w:w="125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1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31,889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09/26/2025</w:t>
            </w:r>
            <w:r>
              <w:rPr>
                <w:rFonts w:ascii="Times;serif" w:hAnsi="Times;serif"/>
                <w:color w:val="008000"/>
                <w:position w:val="7"/>
                <w:sz w:val="16"/>
                <w:sz w:val="20"/>
                <w:shd w:fill="FFFFFF" w:val="clear"/>
              </w:rPr>
              <w:t>(4)</w:t>
            </w:r>
            <w:r>
              <w:rPr/>
              <w:t xml:space="preserve"> </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34,014</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34,014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34,014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award vested or vests as to 1/16 of the total award quarterly on the fifteenth calendar day of March, June, September, and December, subject to the reporting person's continued service to the Issuer on each vesting date, with the first tranche vested on March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restricted stock units do not expire; they either vest or are cancelled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occurred prior to the Issuer's registration of a class of equity securities under Section 12 of the Securities Exchange Act of 1934, as amended, in connection with the Issuer's initial public offering. The transaction is reported herein pursuant to Rule 16a-2(a). The reported transaction is an exempt transaction with the Issuer and this restricted stock unit award was previously reported on the reporting person's Form 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1533" TargetMode="External"/><Relationship Id="rId5" Type="http://schemas.openxmlformats.org/officeDocument/2006/relationships/hyperlink" Target="http://www.sec.gov/cgi-bin/browse-edgar?action=getcompany&amp;CIK=00015245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746</Words>
  <Characters>3994</Characters>
  <CharactersWithSpaces>4660</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