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2400935</wp:posOffset>
            </wp:positionH>
            <wp:positionV relativeFrom="paragraph">
              <wp:posOffset>220345</wp:posOffset>
            </wp:positionV>
            <wp:extent cx="23545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4580" cy="571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2400935</wp:posOffset>
            </wp:positionH>
            <wp:positionV relativeFrom="paragraph">
              <wp:posOffset>143510</wp:posOffset>
            </wp:positionV>
            <wp:extent cx="23545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4580" cy="571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Exchange Act of 1934</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March 9, 2026</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Wealthfront Corporation</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2400935</wp:posOffset>
            </wp:positionH>
            <wp:positionV relativeFrom="paragraph">
              <wp:posOffset>320675</wp:posOffset>
            </wp:positionV>
            <wp:extent cx="23545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458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6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jc w:val="center"/>
              <w:ind w:right="23"/>
              <w:spacing w:after="0"/>
              <w:rPr>
                <w:sz w:val="20"/>
                <w:szCs w:val="20"/>
                <w:color w:val="auto"/>
              </w:rPr>
            </w:pPr>
            <w:r>
              <w:rPr>
                <w:rFonts w:ascii="Arial" w:cs="Arial" w:eastAsia="Arial" w:hAnsi="Arial"/>
                <w:sz w:val="12"/>
                <w:szCs w:val="12"/>
                <w:b w:val="1"/>
                <w:bCs w:val="1"/>
                <w:color w:val="auto"/>
                <w:w w:val="98"/>
              </w:rPr>
              <w:t>Delaware</w:t>
            </w:r>
          </w:p>
        </w:tc>
        <w:tc>
          <w:tcPr>
            <w:tcW w:w="80" w:type="dxa"/>
            <w:vAlign w:val="bottom"/>
          </w:tcPr>
          <w:p>
            <w:pPr>
              <w:spacing w:after="0"/>
              <w:rPr>
                <w:sz w:val="13"/>
                <w:szCs w:val="13"/>
                <w:color w:val="auto"/>
              </w:rPr>
            </w:pPr>
          </w:p>
        </w:tc>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001-42987</w:t>
            </w:r>
          </w:p>
        </w:tc>
        <w:tc>
          <w:tcPr>
            <w:tcW w:w="80" w:type="dxa"/>
            <w:vAlign w:val="bottom"/>
          </w:tcPr>
          <w:p>
            <w:pPr>
              <w:spacing w:after="0"/>
              <w:rPr>
                <w:sz w:val="13"/>
                <w:szCs w:val="13"/>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20-8280144</w:t>
            </w:r>
          </w:p>
        </w:tc>
        <w:tc>
          <w:tcPr>
            <w:tcW w:w="40" w:type="dxa"/>
            <w:vAlign w:val="bottom"/>
            <w:tcBorders>
              <w:bottom w:val="single" w:sz="8" w:color="auto"/>
            </w:tcBorders>
          </w:tcPr>
          <w:p>
            <w:pPr>
              <w:spacing w:after="0"/>
              <w:rPr>
                <w:sz w:val="13"/>
                <w:szCs w:val="13"/>
                <w:color w:val="auto"/>
              </w:rPr>
            </w:pPr>
          </w:p>
        </w:tc>
      </w:tr>
      <w:tr>
        <w:trPr>
          <w:trHeight w:val="268"/>
        </w:trPr>
        <w:tc>
          <w:tcPr>
            <w:tcW w:w="60" w:type="dxa"/>
            <w:vAlign w:val="bottom"/>
          </w:tcPr>
          <w:p>
            <w:pPr>
              <w:spacing w:after="0"/>
              <w:rPr>
                <w:sz w:val="23"/>
                <w:szCs w:val="23"/>
                <w:color w:val="auto"/>
              </w:rPr>
            </w:pPr>
          </w:p>
        </w:tc>
        <w:tc>
          <w:tcPr>
            <w:tcW w:w="3720" w:type="dxa"/>
            <w:vAlign w:val="bottom"/>
            <w:gridSpan w:val="2"/>
          </w:tcPr>
          <w:p>
            <w:pPr>
              <w:jc w:val="center"/>
              <w:ind w:right="160"/>
              <w:spacing w:after="0"/>
              <w:rPr>
                <w:sz w:val="20"/>
                <w:szCs w:val="20"/>
                <w:color w:val="auto"/>
              </w:rPr>
            </w:pPr>
            <w:r>
              <w:rPr>
                <w:rFonts w:ascii="Arial" w:cs="Arial" w:eastAsia="Arial" w:hAnsi="Arial"/>
                <w:sz w:val="11"/>
                <w:szCs w:val="11"/>
                <w:color w:val="auto"/>
                <w:w w:val="98"/>
              </w:rPr>
              <w:t>(State or other jurisdiction</w:t>
            </w:r>
          </w:p>
        </w:tc>
        <w:tc>
          <w:tcPr>
            <w:tcW w:w="3780" w:type="dxa"/>
            <w:vAlign w:val="bottom"/>
            <w:gridSpan w:val="4"/>
          </w:tcPr>
          <w:p>
            <w:pPr>
              <w:jc w:val="center"/>
              <w:ind w:right="80"/>
              <w:spacing w:after="0"/>
              <w:rPr>
                <w:sz w:val="20"/>
                <w:szCs w:val="20"/>
                <w:color w:val="auto"/>
              </w:rPr>
            </w:pPr>
            <w:r>
              <w:rPr>
                <w:rFonts w:ascii="Arial" w:cs="Arial" w:eastAsia="Arial" w:hAnsi="Arial"/>
                <w:sz w:val="11"/>
                <w:szCs w:val="11"/>
                <w:color w:val="auto"/>
                <w:w w:val="96"/>
              </w:rPr>
              <w:t>(Commission</w:t>
            </w:r>
          </w:p>
        </w:tc>
        <w:tc>
          <w:tcPr>
            <w:tcW w:w="3720" w:type="dxa"/>
            <w:vAlign w:val="bottom"/>
            <w:gridSpan w:val="2"/>
          </w:tcPr>
          <w:p>
            <w:pPr>
              <w:jc w:val="center"/>
              <w:spacing w:after="0"/>
              <w:rPr>
                <w:sz w:val="20"/>
                <w:szCs w:val="20"/>
                <w:color w:val="auto"/>
              </w:rPr>
            </w:pPr>
            <w:r>
              <w:rPr>
                <w:rFonts w:ascii="Arial" w:cs="Arial" w:eastAsia="Arial" w:hAnsi="Arial"/>
                <w:sz w:val="11"/>
                <w:szCs w:val="11"/>
                <w:color w:val="auto"/>
              </w:rPr>
              <w:t>(IRS Employer</w:t>
            </w:r>
          </w:p>
        </w:tc>
      </w:tr>
      <w:tr>
        <w:trPr>
          <w:trHeight w:val="142"/>
        </w:trPr>
        <w:tc>
          <w:tcPr>
            <w:tcW w:w="60" w:type="dxa"/>
            <w:vAlign w:val="bottom"/>
          </w:tcPr>
          <w:p>
            <w:pPr>
              <w:spacing w:after="0"/>
              <w:rPr>
                <w:sz w:val="12"/>
                <w:szCs w:val="12"/>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1"/>
                <w:szCs w:val="11"/>
                <w:color w:val="auto"/>
                <w:w w:val="98"/>
              </w:rPr>
              <w:t>of incorporation)</w:t>
            </w:r>
          </w:p>
        </w:tc>
        <w:tc>
          <w:tcPr>
            <w:tcW w:w="3780" w:type="dxa"/>
            <w:vAlign w:val="bottom"/>
            <w:gridSpan w:val="4"/>
          </w:tcPr>
          <w:p>
            <w:pPr>
              <w:jc w:val="center"/>
              <w:ind w:right="80"/>
              <w:spacing w:after="0"/>
              <w:rPr>
                <w:sz w:val="20"/>
                <w:szCs w:val="20"/>
                <w:color w:val="auto"/>
              </w:rPr>
            </w:pPr>
            <w:r>
              <w:rPr>
                <w:rFonts w:ascii="Arial" w:cs="Arial" w:eastAsia="Arial" w:hAnsi="Arial"/>
                <w:sz w:val="11"/>
                <w:szCs w:val="11"/>
                <w:color w:val="auto"/>
                <w:w w:val="97"/>
              </w:rPr>
              <w:t>File Number)</w:t>
            </w:r>
          </w:p>
        </w:tc>
        <w:tc>
          <w:tcPr>
            <w:tcW w:w="3720" w:type="dxa"/>
            <w:vAlign w:val="bottom"/>
            <w:gridSpan w:val="2"/>
          </w:tcPr>
          <w:p>
            <w:pPr>
              <w:jc w:val="center"/>
              <w:spacing w:after="0"/>
              <w:rPr>
                <w:sz w:val="20"/>
                <w:szCs w:val="20"/>
                <w:color w:val="auto"/>
              </w:rPr>
            </w:pPr>
            <w:r>
              <w:rPr>
                <w:rFonts w:ascii="Arial" w:cs="Arial" w:eastAsia="Arial" w:hAnsi="Arial"/>
                <w:sz w:val="11"/>
                <w:szCs w:val="11"/>
                <w:color w:val="auto"/>
                <w:w w:val="98"/>
              </w:rPr>
              <w:t>Identification No.)</w:t>
            </w:r>
          </w:p>
        </w:tc>
      </w:tr>
      <w:tr>
        <w:trPr>
          <w:trHeight w:val="376"/>
        </w:trPr>
        <w:tc>
          <w:tcPr>
            <w:tcW w:w="60" w:type="dxa"/>
            <w:vAlign w:val="bottom"/>
          </w:tcPr>
          <w:p>
            <w:pPr>
              <w:spacing w:after="0"/>
              <w:rPr>
                <w:sz w:val="24"/>
                <w:szCs w:val="24"/>
                <w:color w:val="auto"/>
              </w:rPr>
            </w:pPr>
          </w:p>
        </w:tc>
        <w:tc>
          <w:tcPr>
            <w:tcW w:w="3720" w:type="dxa"/>
            <w:vAlign w:val="bottom"/>
            <w:gridSpan w:val="2"/>
          </w:tcPr>
          <w:p>
            <w:pPr>
              <w:jc w:val="center"/>
              <w:ind w:left="1703"/>
              <w:spacing w:after="0"/>
              <w:rPr>
                <w:sz w:val="20"/>
                <w:szCs w:val="20"/>
                <w:color w:val="auto"/>
              </w:rPr>
            </w:pPr>
            <w:r>
              <w:rPr>
                <w:rFonts w:ascii="Arial" w:cs="Arial" w:eastAsia="Arial" w:hAnsi="Arial"/>
                <w:sz w:val="12"/>
                <w:szCs w:val="12"/>
                <w:b w:val="1"/>
                <w:bCs w:val="1"/>
                <w:color w:val="auto"/>
                <w:w w:val="98"/>
              </w:rPr>
              <w:t>261 Hamilton Avenue</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jc w:val="right"/>
              <w:ind w:right="2584"/>
              <w:spacing w:after="0"/>
              <w:rPr>
                <w:sz w:val="20"/>
                <w:szCs w:val="20"/>
                <w:color w:val="auto"/>
              </w:rPr>
            </w:pPr>
            <w:r>
              <w:rPr>
                <w:rFonts w:ascii="Arial" w:cs="Arial" w:eastAsia="Arial" w:hAnsi="Arial"/>
                <w:sz w:val="12"/>
                <w:szCs w:val="12"/>
                <w:b w:val="1"/>
                <w:bCs w:val="1"/>
                <w:color w:val="auto"/>
              </w:rPr>
              <w:t>94301</w:t>
            </w:r>
          </w:p>
        </w:tc>
        <w:tc>
          <w:tcPr>
            <w:tcW w:w="40" w:type="dxa"/>
            <w:vAlign w:val="bottom"/>
          </w:tcPr>
          <w:p>
            <w:pPr>
              <w:spacing w:after="0"/>
              <w:rPr>
                <w:sz w:val="24"/>
                <w:szCs w:val="24"/>
                <w:color w:val="auto"/>
              </w:rPr>
            </w:pPr>
          </w:p>
        </w:tc>
      </w:tr>
      <w:tr>
        <w:trPr>
          <w:trHeight w:val="170"/>
        </w:trPr>
        <w:tc>
          <w:tcPr>
            <w:tcW w:w="60" w:type="dxa"/>
            <w:vAlign w:val="bottom"/>
          </w:tcPr>
          <w:p>
            <w:pPr>
              <w:spacing w:after="0"/>
              <w:rPr>
                <w:sz w:val="14"/>
                <w:szCs w:val="14"/>
                <w:color w:val="auto"/>
              </w:rPr>
            </w:pPr>
          </w:p>
        </w:tc>
        <w:tc>
          <w:tcPr>
            <w:tcW w:w="3720" w:type="dxa"/>
            <w:vAlign w:val="bottom"/>
            <w:tcBorders>
              <w:bottom w:val="single" w:sz="8" w:color="auto"/>
            </w:tcBorders>
            <w:gridSpan w:val="2"/>
          </w:tcPr>
          <w:p>
            <w:pPr>
              <w:jc w:val="center"/>
              <w:ind w:left="1683"/>
              <w:spacing w:after="0"/>
              <w:rPr>
                <w:sz w:val="20"/>
                <w:szCs w:val="20"/>
                <w:color w:val="auto"/>
              </w:rPr>
            </w:pPr>
            <w:r>
              <w:rPr>
                <w:rFonts w:ascii="Arial" w:cs="Arial" w:eastAsia="Arial" w:hAnsi="Arial"/>
                <w:sz w:val="12"/>
                <w:szCs w:val="12"/>
                <w:b w:val="1"/>
                <w:bCs w:val="1"/>
                <w:color w:val="auto"/>
                <w:w w:val="99"/>
              </w:rPr>
              <w:t>Palo Alto, California</w:t>
            </w:r>
          </w:p>
        </w:tc>
        <w:tc>
          <w:tcPr>
            <w:tcW w:w="1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60" w:type="dxa"/>
            <w:vAlign w:val="bottom"/>
          </w:tcPr>
          <w:p>
            <w:pPr>
              <w:spacing w:after="0"/>
              <w:rPr>
                <w:sz w:val="14"/>
                <w:szCs w:val="14"/>
                <w:color w:val="auto"/>
              </w:rPr>
            </w:pPr>
          </w:p>
        </w:tc>
        <w:tc>
          <w:tcPr>
            <w:tcW w:w="3720" w:type="dxa"/>
            <w:vAlign w:val="bottom"/>
            <w:gridSpan w:val="2"/>
          </w:tcPr>
          <w:p>
            <w:pPr>
              <w:jc w:val="center"/>
              <w:ind w:left="1703"/>
              <w:spacing w:after="0"/>
              <w:rPr>
                <w:sz w:val="20"/>
                <w:szCs w:val="20"/>
                <w:color w:val="auto"/>
              </w:rPr>
            </w:pPr>
            <w:r>
              <w:rPr>
                <w:rFonts w:ascii="Arial" w:cs="Arial" w:eastAsia="Arial" w:hAnsi="Arial"/>
                <w:sz w:val="11"/>
                <w:szCs w:val="11"/>
                <w:color w:val="auto"/>
                <w:w w:val="97"/>
              </w:rPr>
              <w:t>(Address of principal executive offices)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2"/>
          </w:tcPr>
          <w:p>
            <w:pPr>
              <w:jc w:val="center"/>
              <w:ind w:right="1980"/>
              <w:spacing w:after="0"/>
              <w:rPr>
                <w:sz w:val="20"/>
                <w:szCs w:val="20"/>
                <w:color w:val="auto"/>
              </w:rPr>
            </w:pPr>
            <w:r>
              <w:rPr>
                <w:rFonts w:ascii="Arial" w:cs="Arial" w:eastAsia="Arial" w:hAnsi="Arial"/>
                <w:sz w:val="11"/>
                <w:szCs w:val="11"/>
                <w:color w:val="auto"/>
                <w:w w:val="96"/>
              </w:rPr>
              <w:t>(Zip Code)</w:t>
            </w:r>
          </w:p>
        </w:tc>
      </w:tr>
      <w:tr>
        <w:trPr>
          <w:trHeight w:val="506"/>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(844) 995-8437</w:t>
            </w: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4"/>
          </w:tcPr>
          <w:p>
            <w:pPr>
              <w:jc w:val="center"/>
              <w:ind w:right="60"/>
              <w:spacing w:after="0"/>
              <w:rPr>
                <w:sz w:val="20"/>
                <w:szCs w:val="20"/>
                <w:color w:val="auto"/>
              </w:rPr>
            </w:pPr>
            <w:r>
              <w:rPr>
                <w:rFonts w:ascii="Arial" w:cs="Arial" w:eastAsia="Arial" w:hAnsi="Arial"/>
                <w:sz w:val="11"/>
                <w:szCs w:val="11"/>
                <w:color w:val="auto"/>
                <w:w w:val="97"/>
              </w:rPr>
              <w:t>(Registrant’s telephone number, including area code)</w:t>
            </w:r>
          </w:p>
        </w:tc>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1"/>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Not Applicable</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4"/>
          </w:tcPr>
          <w:p>
            <w:pPr>
              <w:jc w:val="center"/>
              <w:ind w:right="60"/>
              <w:spacing w:after="0"/>
              <w:rPr>
                <w:sz w:val="20"/>
                <w:szCs w:val="20"/>
                <w:color w:val="auto"/>
              </w:rPr>
            </w:pPr>
            <w:r>
              <w:rPr>
                <w:rFonts w:ascii="Arial" w:cs="Arial" w:eastAsia="Arial" w:hAnsi="Arial"/>
                <w:sz w:val="11"/>
                <w:szCs w:val="11"/>
                <w:color w:val="auto"/>
                <w:w w:val="98"/>
              </w:rPr>
              <w:t>(Former name or former address, if changed since last report)</w:t>
            </w:r>
          </w:p>
        </w:tc>
        <w:tc>
          <w:tcPr>
            <w:tcW w:w="368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20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616"/>
        <w:spacing w:after="0"/>
        <w:tabs>
          <w:tab w:leader="none" w:pos="6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97" w:lineRule="exact"/>
        <w:rPr>
          <w:rFonts w:ascii="MS PGothic" w:cs="MS PGothic" w:eastAsia="MS PGothic" w:hAnsi="MS PGothic"/>
          <w:sz w:val="11"/>
          <w:szCs w:val="11"/>
          <w:color w:val="auto"/>
        </w:rPr>
      </w:pPr>
    </w:p>
    <w:p>
      <w:pPr>
        <w:ind w:left="620" w:hanging="616"/>
        <w:spacing w:after="0"/>
        <w:tabs>
          <w:tab w:leader="none" w:pos="6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97" w:lineRule="exact"/>
        <w:rPr>
          <w:rFonts w:ascii="MS PGothic" w:cs="MS PGothic" w:eastAsia="MS PGothic" w:hAnsi="MS PGothic"/>
          <w:sz w:val="11"/>
          <w:szCs w:val="11"/>
          <w:color w:val="auto"/>
        </w:rPr>
      </w:pPr>
    </w:p>
    <w:p>
      <w:pPr>
        <w:ind w:left="620" w:hanging="616"/>
        <w:spacing w:after="0"/>
        <w:tabs>
          <w:tab w:leader="none" w:pos="6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97" w:lineRule="exact"/>
        <w:rPr>
          <w:rFonts w:ascii="MS PGothic" w:cs="MS PGothic" w:eastAsia="MS PGothic" w:hAnsi="MS PGothic"/>
          <w:sz w:val="11"/>
          <w:szCs w:val="11"/>
          <w:color w:val="auto"/>
        </w:rPr>
      </w:pPr>
    </w:p>
    <w:p>
      <w:pPr>
        <w:ind w:left="620" w:hanging="616"/>
        <w:spacing w:after="0"/>
        <w:tabs>
          <w:tab w:leader="none" w:pos="6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3660" w:type="dxa"/>
            <w:vAlign w:val="bottom"/>
          </w:tcPr>
          <w:p>
            <w:pPr>
              <w:spacing w:after="0"/>
              <w:rPr>
                <w:sz w:val="10"/>
                <w:szCs w:val="10"/>
                <w:color w:val="auto"/>
              </w:rPr>
            </w:pPr>
          </w:p>
        </w:tc>
        <w:tc>
          <w:tcPr>
            <w:tcW w:w="4000" w:type="dxa"/>
            <w:vAlign w:val="bottom"/>
          </w:tcPr>
          <w:p>
            <w:pPr>
              <w:jc w:val="center"/>
              <w:spacing w:after="0"/>
              <w:rPr>
                <w:sz w:val="20"/>
                <w:szCs w:val="20"/>
                <w:color w:val="auto"/>
              </w:rPr>
            </w:pPr>
            <w:r>
              <w:rPr>
                <w:rFonts w:ascii="Arial" w:cs="Arial" w:eastAsia="Arial" w:hAnsi="Arial"/>
                <w:sz w:val="10"/>
                <w:szCs w:val="10"/>
                <w:color w:val="auto"/>
                <w:w w:val="96"/>
              </w:rPr>
              <w:t>Securities registered pursuant to Section 12(b) of the Act:</w:t>
            </w:r>
          </w:p>
        </w:tc>
        <w:tc>
          <w:tcPr>
            <w:tcW w:w="3640" w:type="dxa"/>
            <w:vAlign w:val="bottom"/>
          </w:tcPr>
          <w:p>
            <w:pPr>
              <w:spacing w:after="0"/>
              <w:rPr>
                <w:sz w:val="10"/>
                <w:szCs w:val="10"/>
                <w:color w:val="auto"/>
              </w:rPr>
            </w:pPr>
          </w:p>
        </w:tc>
      </w:tr>
      <w:tr>
        <w:trPr>
          <w:trHeight w:val="160"/>
        </w:trPr>
        <w:tc>
          <w:tcPr>
            <w:tcW w:w="3660" w:type="dxa"/>
            <w:vAlign w:val="bottom"/>
            <w:tcBorders>
              <w:bottom w:val="single" w:sz="8" w:color="auto"/>
            </w:tcBorders>
          </w:tcPr>
          <w:p>
            <w:pPr>
              <w:jc w:val="center"/>
              <w:ind w:left="52"/>
              <w:spacing w:after="0"/>
              <w:rPr>
                <w:sz w:val="20"/>
                <w:szCs w:val="20"/>
                <w:color w:val="auto"/>
              </w:rPr>
            </w:pPr>
            <w:r>
              <w:rPr>
                <w:rFonts w:ascii="Arial" w:cs="Arial" w:eastAsia="Arial" w:hAnsi="Arial"/>
                <w:sz w:val="10"/>
                <w:szCs w:val="10"/>
                <w:color w:val="auto"/>
                <w:w w:val="94"/>
              </w:rPr>
              <w:t>Title of each class</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Trading Symbol(s)</w:t>
            </w:r>
          </w:p>
        </w:tc>
        <w:tc>
          <w:tcPr>
            <w:tcW w:w="364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color w:val="auto"/>
                <w:w w:val="95"/>
              </w:rPr>
              <w:t>Name of each exchange on which registered</w:t>
            </w:r>
          </w:p>
        </w:tc>
      </w:tr>
      <w:tr>
        <w:trPr>
          <w:trHeight w:val="139"/>
        </w:trPr>
        <w:tc>
          <w:tcPr>
            <w:tcW w:w="3660" w:type="dxa"/>
            <w:vAlign w:val="bottom"/>
          </w:tcPr>
          <w:p>
            <w:pPr>
              <w:jc w:val="center"/>
              <w:ind w:left="52"/>
              <w:spacing w:after="0"/>
              <w:rPr>
                <w:sz w:val="20"/>
                <w:szCs w:val="20"/>
                <w:color w:val="auto"/>
              </w:rPr>
            </w:pPr>
            <w:r>
              <w:rPr>
                <w:rFonts w:ascii="Arial" w:cs="Arial" w:eastAsia="Arial" w:hAnsi="Arial"/>
                <w:sz w:val="10"/>
                <w:szCs w:val="10"/>
                <w:b w:val="1"/>
                <w:bCs w:val="1"/>
                <w:color w:val="auto"/>
                <w:w w:val="95"/>
              </w:rPr>
              <w:t>Common stock, $0.0001 par value per share</w:t>
            </w:r>
          </w:p>
        </w:tc>
        <w:tc>
          <w:tcPr>
            <w:tcW w:w="4000" w:type="dxa"/>
            <w:vAlign w:val="bottom"/>
          </w:tcPr>
          <w:p>
            <w:pPr>
              <w:jc w:val="center"/>
              <w:spacing w:after="0"/>
              <w:rPr>
                <w:sz w:val="20"/>
                <w:szCs w:val="20"/>
                <w:color w:val="auto"/>
              </w:rPr>
            </w:pPr>
            <w:r>
              <w:rPr>
                <w:rFonts w:ascii="Arial" w:cs="Arial" w:eastAsia="Arial" w:hAnsi="Arial"/>
                <w:sz w:val="10"/>
                <w:szCs w:val="10"/>
                <w:b w:val="1"/>
                <w:bCs w:val="1"/>
                <w:color w:val="auto"/>
                <w:w w:val="89"/>
              </w:rPr>
              <w:t>WLTH</w:t>
            </w:r>
          </w:p>
        </w:tc>
        <w:tc>
          <w:tcPr>
            <w:tcW w:w="364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The Nasdaq Stock Market LLC</w:t>
            </w:r>
          </w:p>
        </w:tc>
      </w:tr>
    </w:tbl>
    <w:p>
      <w:pPr>
        <w:spacing w:after="0" w:line="128" w:lineRule="exact"/>
        <w:rPr>
          <w:sz w:val="24"/>
          <w:szCs w:val="24"/>
          <w:color w:val="auto"/>
        </w:rPr>
      </w:pPr>
    </w:p>
    <w:p>
      <w:pPr>
        <w:ind w:right="320"/>
        <w:spacing w:after="0" w:line="268"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1070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60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r>
      <w:tr>
        <w:trPr>
          <w:trHeight w:val="312"/>
        </w:trPr>
        <w:tc>
          <w:tcPr>
            <w:tcW w:w="10700" w:type="dxa"/>
            <w:vAlign w:val="bottom"/>
          </w:tcPr>
          <w:p>
            <w:pPr>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w:t>
            </w:r>
          </w:p>
        </w:tc>
        <w:tc>
          <w:tcPr>
            <w:tcW w:w="60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r>
      <w:tr>
        <w:trPr>
          <w:trHeight w:val="142"/>
        </w:trPr>
        <w:tc>
          <w:tcPr>
            <w:tcW w:w="10700" w:type="dxa"/>
            <w:vAlign w:val="bottom"/>
          </w:tcPr>
          <w:p>
            <w:pPr>
              <w:spacing w:after="0"/>
              <w:rPr>
                <w:sz w:val="20"/>
                <w:szCs w:val="20"/>
                <w:color w:val="auto"/>
              </w:rPr>
            </w:pPr>
            <w:r>
              <w:rPr>
                <w:rFonts w:ascii="Arial" w:cs="Arial" w:eastAsia="Arial" w:hAnsi="Arial"/>
                <w:sz w:val="11"/>
                <w:szCs w:val="11"/>
                <w:color w:val="auto"/>
              </w:rPr>
              <w:t>Section 13(a) of the Exchange Act.</w:t>
            </w:r>
          </w:p>
        </w:tc>
        <w:tc>
          <w:tcPr>
            <w:tcW w:w="600" w:type="dxa"/>
            <w:vAlign w:val="bottom"/>
          </w:tcPr>
          <w:p>
            <w:pPr>
              <w:spacing w:after="0"/>
              <w:rPr>
                <w:sz w:val="12"/>
                <w:szCs w:val="12"/>
                <w:color w:val="auto"/>
              </w:rPr>
            </w:pPr>
          </w:p>
        </w:tc>
      </w:tr>
      <w:tr>
        <w:trPr>
          <w:trHeight w:val="641"/>
        </w:trPr>
        <w:tc>
          <w:tcPr>
            <w:tcW w:w="10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On March 11, 2026, Wealthfront Corporation (the “Company”) issued a press release announcing its financial results for the fourth fiscal quarter and fiscal full year ended January 31, 2026. A copy of the press release is furnished as Exhibit 99.1 to this Current Report on Form 8-K. As previously announced, the Company will host a conference call on March 11, 2026 at 2:00 p.m. PT/5:00 p.m. ET.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On March 11, 2026, the Company posted a supplemental information presentation to its website at ir.wealthfront.com, which is attached hereto as Exhibit 99.2.</w:t>
      </w:r>
    </w:p>
    <w:p>
      <w:pPr>
        <w:spacing w:after="0" w:line="159" w:lineRule="exact"/>
        <w:rPr>
          <w:sz w:val="20"/>
          <w:szCs w:val="20"/>
          <w:color w:val="auto"/>
        </w:rPr>
      </w:pPr>
    </w:p>
    <w:p>
      <w:pPr>
        <w:ind w:right="80"/>
        <w:spacing w:after="0" w:line="252" w:lineRule="auto"/>
        <w:rPr>
          <w:sz w:val="20"/>
          <w:szCs w:val="20"/>
          <w:color w:val="auto"/>
        </w:rPr>
      </w:pPr>
      <w:r>
        <w:rPr>
          <w:rFonts w:ascii="Arial" w:cs="Arial" w:eastAsia="Arial" w:hAnsi="Arial"/>
          <w:sz w:val="12"/>
          <w:szCs w:val="12"/>
          <w:color w:val="auto"/>
        </w:rPr>
        <w:t>The information furnished in this Current Report on Form 8-K, including Exhibit 99.1 and Exhibit 99.2, shall not be deemed “filed” for purposes of Section 18 of the Securities Exchange Act of 1934, as amended (the “Exchange Act”), or otherwise subject to the liabilities of that section. The information in this Current Report shall not be deemed to be incorporated by reference into any filing under the Securities Act of 1933, as amended, or the Exchange Act, whether made before or after the date of this Current Report, regardless of any general incorporation language in the filing.</w:t>
      </w:r>
    </w:p>
    <w:p>
      <w:pPr>
        <w:spacing w:after="0" w:line="141"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The Company announces material information to the public through filings with the Securities and Exchange Commission (the “SEC”), the investor relations page on its website (ir.wealthfront.com), press releases, public conference calls, public webcasts, and its social media accounts on X, Instagram, Facebook, and LinkedIn in order to achieve broad, non-exclusionary distribution of information to the public and for complying with its disclosure obligations under Regulation FD.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The content of the Company’s websites and information that the Company may post on or provide to online and social media channels, including those mentioned above, and information that can be accessed through the Company’s websites or these online and social media channels are not incorporated by reference into this Current Report on Form 8-K or in any other report or document the Company files with the SEC, and any references to the Company’s websites or these online and social media channels are intended to be inactive textual references only.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On March 9, 2026, the Company's board of directors approved a share repurchase program with authorization to purchase up to $100,000,000.00 of its outstanding common stock.</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Repurchases under the program may be made in the open market, in privately negotiated transactions or by other methods, with the amount and timing of repurchases to be determined at the Company’s discretion, depending on market conditions and corporate needs. Open market repurchases will be structured to occur in accordance with applicable federal and state securities laws, including within the pricing and volume conditions of Rule 10b-18 under the Exchange Act. The Company may also, from time to time, enter into Rule 10b5-1 plans to facilitate repurchases of its shares under this authorization. This program does not obligate the Company to repurchase any particular dollar amount or number of shares of common stock and may be modified, suspended or terminated at any time at the discretion of its board of directors. The Company expects to fund repurchases with existing cash and cash equivalents and ongoing cash from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Forward-Looking Statements</w:t>
      </w:r>
    </w:p>
    <w:p>
      <w:pPr>
        <w:spacing w:after="0" w:line="16"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This Form 8-K contains forward-looking statements within the meaning of the Private Securities Litigation Reform Act of 1995. All statements contained in this Form 8-K that do not relate to matters of historical fact should be considered forward-looking statements, including without limitation statements regarding the amount, timing and sources of funding for the share repurchase program. These statements are neither promises nor guarantees, but involve known and unknown risks, uncertainties and other important factors that may cause actual events or results to differ materially from those expressed or implied by the forward-looking statements, including, but not limited to, risks relating to the fact that common stock repurchases may not be conducted in the timeframe or in the manner the Company expects, or at all, and the important factors discussed under the caption “Risk Factors” in the Company’s Quarterly Report on Form 10-Q for the quarter ended October 31, 2025, filed with the SEC on January 23, 2026, and the Company’s other filings with the SEC. These factors could cause actual results to differ materially from those indicated by the forward-looking statements made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370840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ind w:right="160"/>
        <w:spacing w:after="0" w:line="286" w:lineRule="auto"/>
        <w:rPr>
          <w:sz w:val="20"/>
          <w:szCs w:val="20"/>
          <w:color w:val="auto"/>
        </w:rPr>
      </w:pPr>
      <w:r>
        <w:rPr>
          <w:rFonts w:ascii="Arial" w:cs="Arial" w:eastAsia="Arial" w:hAnsi="Arial"/>
          <w:sz w:val="12"/>
          <w:szCs w:val="12"/>
          <w:color w:val="auto"/>
        </w:rPr>
        <w:t>this Form 8-K. Any such forward-looking statements represent management’s estimates as of the date of this Form 8-K. While the Company may elect to update such forward-looking statements at some point in the future, the Company disclaims any obligation to do so, even if subsequent events cause its views to change.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(d) Exhibits</w:t>
            </w:r>
          </w:p>
        </w:tc>
        <w:tc>
          <w:tcPr>
            <w:tcW w:w="6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295"/>
        </w:trPr>
        <w:tc>
          <w:tcPr>
            <w:tcW w:w="900" w:type="dxa"/>
            <w:vAlign w:val="bottom"/>
          </w:tcPr>
          <w:p>
            <w:pPr>
              <w:spacing w:after="0"/>
              <w:rPr>
                <w:sz w:val="20"/>
                <w:szCs w:val="20"/>
                <w:color w:val="auto"/>
              </w:rPr>
            </w:pPr>
            <w:r>
              <w:rPr>
                <w:rFonts w:ascii="Arial" w:cs="Arial" w:eastAsia="Arial" w:hAnsi="Arial"/>
                <w:sz w:val="12"/>
                <w:szCs w:val="12"/>
                <w:b w:val="1"/>
                <w:bCs w:val="1"/>
                <w:color w:val="auto"/>
                <w:w w:val="99"/>
              </w:rPr>
              <w:t>Exhibit Number</w:t>
            </w:r>
          </w:p>
        </w:tc>
        <w:tc>
          <w:tcPr>
            <w:tcW w:w="1000" w:type="dxa"/>
            <w:vAlign w:val="bottom"/>
          </w:tcPr>
          <w:p>
            <w:pPr>
              <w:spacing w:after="0"/>
              <w:rPr>
                <w:sz w:val="24"/>
                <w:szCs w:val="24"/>
                <w:color w:val="auto"/>
              </w:rPr>
            </w:pPr>
          </w:p>
        </w:tc>
        <w:tc>
          <w:tcPr>
            <w:tcW w:w="9400" w:type="dxa"/>
            <w:vAlign w:val="bottom"/>
            <w:gridSpan w:val="4"/>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9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51"/>
        </w:trPr>
        <w:tc>
          <w:tcPr>
            <w:tcW w:w="900" w:type="dxa"/>
            <w:vAlign w:val="bottom"/>
          </w:tcPr>
          <w:p>
            <w:pPr>
              <w:spacing w:after="0"/>
              <w:rPr>
                <w:sz w:val="20"/>
                <w:szCs w:val="20"/>
                <w:color w:val="auto"/>
              </w:rPr>
            </w:pPr>
            <w:r>
              <w:rPr>
                <w:rFonts w:ascii="Arial" w:cs="Arial" w:eastAsia="Arial" w:hAnsi="Arial"/>
                <w:sz w:val="12"/>
                <w:szCs w:val="12"/>
                <w:color w:val="auto"/>
              </w:rPr>
              <w:t>99.1</w:t>
            </w:r>
          </w:p>
        </w:tc>
        <w:tc>
          <w:tcPr>
            <w:tcW w:w="1000" w:type="dxa"/>
            <w:vAlign w:val="bottom"/>
          </w:tcPr>
          <w:p>
            <w:pPr>
              <w:spacing w:after="0"/>
              <w:rPr>
                <w:sz w:val="13"/>
                <w:szCs w:val="13"/>
                <w:color w:val="auto"/>
              </w:rPr>
            </w:pPr>
          </w:p>
        </w:tc>
        <w:tc>
          <w:tcPr>
            <w:tcW w:w="9400" w:type="dxa"/>
            <w:vAlign w:val="bottom"/>
            <w:gridSpan w:val="4"/>
          </w:tcPr>
          <w:p>
            <w:pPr>
              <w:spacing w:after="0"/>
              <w:rPr>
                <w:sz w:val="20"/>
                <w:szCs w:val="20"/>
                <w:color w:val="auto"/>
              </w:rPr>
            </w:pPr>
            <w:r>
              <w:rPr>
                <w:rFonts w:ascii="Arial" w:cs="Arial" w:eastAsia="Arial" w:hAnsi="Arial"/>
                <w:sz w:val="12"/>
                <w:szCs w:val="12"/>
                <w:color w:val="0000FF"/>
              </w:rPr>
              <w:t>Press Release of Wealthfront Corporation dated March 11, 2026</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60"/>
        </w:trPr>
        <w:tc>
          <w:tcPr>
            <w:tcW w:w="900" w:type="dxa"/>
            <w:vAlign w:val="bottom"/>
          </w:tcPr>
          <w:p>
            <w:pPr>
              <w:spacing w:after="0"/>
              <w:rPr>
                <w:sz w:val="20"/>
                <w:szCs w:val="20"/>
                <w:color w:val="auto"/>
              </w:rPr>
            </w:pPr>
            <w:r>
              <w:rPr>
                <w:rFonts w:ascii="Arial" w:cs="Arial" w:eastAsia="Arial" w:hAnsi="Arial"/>
                <w:sz w:val="12"/>
                <w:szCs w:val="12"/>
                <w:color w:val="auto"/>
              </w:rPr>
              <w:t>99.2</w:t>
            </w:r>
          </w:p>
        </w:tc>
        <w:tc>
          <w:tcPr>
            <w:tcW w:w="1000" w:type="dxa"/>
            <w:vAlign w:val="bottom"/>
          </w:tcPr>
          <w:p>
            <w:pPr>
              <w:spacing w:after="0"/>
              <w:rPr>
                <w:sz w:val="13"/>
                <w:szCs w:val="13"/>
                <w:color w:val="auto"/>
              </w:rPr>
            </w:pPr>
          </w:p>
        </w:tc>
        <w:tc>
          <w:tcPr>
            <w:tcW w:w="5000" w:type="dxa"/>
            <w:vAlign w:val="bottom"/>
            <w:tcBorders>
              <w:bottom w:val="single" w:sz="8" w:color="0000FF"/>
            </w:tcBorders>
            <w:gridSpan w:val="3"/>
          </w:tcPr>
          <w:p>
            <w:pPr>
              <w:spacing w:after="0"/>
              <w:rPr>
                <w:sz w:val="20"/>
                <w:szCs w:val="20"/>
                <w:color w:val="auto"/>
              </w:rPr>
            </w:pPr>
            <w:r>
              <w:rPr>
                <w:rFonts w:ascii="Arial" w:cs="Arial" w:eastAsia="Arial" w:hAnsi="Arial"/>
                <w:sz w:val="12"/>
                <w:szCs w:val="12"/>
                <w:color w:val="0000FF"/>
                <w:w w:val="99"/>
              </w:rPr>
              <w:t>Supplemental Information Presentation for the fiscal quarter and year ended January 31, 2026</w:t>
            </w:r>
          </w:p>
        </w:tc>
        <w:tc>
          <w:tcPr>
            <w:tcW w:w="4400" w:type="dxa"/>
            <w:vAlign w:val="bottom"/>
          </w:tcPr>
          <w:p>
            <w:pPr>
              <w:spacing w:after="0"/>
              <w:rPr>
                <w:sz w:val="13"/>
                <w:szCs w:val="13"/>
                <w:color w:val="auto"/>
              </w:rPr>
            </w:pPr>
          </w:p>
        </w:tc>
      </w:tr>
      <w:tr>
        <w:trPr>
          <w:trHeight w:val="198"/>
        </w:trPr>
        <w:tc>
          <w:tcPr>
            <w:tcW w:w="900" w:type="dxa"/>
            <w:vAlign w:val="bottom"/>
          </w:tcPr>
          <w:p>
            <w:pPr>
              <w:spacing w:after="0"/>
              <w:rPr>
                <w:sz w:val="20"/>
                <w:szCs w:val="20"/>
                <w:color w:val="auto"/>
              </w:rPr>
            </w:pPr>
            <w:r>
              <w:rPr>
                <w:rFonts w:ascii="Arial" w:cs="Arial" w:eastAsia="Arial" w:hAnsi="Arial"/>
                <w:sz w:val="12"/>
                <w:szCs w:val="12"/>
                <w:color w:val="auto"/>
              </w:rPr>
              <w:t>104</w:t>
            </w:r>
          </w:p>
        </w:tc>
        <w:tc>
          <w:tcPr>
            <w:tcW w:w="1000" w:type="dxa"/>
            <w:vAlign w:val="bottom"/>
          </w:tcPr>
          <w:p>
            <w:pPr>
              <w:spacing w:after="0"/>
              <w:rPr>
                <w:sz w:val="17"/>
                <w:szCs w:val="17"/>
                <w:color w:val="auto"/>
              </w:rPr>
            </w:pPr>
          </w:p>
        </w:tc>
        <w:tc>
          <w:tcPr>
            <w:tcW w:w="9400" w:type="dxa"/>
            <w:vAlign w:val="bottom"/>
            <w:gridSpan w:val="4"/>
          </w:tcPr>
          <w:p>
            <w:pPr>
              <w:spacing w:after="0"/>
              <w:rPr>
                <w:sz w:val="20"/>
                <w:szCs w:val="20"/>
                <w:color w:val="auto"/>
              </w:rPr>
            </w:pPr>
            <w:r>
              <w:rPr>
                <w:rFonts w:ascii="Arial" w:cs="Arial" w:eastAsia="Arial" w:hAnsi="Arial"/>
                <w:sz w:val="12"/>
                <w:szCs w:val="12"/>
                <w:color w:val="auto"/>
              </w:rPr>
              <w:t>Cover Page Interactive Data File (the cover page XBRL tags are embedded within the Inline XBRL document)</w:t>
            </w:r>
          </w:p>
        </w:tc>
      </w:tr>
      <w:tr>
        <w:trPr>
          <w:trHeight w:val="835"/>
        </w:trPr>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3" w:name="page4"/>
    <w:bookmarkEnd w:id="3"/>
    <w:p>
      <w:pPr>
        <w:ind w:left="5300"/>
        <w:spacing w:after="0"/>
        <w:rPr>
          <w:sz w:val="20"/>
          <w:szCs w:val="20"/>
          <w:color w:val="auto"/>
        </w:rPr>
      </w:pPr>
      <w:r>
        <w:rPr>
          <w:rFonts w:ascii="Arial" w:cs="Arial" w:eastAsia="Arial" w:hAnsi="Arial"/>
          <w:sz w:val="12"/>
          <w:szCs w:val="12"/>
          <w:b w:val="1"/>
          <w:bCs w:val="1"/>
          <w:color w:val="auto"/>
        </w:rPr>
        <w:t>SIGNATURE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Wealthfront Corporation</w:t>
      </w:r>
    </w:p>
    <w:p>
      <w:pPr>
        <w:spacing w:after="0" w:line="222" w:lineRule="exact"/>
        <w:rPr>
          <w:sz w:val="20"/>
          <w:szCs w:val="20"/>
          <w:color w:val="auto"/>
        </w:rPr>
      </w:pPr>
    </w:p>
    <w:p>
      <w:pPr>
        <w:spacing w:after="0"/>
        <w:tabs>
          <w:tab w:leader="none" w:pos="700" w:val="left"/>
          <w:tab w:leader="none" w:pos="3720" w:val="left"/>
          <w:tab w:leader="none" w:pos="44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11, 2026</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Alan Imberman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23495</wp:posOffset>
            </wp:positionV>
            <wp:extent cx="43491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9115" cy="5715"/>
                    </a:xfrm>
                    <a:prstGeom prst="rect">
                      <a:avLst/>
                    </a:prstGeom>
                    <a:noFill/>
                  </pic:spPr>
                </pic:pic>
              </a:graphicData>
            </a:graphic>
          </wp:anchor>
        </w:drawing>
      </w:r>
    </w:p>
    <w:p>
      <w:pPr>
        <w:spacing w:after="0" w:line="31"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Name: Alan Imberman</w:t>
      </w:r>
    </w:p>
    <w:p>
      <w:pPr>
        <w:spacing w:after="0" w:line="42"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0400"/>
          </w:cols>
          <w:pgMar w:left="300" w:top="676" w:right="1199" w:bottom="1440" w:gutter="0" w:footer="0" w:header="0"/>
        </w:sectPr>
      </w:pPr>
    </w:p>
    <w:bookmarkStart w:id="4" w:name="page5"/>
    <w:bookmarkEnd w:id="4"/>
    <w:p>
      <w:pPr>
        <w:jc w:val="center"/>
        <w:ind w:right="-7"/>
        <w:spacing w:after="0"/>
        <w:rPr>
          <w:sz w:val="20"/>
          <w:szCs w:val="20"/>
          <w:color w:val="auto"/>
        </w:rPr>
      </w:pPr>
      <w:r>
        <w:rPr>
          <w:rFonts w:ascii="Arial" w:cs="Arial" w:eastAsia="Arial" w:hAnsi="Arial"/>
          <w:sz w:val="14"/>
          <w:szCs w:val="14"/>
          <w:b w:val="1"/>
          <w:bCs w:val="1"/>
          <w:color w:val="auto"/>
        </w:rPr>
        <w:t>Wealthfront Reports Fiscal Fourth Quarter and Full Year 2026 Results</w:t>
      </w:r>
    </w:p>
    <w:p>
      <w:pPr>
        <w:spacing w:after="0" w:line="176" w:lineRule="exact"/>
        <w:rPr>
          <w:sz w:val="20"/>
          <w:szCs w:val="20"/>
          <w:color w:val="auto"/>
        </w:rPr>
      </w:pPr>
    </w:p>
    <w:p>
      <w:pPr>
        <w:ind w:left="3188"/>
        <w:spacing w:after="0"/>
        <w:rPr>
          <w:sz w:val="20"/>
          <w:szCs w:val="20"/>
          <w:color w:val="auto"/>
        </w:rPr>
      </w:pPr>
      <w:r>
        <w:rPr>
          <w:rFonts w:ascii="Arial" w:cs="Arial" w:eastAsia="Arial" w:hAnsi="Arial"/>
          <w:sz w:val="13"/>
          <w:szCs w:val="13"/>
          <w:i w:val="1"/>
          <w:iCs w:val="1"/>
          <w:color w:val="auto"/>
        </w:rPr>
        <w:t>Record annual revenue of $365.0 million in the fiscal year ending January 31, 2026,</w:t>
      </w:r>
    </w:p>
    <w:p>
      <w:pPr>
        <w:spacing w:after="0" w:line="24" w:lineRule="exact"/>
        <w:rPr>
          <w:sz w:val="20"/>
          <w:szCs w:val="20"/>
          <w:color w:val="auto"/>
        </w:rPr>
      </w:pPr>
    </w:p>
    <w:p>
      <w:pPr>
        <w:ind w:left="2888"/>
        <w:spacing w:after="0"/>
        <w:rPr>
          <w:sz w:val="20"/>
          <w:szCs w:val="20"/>
          <w:color w:val="auto"/>
        </w:rPr>
      </w:pPr>
      <w:r>
        <w:rPr>
          <w:rFonts w:ascii="Arial" w:cs="Arial" w:eastAsia="Arial" w:hAnsi="Arial"/>
          <w:sz w:val="13"/>
          <w:szCs w:val="13"/>
          <w:i w:val="1"/>
          <w:iCs w:val="1"/>
          <w:color w:val="auto"/>
        </w:rPr>
        <w:t>including a quarterly record of $96.1 million in the fiscal fourth quarter ending January 31, 2026</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i w:val="1"/>
          <w:iCs w:val="1"/>
          <w:color w:val="auto"/>
        </w:rPr>
        <w:t>Total Platform Assets up 17% year-over-year to a record $94.1 billion</w:t>
      </w:r>
    </w:p>
    <w:p>
      <w:pPr>
        <w:spacing w:after="0" w:line="330" w:lineRule="exact"/>
        <w:rPr>
          <w:sz w:val="20"/>
          <w:szCs w:val="20"/>
          <w:color w:val="auto"/>
        </w:rPr>
      </w:pPr>
    </w:p>
    <w:p>
      <w:pPr>
        <w:ind w:left="8" w:right="380"/>
        <w:spacing w:after="0" w:line="298" w:lineRule="auto"/>
        <w:rPr>
          <w:sz w:val="20"/>
          <w:szCs w:val="20"/>
          <w:color w:val="auto"/>
        </w:rPr>
      </w:pPr>
      <w:r>
        <w:rPr>
          <w:rFonts w:ascii="Arial" w:cs="Arial" w:eastAsia="Arial" w:hAnsi="Arial"/>
          <w:sz w:val="14"/>
          <w:szCs w:val="14"/>
          <w:b w:val="1"/>
          <w:bCs w:val="1"/>
          <w:color w:val="auto"/>
        </w:rPr>
        <w:t xml:space="preserve">Palo Alto, CA </w:t>
      </w:r>
      <w:r>
        <w:rPr>
          <w:rFonts w:ascii="Arial" w:cs="Arial" w:eastAsia="Arial" w:hAnsi="Arial"/>
          <w:sz w:val="14"/>
          <w:szCs w:val="14"/>
          <w:color w:val="auto"/>
        </w:rPr>
        <w:t>- March 11, 2026 - Wealthfront Corporation (Nasdaq: WLTH), a tech-driven financial platform helping digital natives turn their savings into wealth, announced</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results for its fiscal fourth quarter and full year ended January 31, 2026.</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81" w:lineRule="exact"/>
        <w:rPr>
          <w:sz w:val="20"/>
          <w:szCs w:val="20"/>
          <w:color w:val="auto"/>
        </w:rPr>
      </w:pPr>
    </w:p>
    <w:p>
      <w:pPr>
        <w:ind w:left="8" w:right="120"/>
        <w:spacing w:after="0" w:line="269" w:lineRule="auto"/>
        <w:rPr>
          <w:sz w:val="20"/>
          <w:szCs w:val="20"/>
          <w:color w:val="auto"/>
        </w:rPr>
      </w:pPr>
      <w:r>
        <w:rPr>
          <w:rFonts w:ascii="Arial" w:cs="Arial" w:eastAsia="Arial" w:hAnsi="Arial"/>
          <w:sz w:val="14"/>
          <w:szCs w:val="14"/>
          <w:b w:val="1"/>
          <w:bCs w:val="1"/>
          <w:color w:val="auto"/>
        </w:rPr>
        <w:t xml:space="preserve">David Fortunato - CEO, President &amp; Director: </w:t>
      </w:r>
      <w:r>
        <w:rPr>
          <w:rFonts w:ascii="Arial" w:cs="Arial" w:eastAsia="Arial" w:hAnsi="Arial"/>
          <w:sz w:val="14"/>
          <w:szCs w:val="14"/>
          <w:color w:val="auto"/>
        </w:rPr>
        <w:t>“We capped off a milestone year in the fourth quarter as we went public and drove another quarter-end record in Total Platform</w:t>
      </w:r>
      <w:r>
        <w:rPr>
          <w:rFonts w:ascii="Arial" w:cs="Arial" w:eastAsia="Arial" w:hAnsi="Arial"/>
          <w:sz w:val="14"/>
          <w:szCs w:val="14"/>
          <w:b w:val="1"/>
          <w:bCs w:val="1"/>
          <w:color w:val="auto"/>
        </w:rPr>
        <w:t xml:space="preserve"> </w:t>
      </w:r>
      <w:r>
        <w:rPr>
          <w:rFonts w:ascii="Arial" w:cs="Arial" w:eastAsia="Arial" w:hAnsi="Arial"/>
          <w:sz w:val="14"/>
          <w:szCs w:val="14"/>
          <w:color w:val="auto"/>
        </w:rPr>
        <w:t>Assets due in large part to a second consecutive record quarter in net cross account transfers from Cash Management to Investment Advisory. We continued to expand our product suite in our effort to optimize client financial outcomes including with the launch of early access to Wealthfront Home Lending, the initial rollout of the Wealthfront Treasury Money Market Fund, and further enhancements to our core Investment Advisory and Cash Management offerings.”</w:t>
      </w:r>
    </w:p>
    <w:p>
      <w:pPr>
        <w:spacing w:after="0" w:line="124" w:lineRule="exact"/>
        <w:rPr>
          <w:sz w:val="20"/>
          <w:szCs w:val="20"/>
          <w:color w:val="auto"/>
        </w:rPr>
      </w:pPr>
    </w:p>
    <w:p>
      <w:pPr>
        <w:ind w:left="8" w:right="60"/>
        <w:spacing w:after="0" w:line="273" w:lineRule="auto"/>
        <w:rPr>
          <w:sz w:val="20"/>
          <w:szCs w:val="20"/>
          <w:color w:val="auto"/>
        </w:rPr>
      </w:pPr>
      <w:r>
        <w:rPr>
          <w:rFonts w:ascii="Arial" w:cs="Arial" w:eastAsia="Arial" w:hAnsi="Arial"/>
          <w:sz w:val="14"/>
          <w:szCs w:val="14"/>
          <w:b w:val="1"/>
          <w:bCs w:val="1"/>
          <w:color w:val="auto"/>
        </w:rPr>
        <w:t xml:space="preserve">Alan Imberman - CFO &amp; Treasurer: </w:t>
      </w:r>
      <w:r>
        <w:rPr>
          <w:rFonts w:ascii="Arial" w:cs="Arial" w:eastAsia="Arial" w:hAnsi="Arial"/>
          <w:sz w:val="14"/>
          <w:szCs w:val="14"/>
          <w:color w:val="auto"/>
        </w:rPr>
        <w:t>“Fiscal 2026 was a banner year in which we drove record Platform Assets, Revenue, and Adjusted EBITDA contributing to strong cash</w:t>
      </w:r>
      <w:r>
        <w:rPr>
          <w:rFonts w:ascii="Arial" w:cs="Arial" w:eastAsia="Arial" w:hAnsi="Arial"/>
          <w:sz w:val="14"/>
          <w:szCs w:val="14"/>
          <w:b w:val="1"/>
          <w:bCs w:val="1"/>
          <w:color w:val="auto"/>
        </w:rPr>
        <w:t xml:space="preserve"> </w:t>
      </w:r>
      <w:r>
        <w:rPr>
          <w:rFonts w:ascii="Arial" w:cs="Arial" w:eastAsia="Arial" w:hAnsi="Arial"/>
          <w:sz w:val="14"/>
          <w:szCs w:val="14"/>
          <w:color w:val="auto"/>
        </w:rPr>
        <w:t>generation that resulted in corporate cash balances ending January above $440 million. Fiscal 2027 is off to a strong start with total net deposit growth in February amidst a dynamic macro-environment. In March, our board of directors authorized a $100 million share repurchase program. Given the multi-decade opportunity to compound wealth with new and existing clients, we view our shares as attractive at current levels.”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4"/>
          <w:szCs w:val="14"/>
          <w:color w:val="auto"/>
        </w:rPr>
        <w: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Fiscal Fourth Quarter and Full Year 2026 Results Summary</w:t>
      </w:r>
    </w:p>
    <w:p>
      <w:pPr>
        <w:spacing w:after="0" w:line="40"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220" w:type="dxa"/>
            <w:vAlign w:val="bottom"/>
          </w:tcPr>
          <w:p>
            <w:pPr>
              <w:spacing w:after="0"/>
              <w:rPr>
                <w:sz w:val="11"/>
                <w:szCs w:val="11"/>
                <w:color w:val="auto"/>
              </w:rPr>
            </w:pPr>
          </w:p>
        </w:tc>
        <w:tc>
          <w:tcPr>
            <w:tcW w:w="24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0"/>
                <w:szCs w:val="10"/>
                <w:b w:val="1"/>
                <w:bCs w:val="1"/>
                <w:color w:val="auto"/>
              </w:rPr>
              <w:t>Three Months Ended January 31,</w:t>
            </w: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b w:val="1"/>
                <w:bCs w:val="1"/>
                <w:color w:val="auto"/>
              </w:rPr>
              <w:t>Twelve Months Ended January 31,</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5"/>
        </w:trPr>
        <w:tc>
          <w:tcPr>
            <w:tcW w:w="3220" w:type="dxa"/>
            <w:vAlign w:val="bottom"/>
          </w:tcPr>
          <w:p>
            <w:pPr>
              <w:spacing w:after="0"/>
              <w:rPr>
                <w:sz w:val="20"/>
                <w:szCs w:val="20"/>
                <w:color w:val="auto"/>
              </w:rPr>
            </w:pPr>
            <w:r>
              <w:rPr>
                <w:rFonts w:ascii="Arial" w:cs="Arial" w:eastAsia="Arial" w:hAnsi="Arial"/>
                <w:sz w:val="8"/>
                <w:szCs w:val="8"/>
                <w:i w:val="1"/>
                <w:iCs w:val="1"/>
                <w:color w:val="auto"/>
              </w:rPr>
              <w:t>($ in thousands, except per share amounts)</w:t>
            </w:r>
          </w:p>
        </w:tc>
        <w:tc>
          <w:tcPr>
            <w:tcW w:w="900" w:type="dxa"/>
            <w:vAlign w:val="bottom"/>
          </w:tcPr>
          <w:p>
            <w:pPr>
              <w:jc w:val="right"/>
              <w:ind w:right="52"/>
              <w:spacing w:after="0"/>
              <w:rPr>
                <w:sz w:val="20"/>
                <w:szCs w:val="20"/>
                <w:color w:val="auto"/>
              </w:rPr>
            </w:pPr>
            <w:r>
              <w:rPr>
                <w:rFonts w:ascii="Arial" w:cs="Arial" w:eastAsia="Arial" w:hAnsi="Arial"/>
                <w:sz w:val="10"/>
                <w:szCs w:val="10"/>
                <w:b w:val="1"/>
                <w:bCs w:val="1"/>
                <w:color w:val="auto"/>
              </w:rPr>
              <w:t>2026</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b w:val="1"/>
                <w:bCs w:val="1"/>
                <w:color w:val="auto"/>
              </w:rPr>
              <w:t>2025</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ind w:left="300"/>
              <w:spacing w:after="0"/>
              <w:rPr>
                <w:sz w:val="20"/>
                <w:szCs w:val="20"/>
                <w:color w:val="auto"/>
              </w:rPr>
            </w:pPr>
            <w:r>
              <w:rPr>
                <w:rFonts w:ascii="Arial" w:cs="Arial" w:eastAsia="Arial" w:hAnsi="Arial"/>
                <w:sz w:val="10"/>
                <w:szCs w:val="10"/>
                <w:b w:val="1"/>
                <w:bCs w:val="1"/>
                <w:color w:val="auto"/>
              </w:rPr>
              <w:t>% change</w:t>
            </w:r>
          </w:p>
        </w:tc>
        <w:tc>
          <w:tcPr>
            <w:tcW w:w="340" w:type="dxa"/>
            <w:vAlign w:val="bottom"/>
          </w:tcPr>
          <w:p>
            <w:pPr>
              <w:spacing w:after="0"/>
              <w:rPr>
                <w:sz w:val="10"/>
                <w:szCs w:val="10"/>
                <w:color w:val="auto"/>
              </w:rPr>
            </w:pPr>
          </w:p>
        </w:tc>
        <w:tc>
          <w:tcPr>
            <w:tcW w:w="1080" w:type="dxa"/>
            <w:vAlign w:val="bottom"/>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6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252"/>
              <w:spacing w:after="0"/>
              <w:rPr>
                <w:sz w:val="20"/>
                <w:szCs w:val="20"/>
                <w:color w:val="auto"/>
              </w:rPr>
            </w:pPr>
            <w:r>
              <w:rPr>
                <w:rFonts w:ascii="Arial" w:cs="Arial" w:eastAsia="Arial" w:hAnsi="Arial"/>
                <w:sz w:val="10"/>
                <w:szCs w:val="10"/>
                <w:b w:val="1"/>
                <w:bCs w:val="1"/>
                <w:color w:val="auto"/>
              </w:rPr>
              <w:t>% change</w:t>
            </w:r>
          </w:p>
        </w:tc>
      </w:tr>
      <w:tr>
        <w:trPr>
          <w:trHeight w:val="134"/>
        </w:trPr>
        <w:tc>
          <w:tcPr>
            <w:tcW w:w="32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GAAP</w:t>
            </w:r>
          </w:p>
        </w:tc>
        <w:tc>
          <w:tcPr>
            <w:tcW w:w="9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r>
      <w:tr>
        <w:trPr>
          <w:trHeight w:val="132"/>
        </w:trPr>
        <w:tc>
          <w:tcPr>
            <w:tcW w:w="3220" w:type="dxa"/>
            <w:vAlign w:val="bottom"/>
          </w:tcPr>
          <w:p>
            <w:pPr>
              <w:spacing w:after="0"/>
              <w:rPr>
                <w:sz w:val="20"/>
                <w:szCs w:val="20"/>
                <w:color w:val="auto"/>
              </w:rPr>
            </w:pPr>
            <w:r>
              <w:rPr>
                <w:rFonts w:ascii="Arial" w:cs="Arial" w:eastAsia="Arial" w:hAnsi="Arial"/>
                <w:sz w:val="10"/>
                <w:szCs w:val="10"/>
                <w:color w:val="auto"/>
              </w:rPr>
              <w:t>Total revenue</w:t>
            </w: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96,136</w:t>
            </w:r>
          </w:p>
        </w:tc>
        <w:tc>
          <w:tcPr>
            <w:tcW w:w="80" w:type="dxa"/>
            <w:vAlign w:val="bottom"/>
          </w:tcPr>
          <w:p>
            <w:pPr>
              <w:spacing w:after="0"/>
              <w:rPr>
                <w:sz w:val="11"/>
                <w:szCs w:val="11"/>
                <w:color w:val="auto"/>
              </w:rPr>
            </w:pP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82,680</w:t>
            </w:r>
          </w:p>
        </w:tc>
        <w:tc>
          <w:tcPr>
            <w:tcW w:w="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16 %</w:t>
            </w:r>
          </w:p>
        </w:tc>
        <w:tc>
          <w:tcPr>
            <w:tcW w:w="80" w:type="dxa"/>
            <w:vAlign w:val="bottom"/>
          </w:tcPr>
          <w:p>
            <w:pPr>
              <w:spacing w:after="0"/>
              <w:rPr>
                <w:sz w:val="11"/>
                <w:szCs w:val="11"/>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364,993</w:t>
            </w:r>
          </w:p>
        </w:tc>
        <w:tc>
          <w:tcPr>
            <w:tcW w:w="60" w:type="dxa"/>
            <w:vAlign w:val="bottom"/>
          </w:tcPr>
          <w:p>
            <w:pPr>
              <w:spacing w:after="0"/>
              <w:rPr>
                <w:sz w:val="11"/>
                <w:szCs w:val="11"/>
                <w:color w:val="auto"/>
              </w:rPr>
            </w:pPr>
          </w:p>
        </w:tc>
        <w:tc>
          <w:tcPr>
            <w:tcW w:w="920" w:type="dxa"/>
            <w:vAlign w:val="bottom"/>
          </w:tcPr>
          <w:p>
            <w:pPr>
              <w:jc w:val="right"/>
              <w:ind w:right="792"/>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308,859</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18 %</w:t>
            </w:r>
          </w:p>
        </w:tc>
      </w:tr>
      <w:tr>
        <w:trPr>
          <w:trHeight w:val="138"/>
        </w:trPr>
        <w:tc>
          <w:tcPr>
            <w:tcW w:w="3220" w:type="dxa"/>
            <w:vAlign w:val="bottom"/>
            <w:shd w:val="clear" w:color="auto" w:fill="CCEEFF"/>
          </w:tcPr>
          <w:p>
            <w:pPr>
              <w:spacing w:after="0"/>
              <w:rPr>
                <w:sz w:val="20"/>
                <w:szCs w:val="20"/>
                <w:color w:val="auto"/>
              </w:rPr>
            </w:pPr>
            <w:r>
              <w:rPr>
                <w:rFonts w:ascii="Arial" w:cs="Arial" w:eastAsia="Arial" w:hAnsi="Arial"/>
                <w:sz w:val="10"/>
                <w:szCs w:val="10"/>
                <w:color w:val="auto"/>
              </w:rPr>
              <w:t>Net income (loss) - diluted</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(134,774)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32,092</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NM</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(43,203)</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181,752</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NM</w:t>
            </w:r>
          </w:p>
        </w:tc>
      </w:tr>
      <w:tr>
        <w:trPr>
          <w:trHeight w:val="132"/>
        </w:trPr>
        <w:tc>
          <w:tcPr>
            <w:tcW w:w="3220" w:type="dxa"/>
            <w:vAlign w:val="bottom"/>
          </w:tcPr>
          <w:p>
            <w:pPr>
              <w:ind w:left="80"/>
              <w:spacing w:after="0"/>
              <w:rPr>
                <w:sz w:val="20"/>
                <w:szCs w:val="20"/>
                <w:color w:val="auto"/>
              </w:rPr>
            </w:pPr>
            <w:r>
              <w:rPr>
                <w:rFonts w:ascii="Arial" w:cs="Arial" w:eastAsia="Arial" w:hAnsi="Arial"/>
                <w:sz w:val="10"/>
                <w:szCs w:val="10"/>
                <w:i w:val="1"/>
                <w:iCs w:val="1"/>
                <w:color w:val="auto"/>
              </w:rPr>
              <w:t>Net income margin - diluted (%)</w:t>
            </w:r>
          </w:p>
        </w:tc>
        <w:tc>
          <w:tcPr>
            <w:tcW w:w="90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i w:val="1"/>
                <w:iCs w:val="1"/>
                <w:color w:val="auto"/>
              </w:rPr>
              <w:t>(140)%</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jc w:val="right"/>
              <w:ind w:right="52"/>
              <w:spacing w:after="0"/>
              <w:rPr>
                <w:sz w:val="20"/>
                <w:szCs w:val="20"/>
                <w:color w:val="auto"/>
              </w:rPr>
            </w:pPr>
            <w:r>
              <w:rPr>
                <w:rFonts w:ascii="Arial" w:cs="Arial" w:eastAsia="Arial" w:hAnsi="Arial"/>
                <w:sz w:val="10"/>
                <w:szCs w:val="10"/>
                <w:i w:val="1"/>
                <w:iCs w:val="1"/>
                <w:color w:val="auto"/>
              </w:rPr>
              <w:t>39%</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i w:val="1"/>
                <w:iCs w:val="1"/>
                <w:color w:val="auto"/>
              </w:rPr>
              <w:t>(12)%</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i w:val="1"/>
                <w:iCs w:val="1"/>
                <w:color w:val="auto"/>
              </w:rPr>
              <w:t>59%</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8"/>
        </w:trPr>
        <w:tc>
          <w:tcPr>
            <w:tcW w:w="3220" w:type="dxa"/>
            <w:vAlign w:val="bottom"/>
            <w:shd w:val="clear" w:color="auto" w:fill="CCEEFF"/>
          </w:tcPr>
          <w:p>
            <w:pPr>
              <w:spacing w:after="0"/>
              <w:rPr>
                <w:sz w:val="20"/>
                <w:szCs w:val="20"/>
                <w:color w:val="auto"/>
              </w:rPr>
            </w:pPr>
            <w:r>
              <w:rPr>
                <w:rFonts w:ascii="Arial" w:cs="Arial" w:eastAsia="Arial" w:hAnsi="Arial"/>
                <w:sz w:val="10"/>
                <w:szCs w:val="10"/>
                <w:color w:val="auto"/>
              </w:rPr>
              <w:t>Diluted earnings per common share</w:t>
            </w: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0.23</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NM</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(0.76)</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NM</w:t>
            </w:r>
          </w:p>
        </w:tc>
      </w:tr>
      <w:tr>
        <w:trPr>
          <w:trHeight w:val="132"/>
        </w:trPr>
        <w:tc>
          <w:tcPr>
            <w:tcW w:w="3220" w:type="dxa"/>
            <w:vAlign w:val="bottom"/>
          </w:tcPr>
          <w:p>
            <w:pPr>
              <w:spacing w:after="0"/>
              <w:rPr>
                <w:sz w:val="20"/>
                <w:szCs w:val="20"/>
                <w:color w:val="auto"/>
              </w:rPr>
            </w:pPr>
            <w:r>
              <w:rPr>
                <w:rFonts w:ascii="Arial" w:cs="Arial" w:eastAsia="Arial" w:hAnsi="Arial"/>
                <w:sz w:val="10"/>
                <w:szCs w:val="10"/>
                <w:color w:val="auto"/>
              </w:rPr>
              <w:t>Net cash provided by operating activities</w:t>
            </w:r>
          </w:p>
        </w:tc>
        <w:tc>
          <w:tcPr>
            <w:tcW w:w="9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33,306</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19,915</w:t>
            </w:r>
          </w:p>
        </w:tc>
        <w:tc>
          <w:tcPr>
            <w:tcW w:w="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67 %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152,189</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123,150</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24 %</w:t>
            </w:r>
          </w:p>
        </w:tc>
      </w:tr>
      <w:tr>
        <w:trPr>
          <w:trHeight w:val="138"/>
        </w:trPr>
        <w:tc>
          <w:tcPr>
            <w:tcW w:w="3220" w:type="dxa"/>
            <w:vAlign w:val="bottom"/>
            <w:shd w:val="clear" w:color="auto" w:fill="CCEEFF"/>
          </w:tcPr>
          <w:p>
            <w:pPr>
              <w:ind w:left="80"/>
              <w:spacing w:after="0"/>
              <w:rPr>
                <w:sz w:val="20"/>
                <w:szCs w:val="20"/>
                <w:color w:val="auto"/>
              </w:rPr>
            </w:pPr>
            <w:r>
              <w:rPr>
                <w:rFonts w:ascii="Arial" w:cs="Arial" w:eastAsia="Arial" w:hAnsi="Arial"/>
                <w:sz w:val="10"/>
                <w:szCs w:val="10"/>
                <w:i w:val="1"/>
                <w:iCs w:val="1"/>
                <w:color w:val="auto"/>
              </w:rPr>
              <w:t>Operating cash flow conversion (%)</w:t>
            </w:r>
          </w:p>
        </w:tc>
        <w:tc>
          <w:tcPr>
            <w:tcW w:w="9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0"/>
                <w:szCs w:val="10"/>
                <w:i w:val="1"/>
                <w:iCs w:val="1"/>
                <w:color w:val="auto"/>
              </w:rPr>
              <w:t>NM</w:t>
            </w: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0"/>
                <w:szCs w:val="10"/>
                <w:i w:val="1"/>
                <w:iCs w:val="1"/>
                <w:color w:val="auto"/>
              </w:rPr>
              <w:t>62%</w:t>
            </w: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0"/>
                <w:szCs w:val="10"/>
                <w:i w:val="1"/>
                <w:iCs w:val="1"/>
                <w:color w:val="auto"/>
              </w:rPr>
              <w:t>NM</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0"/>
                <w:szCs w:val="10"/>
                <w:i w:val="1"/>
                <w:iCs w:val="1"/>
                <w:color w:val="auto"/>
              </w:rPr>
              <w:t>63%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3"/>
        </w:trPr>
        <w:tc>
          <w:tcPr>
            <w:tcW w:w="3220" w:type="dxa"/>
            <w:vAlign w:val="bottom"/>
          </w:tcPr>
          <w:p>
            <w:pPr>
              <w:spacing w:after="0" w:line="153" w:lineRule="exact"/>
              <w:rPr>
                <w:sz w:val="20"/>
                <w:szCs w:val="20"/>
                <w:color w:val="auto"/>
              </w:rPr>
            </w:pPr>
            <w:r>
              <w:rPr>
                <w:rFonts w:ascii="Arial" w:cs="Arial" w:eastAsia="Arial" w:hAnsi="Arial"/>
                <w:sz w:val="12"/>
                <w:szCs w:val="12"/>
                <w:b w:val="1"/>
                <w:bCs w:val="1"/>
                <w:color w:val="auto"/>
              </w:rPr>
              <w:t>Non-GAAP</w:t>
            </w:r>
            <w:r>
              <w:rPr>
                <w:rFonts w:ascii="Arial" w:cs="Arial" w:eastAsia="Arial" w:hAnsi="Arial"/>
                <w:sz w:val="15"/>
                <w:szCs w:val="15"/>
                <w:b w:val="1"/>
                <w:bCs w:val="1"/>
                <w:color w:val="auto"/>
                <w:vertAlign w:val="superscript"/>
              </w:rPr>
              <w:t>1</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35"/>
        </w:trPr>
        <w:tc>
          <w:tcPr>
            <w:tcW w:w="3220" w:type="dxa"/>
            <w:vAlign w:val="bottom"/>
            <w:shd w:val="clear" w:color="auto" w:fill="CCEEFF"/>
          </w:tcPr>
          <w:p>
            <w:pPr>
              <w:spacing w:after="0"/>
              <w:rPr>
                <w:sz w:val="20"/>
                <w:szCs w:val="20"/>
                <w:color w:val="auto"/>
              </w:rPr>
            </w:pPr>
            <w:r>
              <w:rPr>
                <w:rFonts w:ascii="Arial" w:cs="Arial" w:eastAsia="Arial" w:hAnsi="Arial"/>
                <w:sz w:val="10"/>
                <w:szCs w:val="10"/>
                <w:color w:val="auto"/>
              </w:rPr>
              <w:t>Adjusted EBITDA</w:t>
            </w: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44,210</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36,202</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170,688</w:t>
            </w: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142,688</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20 %</w:t>
            </w:r>
          </w:p>
        </w:tc>
      </w:tr>
      <w:tr>
        <w:trPr>
          <w:trHeight w:val="132"/>
        </w:trPr>
        <w:tc>
          <w:tcPr>
            <w:tcW w:w="3220" w:type="dxa"/>
            <w:vAlign w:val="bottom"/>
          </w:tcPr>
          <w:p>
            <w:pPr>
              <w:ind w:left="80"/>
              <w:spacing w:after="0"/>
              <w:rPr>
                <w:sz w:val="20"/>
                <w:szCs w:val="20"/>
                <w:color w:val="auto"/>
              </w:rPr>
            </w:pPr>
            <w:r>
              <w:rPr>
                <w:rFonts w:ascii="Arial" w:cs="Arial" w:eastAsia="Arial" w:hAnsi="Arial"/>
                <w:sz w:val="10"/>
                <w:szCs w:val="10"/>
                <w:i w:val="1"/>
                <w:iCs w:val="1"/>
                <w:color w:val="auto"/>
              </w:rPr>
              <w:t>Adjusted EBITDA margin (%)</w:t>
            </w:r>
          </w:p>
        </w:tc>
        <w:tc>
          <w:tcPr>
            <w:tcW w:w="90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i w:val="1"/>
                <w:iCs w:val="1"/>
                <w:color w:val="auto"/>
              </w:rPr>
              <w:t>46%</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jc w:val="right"/>
              <w:ind w:right="52"/>
              <w:spacing w:after="0"/>
              <w:rPr>
                <w:sz w:val="20"/>
                <w:szCs w:val="20"/>
                <w:color w:val="auto"/>
              </w:rPr>
            </w:pPr>
            <w:r>
              <w:rPr>
                <w:rFonts w:ascii="Arial" w:cs="Arial" w:eastAsia="Arial" w:hAnsi="Arial"/>
                <w:sz w:val="10"/>
                <w:szCs w:val="10"/>
                <w:i w:val="1"/>
                <w:iCs w:val="1"/>
                <w:color w:val="auto"/>
              </w:rPr>
              <w:t>44%</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i w:val="1"/>
                <w:iCs w:val="1"/>
                <w:color w:val="auto"/>
              </w:rPr>
              <w:t>47%</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i w:val="1"/>
                <w:iCs w:val="1"/>
                <w:color w:val="auto"/>
              </w:rPr>
              <w:t>46%</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8"/>
        </w:trPr>
        <w:tc>
          <w:tcPr>
            <w:tcW w:w="3220" w:type="dxa"/>
            <w:vAlign w:val="bottom"/>
            <w:shd w:val="clear" w:color="auto" w:fill="CCEEFF"/>
          </w:tcPr>
          <w:p>
            <w:pPr>
              <w:spacing w:after="0"/>
              <w:rPr>
                <w:sz w:val="20"/>
                <w:szCs w:val="20"/>
                <w:color w:val="auto"/>
              </w:rPr>
            </w:pPr>
            <w:r>
              <w:rPr>
                <w:rFonts w:ascii="Arial" w:cs="Arial" w:eastAsia="Arial" w:hAnsi="Arial"/>
                <w:sz w:val="10"/>
                <w:szCs w:val="10"/>
                <w:color w:val="auto"/>
              </w:rPr>
              <w:t>Free cash flow</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32,998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18,969</w:t>
            </w: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151,051</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117,307</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29 %</w:t>
            </w:r>
          </w:p>
        </w:tc>
      </w:tr>
      <w:tr>
        <w:trPr>
          <w:trHeight w:val="129"/>
        </w:trPr>
        <w:tc>
          <w:tcPr>
            <w:tcW w:w="3220" w:type="dxa"/>
            <w:vAlign w:val="bottom"/>
          </w:tcPr>
          <w:p>
            <w:pPr>
              <w:ind w:left="80"/>
              <w:spacing w:after="0"/>
              <w:rPr>
                <w:sz w:val="20"/>
                <w:szCs w:val="20"/>
                <w:color w:val="auto"/>
              </w:rPr>
            </w:pPr>
            <w:r>
              <w:rPr>
                <w:rFonts w:ascii="Arial" w:cs="Arial" w:eastAsia="Arial" w:hAnsi="Arial"/>
                <w:sz w:val="10"/>
                <w:szCs w:val="10"/>
                <w:i w:val="1"/>
                <w:iCs w:val="1"/>
                <w:color w:val="auto"/>
              </w:rPr>
              <w:t>Free cash flow conversion (%)</w:t>
            </w:r>
          </w:p>
        </w:tc>
        <w:tc>
          <w:tcPr>
            <w:tcW w:w="90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i w:val="1"/>
                <w:iCs w:val="1"/>
                <w:color w:val="auto"/>
              </w:rPr>
              <w:t>75%</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jc w:val="right"/>
              <w:ind w:right="52"/>
              <w:spacing w:after="0"/>
              <w:rPr>
                <w:sz w:val="20"/>
                <w:szCs w:val="20"/>
                <w:color w:val="auto"/>
              </w:rPr>
            </w:pPr>
            <w:r>
              <w:rPr>
                <w:rFonts w:ascii="Arial" w:cs="Arial" w:eastAsia="Arial" w:hAnsi="Arial"/>
                <w:sz w:val="10"/>
                <w:szCs w:val="10"/>
                <w:i w:val="1"/>
                <w:iCs w:val="1"/>
                <w:color w:val="auto"/>
              </w:rPr>
              <w:t>52%</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i w:val="1"/>
                <w:iCs w:val="1"/>
                <w:color w:val="auto"/>
              </w:rPr>
              <w:t>88%</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jc w:val="right"/>
              <w:ind w:right="32"/>
              <w:spacing w:after="0"/>
              <w:rPr>
                <w:sz w:val="20"/>
                <w:szCs w:val="20"/>
                <w:color w:val="auto"/>
              </w:rPr>
            </w:pPr>
            <w:r>
              <w:rPr>
                <w:rFonts w:ascii="Arial" w:cs="Arial" w:eastAsia="Arial" w:hAnsi="Arial"/>
                <w:sz w:val="10"/>
                <w:szCs w:val="10"/>
                <w:i w:val="1"/>
                <w:iCs w:val="1"/>
                <w:color w:val="auto"/>
              </w:rPr>
              <w:t>82%</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 w:right="140" w:hanging="8"/>
        <w:spacing w:after="0" w:line="198" w:lineRule="auto"/>
        <w:tabs>
          <w:tab w:leader="none" w:pos="100" w:val="left"/>
        </w:tabs>
        <w:numPr>
          <w:ilvl w:val="0"/>
          <w:numId w:val="2"/>
        </w:numPr>
        <w:rPr>
          <w:rFonts w:ascii="Arial" w:cs="Arial" w:eastAsia="Arial" w:hAnsi="Arial"/>
          <w:sz w:val="19"/>
          <w:szCs w:val="19"/>
          <w:color w:val="auto"/>
          <w:vertAlign w:val="superscript"/>
        </w:rPr>
      </w:pPr>
      <w:r>
        <w:rPr>
          <w:rFonts w:ascii="Arial" w:cs="Arial" w:eastAsia="Arial" w:hAnsi="Arial"/>
          <w:sz w:val="11"/>
          <w:szCs w:val="11"/>
          <w:color w:val="auto"/>
        </w:rPr>
        <w:t>Non-GAAP measure. Wealthfront’s reasons for use of the non-GAAP measure and a detailed reconciliation between the non-GAAP measure and the comparable GAAP amount are included at the end of this document in the section labeled ‘Non-GAAP Reconciliations’.</w:t>
      </w:r>
    </w:p>
    <w:p>
      <w:pPr>
        <w:sectPr>
          <w:pgSz w:w="11900" w:h="16838" w:orient="portrait"/>
          <w:cols w:equalWidth="0" w:num="1">
            <w:col w:w="11288"/>
          </w:cols>
          <w:pgMar w:left="292" w:top="292" w:right="319" w:bottom="1440" w:gutter="0" w:footer="0" w:header="0"/>
        </w:sectPr>
      </w:pPr>
    </w:p>
    <w:bookmarkStart w:id="5" w:name="page6"/>
    <w:bookmarkEnd w:id="5"/>
    <w:p>
      <w:pPr>
        <w:ind w:left="8"/>
        <w:spacing w:after="0"/>
        <w:rPr>
          <w:sz w:val="20"/>
          <w:szCs w:val="20"/>
          <w:color w:val="auto"/>
        </w:rPr>
      </w:pPr>
      <w:r>
        <w:rPr>
          <w:rFonts w:ascii="Arial" w:cs="Arial" w:eastAsia="Arial" w:hAnsi="Arial"/>
          <w:sz w:val="14"/>
          <w:szCs w:val="14"/>
          <w:b w:val="1"/>
          <w:bCs w:val="1"/>
          <w:color w:val="auto"/>
        </w:rPr>
        <w:t>F4Q26 Financial Highlights</w:t>
      </w:r>
    </w:p>
    <w:p>
      <w:pPr>
        <w:spacing w:after="0" w:line="118" w:lineRule="exact"/>
        <w:rPr>
          <w:sz w:val="20"/>
          <w:szCs w:val="20"/>
          <w:color w:val="auto"/>
        </w:rPr>
      </w:pPr>
    </w:p>
    <w:p>
      <w:pPr>
        <w:jc w:val="both"/>
        <w:ind w:left="428" w:right="80" w:hanging="212"/>
        <w:spacing w:after="0" w:line="289" w:lineRule="auto"/>
        <w:tabs>
          <w:tab w:leader="none" w:pos="424"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Quarterly total revenue </w:t>
      </w:r>
      <w:r>
        <w:rPr>
          <w:rFonts w:ascii="Arial" w:cs="Arial" w:eastAsia="Arial" w:hAnsi="Arial"/>
          <w:sz w:val="14"/>
          <w:szCs w:val="14"/>
          <w:color w:val="auto"/>
        </w:rPr>
        <w:t>of $96.1 million increased 16% year-over-year primarily driven by a 17% year-over-year increase in</w:t>
      </w:r>
      <w:r>
        <w:rPr>
          <w:rFonts w:ascii="Arial" w:cs="Arial" w:eastAsia="Arial" w:hAnsi="Arial"/>
          <w:sz w:val="14"/>
          <w:szCs w:val="14"/>
          <w:b w:val="1"/>
          <w:bCs w:val="1"/>
          <w:color w:val="auto"/>
        </w:rPr>
        <w:t xml:space="preserve"> Total Platform Assets </w:t>
      </w:r>
      <w:r>
        <w:rPr>
          <w:rFonts w:ascii="Arial" w:cs="Arial" w:eastAsia="Arial" w:hAnsi="Arial"/>
          <w:sz w:val="14"/>
          <w:szCs w:val="14"/>
          <w:color w:val="auto"/>
        </w:rPr>
        <w:t>to $94.1 billion.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includes </w:t>
      </w:r>
      <w:r>
        <w:rPr>
          <w:rFonts w:ascii="Arial" w:cs="Arial" w:eastAsia="Arial" w:hAnsi="Arial"/>
          <w:sz w:val="14"/>
          <w:szCs w:val="14"/>
          <w:b w:val="1"/>
          <w:bCs w:val="1"/>
          <w:color w:val="auto"/>
        </w:rPr>
        <w:t>Investment Advisory Assets</w:t>
      </w:r>
      <w:r>
        <w:rPr>
          <w:rFonts w:ascii="Arial" w:cs="Arial" w:eastAsia="Arial" w:hAnsi="Arial"/>
          <w:sz w:val="14"/>
          <w:szCs w:val="14"/>
          <w:color w:val="auto"/>
        </w:rPr>
        <w:t xml:space="preserve"> of $48.7 billion, which were up 29% year-over-year and </w:t>
      </w:r>
      <w:r>
        <w:rPr>
          <w:rFonts w:ascii="Arial" w:cs="Arial" w:eastAsia="Arial" w:hAnsi="Arial"/>
          <w:sz w:val="14"/>
          <w:szCs w:val="14"/>
          <w:b w:val="1"/>
          <w:bCs w:val="1"/>
          <w:color w:val="auto"/>
        </w:rPr>
        <w:t>Cash Management Assets</w:t>
      </w:r>
      <w:r>
        <w:rPr>
          <w:rFonts w:ascii="Arial" w:cs="Arial" w:eastAsia="Arial" w:hAnsi="Arial"/>
          <w:sz w:val="14"/>
          <w:szCs w:val="14"/>
          <w:color w:val="auto"/>
        </w:rPr>
        <w:t xml:space="preserve"> of $45.4 billion, which were up 7% year-over-year. Change in Total Platform Assets included </w:t>
      </w:r>
      <w:r>
        <w:rPr>
          <w:rFonts w:ascii="Arial" w:cs="Arial" w:eastAsia="Arial" w:hAnsi="Arial"/>
          <w:sz w:val="14"/>
          <w:szCs w:val="14"/>
          <w:b w:val="1"/>
          <w:bCs w:val="1"/>
          <w:color w:val="auto"/>
        </w:rPr>
        <w:t>Total Net Deposits</w:t>
      </w:r>
      <w:r>
        <w:rPr>
          <w:rFonts w:ascii="Arial" w:cs="Arial" w:eastAsia="Arial" w:hAnsi="Arial"/>
          <w:sz w:val="14"/>
          <w:szCs w:val="14"/>
          <w:color w:val="auto"/>
        </w:rPr>
        <w:t xml:space="preserve"> of $6.7 billion in the year and $(360) million in the quarter.</w:t>
      </w:r>
    </w:p>
    <w:p>
      <w:pPr>
        <w:spacing w:after="0" w:line="48" w:lineRule="exact"/>
        <w:rPr>
          <w:rFonts w:ascii="Arial" w:cs="Arial" w:eastAsia="Arial" w:hAnsi="Arial"/>
          <w:sz w:val="14"/>
          <w:szCs w:val="14"/>
          <w:color w:val="auto"/>
        </w:rPr>
      </w:pPr>
    </w:p>
    <w:p>
      <w:pPr>
        <w:ind w:left="428" w:hanging="212"/>
        <w:spacing w:after="0"/>
        <w:tabs>
          <w:tab w:leader="none" w:pos="428"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Funded Clients </w:t>
      </w:r>
      <w:r>
        <w:rPr>
          <w:rFonts w:ascii="Arial" w:cs="Arial" w:eastAsia="Arial" w:hAnsi="Arial"/>
          <w:sz w:val="14"/>
          <w:szCs w:val="14"/>
          <w:color w:val="auto"/>
        </w:rPr>
        <w:t>of 1.42 million grew 17% year-over-year.</w:t>
      </w:r>
      <w:r>
        <w:rPr>
          <w:rFonts w:ascii="Arial" w:cs="Arial" w:eastAsia="Arial" w:hAnsi="Arial"/>
          <w:sz w:val="14"/>
          <w:szCs w:val="14"/>
          <w:b w:val="1"/>
          <w:bCs w:val="1"/>
          <w:color w:val="auto"/>
        </w:rPr>
        <w:t xml:space="preserve"> Funded Accounts </w:t>
      </w:r>
      <w:r>
        <w:rPr>
          <w:rFonts w:ascii="Arial" w:cs="Arial" w:eastAsia="Arial" w:hAnsi="Arial"/>
          <w:sz w:val="14"/>
          <w:szCs w:val="14"/>
          <w:color w:val="auto"/>
        </w:rPr>
        <w:t>of 1.84 million grew 16% year-over-year.</w:t>
      </w:r>
    </w:p>
    <w:p>
      <w:pPr>
        <w:spacing w:after="0" w:line="118" w:lineRule="exact"/>
        <w:rPr>
          <w:rFonts w:ascii="Arial" w:cs="Arial" w:eastAsia="Arial" w:hAnsi="Arial"/>
          <w:sz w:val="14"/>
          <w:szCs w:val="14"/>
          <w:color w:val="auto"/>
        </w:rPr>
      </w:pPr>
    </w:p>
    <w:p>
      <w:pPr>
        <w:ind w:left="428" w:hanging="212"/>
        <w:spacing w:after="0" w:line="276" w:lineRule="auto"/>
        <w:tabs>
          <w:tab w:leader="none" w:pos="424"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GAAP expenses </w:t>
      </w:r>
      <w:r>
        <w:rPr>
          <w:rFonts w:ascii="Arial" w:cs="Arial" w:eastAsia="Arial" w:hAnsi="Arial"/>
          <w:sz w:val="14"/>
          <w:szCs w:val="14"/>
          <w:color w:val="auto"/>
        </w:rPr>
        <w:t>of $310.7 million compared to $51.8 million in the prior year quarter, with the increase due primarily to higher stock-based compensation (SBC)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primarily tied to one-time, IPO-related SBC expense of $239.0 million. </w:t>
      </w:r>
      <w:r>
        <w:rPr>
          <w:rFonts w:ascii="Arial" w:cs="Arial" w:eastAsia="Arial" w:hAnsi="Arial"/>
          <w:sz w:val="14"/>
          <w:szCs w:val="14"/>
          <w:b w:val="1"/>
          <w:bCs w:val="1"/>
          <w:color w:val="auto"/>
        </w:rPr>
        <w:t>Adjusted operating expenses</w:t>
      </w:r>
      <w:r>
        <w:rPr>
          <w:rFonts w:ascii="Arial" w:cs="Arial" w:eastAsia="Arial" w:hAnsi="Arial"/>
          <w:sz w:val="14"/>
          <w:szCs w:val="14"/>
          <w:color w:val="auto"/>
        </w:rPr>
        <w:t xml:space="preserve"> of $57.1 million increased 15% year-over-year due to higher product development expense, partially offset by lower marketing expense.</w:t>
      </w:r>
    </w:p>
    <w:p>
      <w:pPr>
        <w:spacing w:after="0" w:line="74" w:lineRule="exact"/>
        <w:rPr>
          <w:rFonts w:ascii="Arial" w:cs="Arial" w:eastAsia="Arial" w:hAnsi="Arial"/>
          <w:sz w:val="14"/>
          <w:szCs w:val="14"/>
          <w:color w:val="auto"/>
        </w:rPr>
      </w:pPr>
    </w:p>
    <w:p>
      <w:pPr>
        <w:ind w:left="428" w:right="300" w:hanging="212"/>
        <w:spacing w:after="0" w:line="276" w:lineRule="auto"/>
        <w:tabs>
          <w:tab w:leader="none" w:pos="424"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GAAP diluted net income (loss) </w:t>
      </w:r>
      <w:r>
        <w:rPr>
          <w:rFonts w:ascii="Arial" w:cs="Arial" w:eastAsia="Arial" w:hAnsi="Arial"/>
          <w:sz w:val="14"/>
          <w:szCs w:val="14"/>
          <w:color w:val="auto"/>
        </w:rPr>
        <w:t>of $(134.8) million compared to $32.1 million in the prior year quarter with the decline due to higher GAAP expenses primarily tied 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one-time, IPO-related SBC expense of $239.0 million. </w:t>
      </w:r>
      <w:r>
        <w:rPr>
          <w:rFonts w:ascii="Arial" w:cs="Arial" w:eastAsia="Arial" w:hAnsi="Arial"/>
          <w:sz w:val="14"/>
          <w:szCs w:val="14"/>
          <w:b w:val="1"/>
          <w:bCs w:val="1"/>
          <w:color w:val="auto"/>
        </w:rPr>
        <w:t>GAAP diluted net income margin</w:t>
      </w:r>
      <w:r>
        <w:rPr>
          <w:rFonts w:ascii="Arial" w:cs="Arial" w:eastAsia="Arial" w:hAnsi="Arial"/>
          <w:sz w:val="14"/>
          <w:szCs w:val="14"/>
          <w:color w:val="auto"/>
        </w:rPr>
        <w:t xml:space="preserve"> was (140)%, compared to 39% in the prior year quarter with the decrease primarily driven by one-time, IPO-related SBC expense.</w:t>
      </w:r>
    </w:p>
    <w:p>
      <w:pPr>
        <w:spacing w:after="0" w:line="65" w:lineRule="exact"/>
        <w:rPr>
          <w:rFonts w:ascii="Arial" w:cs="Arial" w:eastAsia="Arial" w:hAnsi="Arial"/>
          <w:sz w:val="14"/>
          <w:szCs w:val="14"/>
          <w:color w:val="auto"/>
        </w:rPr>
      </w:pPr>
    </w:p>
    <w:p>
      <w:pPr>
        <w:ind w:left="428" w:hanging="212"/>
        <w:spacing w:after="0"/>
        <w:tabs>
          <w:tab w:leader="none" w:pos="428"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GAAP diluted EPS </w:t>
      </w:r>
      <w:r>
        <w:rPr>
          <w:rFonts w:ascii="Arial" w:cs="Arial" w:eastAsia="Arial" w:hAnsi="Arial"/>
          <w:sz w:val="14"/>
          <w:szCs w:val="14"/>
          <w:color w:val="auto"/>
        </w:rPr>
        <w:t>was $(1.31) compared to $0.23 in the prior year quarter driven primarily by one-time, IPO-related SBC expense.</w:t>
      </w:r>
    </w:p>
    <w:p>
      <w:pPr>
        <w:spacing w:after="0" w:line="118" w:lineRule="exact"/>
        <w:rPr>
          <w:rFonts w:ascii="Arial" w:cs="Arial" w:eastAsia="Arial" w:hAnsi="Arial"/>
          <w:sz w:val="14"/>
          <w:szCs w:val="14"/>
          <w:color w:val="auto"/>
        </w:rPr>
      </w:pPr>
    </w:p>
    <w:p>
      <w:pPr>
        <w:ind w:left="428" w:right="360" w:hanging="212"/>
        <w:spacing w:after="0" w:line="235" w:lineRule="auto"/>
        <w:tabs>
          <w:tab w:leader="none" w:pos="424"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Adjusted EBITDA</w:t>
      </w:r>
      <w:r>
        <w:rPr>
          <w:rFonts w:ascii="Arial" w:cs="Arial" w:eastAsia="Arial" w:hAnsi="Arial"/>
          <w:sz w:val="18"/>
          <w:szCs w:val="18"/>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of $44.2 million grew 22% year-over-year.</w:t>
      </w:r>
      <w:r>
        <w:rPr>
          <w:rFonts w:ascii="Arial" w:cs="Arial" w:eastAsia="Arial" w:hAnsi="Arial"/>
          <w:sz w:val="14"/>
          <w:szCs w:val="14"/>
          <w:b w:val="1"/>
          <w:bCs w:val="1"/>
          <w:color w:val="auto"/>
        </w:rPr>
        <w:t xml:space="preserve"> Adjusted EBITDA margin</w:t>
      </w:r>
      <w:r>
        <w:rPr>
          <w:rFonts w:ascii="Arial" w:cs="Arial" w:eastAsia="Arial" w:hAnsi="Arial"/>
          <w:sz w:val="18"/>
          <w:szCs w:val="18"/>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was 46%, compared to 44% for the prior year quarter.</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We expect Adjusted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EBITDA margins to decline sequentially but remain above 40% for the fiscal first quarter 2027.</w:t>
      </w:r>
    </w:p>
    <w:p>
      <w:pPr>
        <w:spacing w:after="0" w:line="96" w:lineRule="exact"/>
        <w:rPr>
          <w:rFonts w:ascii="Arial" w:cs="Arial" w:eastAsia="Arial" w:hAnsi="Arial"/>
          <w:sz w:val="14"/>
          <w:szCs w:val="14"/>
          <w:color w:val="auto"/>
        </w:rPr>
      </w:pPr>
    </w:p>
    <w:p>
      <w:pPr>
        <w:ind w:left="428" w:right="160" w:hanging="212"/>
        <w:spacing w:after="0" w:line="237" w:lineRule="auto"/>
        <w:tabs>
          <w:tab w:leader="none" w:pos="424"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Net cash provided by operating activities </w:t>
      </w:r>
      <w:r>
        <w:rPr>
          <w:rFonts w:ascii="Arial" w:cs="Arial" w:eastAsia="Arial" w:hAnsi="Arial"/>
          <w:sz w:val="14"/>
          <w:szCs w:val="14"/>
          <w:color w:val="auto"/>
        </w:rPr>
        <w:t>was $33.3 million and</w:t>
      </w:r>
      <w:r>
        <w:rPr>
          <w:rFonts w:ascii="Arial" w:cs="Arial" w:eastAsia="Arial" w:hAnsi="Arial"/>
          <w:sz w:val="14"/>
          <w:szCs w:val="14"/>
          <w:b w:val="1"/>
          <w:bCs w:val="1"/>
          <w:color w:val="auto"/>
        </w:rPr>
        <w:t xml:space="preserve"> Free cash flow</w:t>
      </w:r>
      <w:r>
        <w:rPr>
          <w:rFonts w:ascii="Arial" w:cs="Arial" w:eastAsia="Arial" w:hAnsi="Arial"/>
          <w:sz w:val="18"/>
          <w:szCs w:val="18"/>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was $33.0 million.</w:t>
      </w:r>
      <w:r>
        <w:rPr>
          <w:rFonts w:ascii="Arial" w:cs="Arial" w:eastAsia="Arial" w:hAnsi="Arial"/>
          <w:sz w:val="14"/>
          <w:szCs w:val="14"/>
          <w:b w:val="1"/>
          <w:bCs w:val="1"/>
          <w:color w:val="auto"/>
        </w:rPr>
        <w:t xml:space="preserve"> Free cash flow conversion ratio</w:t>
      </w:r>
      <w:r>
        <w:rPr>
          <w:rFonts w:ascii="Arial" w:cs="Arial" w:eastAsia="Arial" w:hAnsi="Arial"/>
          <w:sz w:val="18"/>
          <w:szCs w:val="18"/>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was 75% for the three months</w:t>
      </w:r>
      <w:r>
        <w:rPr>
          <w:rFonts w:ascii="Arial" w:cs="Arial" w:eastAsia="Arial" w:hAnsi="Arial"/>
          <w:sz w:val="14"/>
          <w:szCs w:val="14"/>
          <w:b w:val="1"/>
          <w:bCs w:val="1"/>
          <w:color w:val="auto"/>
        </w:rPr>
        <w:t xml:space="preserve"> </w:t>
      </w:r>
      <w:r>
        <w:rPr>
          <w:rFonts w:ascii="Arial" w:cs="Arial" w:eastAsia="Arial" w:hAnsi="Arial"/>
          <w:sz w:val="14"/>
          <w:szCs w:val="14"/>
          <w:color w:val="auto"/>
        </w:rPr>
        <w:t>ended January 31, 2026 and 88% in the twelve months ended January 31, 2026.</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F2026 Financial Highlights</w:t>
      </w:r>
    </w:p>
    <w:p>
      <w:pPr>
        <w:spacing w:after="0" w:line="118" w:lineRule="exact"/>
        <w:rPr>
          <w:sz w:val="20"/>
          <w:szCs w:val="20"/>
          <w:color w:val="auto"/>
        </w:rPr>
      </w:pPr>
    </w:p>
    <w:p>
      <w:pPr>
        <w:ind w:left="428" w:hanging="212"/>
        <w:spacing w:after="0"/>
        <w:tabs>
          <w:tab w:leader="none" w:pos="428"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Annual total revenue </w:t>
      </w:r>
      <w:r>
        <w:rPr>
          <w:rFonts w:ascii="Arial" w:cs="Arial" w:eastAsia="Arial" w:hAnsi="Arial"/>
          <w:sz w:val="14"/>
          <w:szCs w:val="14"/>
          <w:color w:val="auto"/>
        </w:rPr>
        <w:t>of $365.0 million increased 18% year-over-year.</w:t>
      </w:r>
    </w:p>
    <w:p>
      <w:pPr>
        <w:spacing w:after="0" w:line="118" w:lineRule="exact"/>
        <w:rPr>
          <w:rFonts w:ascii="Arial" w:cs="Arial" w:eastAsia="Arial" w:hAnsi="Arial"/>
          <w:sz w:val="14"/>
          <w:szCs w:val="14"/>
          <w:color w:val="auto"/>
        </w:rPr>
      </w:pPr>
    </w:p>
    <w:p>
      <w:pPr>
        <w:ind w:left="428" w:right="240" w:hanging="212"/>
        <w:spacing w:after="0" w:line="283" w:lineRule="auto"/>
        <w:tabs>
          <w:tab w:leader="none" w:pos="424"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Annual GAAP expenses </w:t>
      </w:r>
      <w:r>
        <w:rPr>
          <w:rFonts w:ascii="Arial" w:cs="Arial" w:eastAsia="Arial" w:hAnsi="Arial"/>
          <w:sz w:val="14"/>
          <w:szCs w:val="14"/>
          <w:color w:val="auto"/>
        </w:rPr>
        <w:t xml:space="preserve">of $476.2 million compared to $187.4 million in the prior year with the increase due to higher SBC expense primarily tied to one-time, IPO-related SBC expense of $239.0 million. </w:t>
      </w:r>
      <w:r>
        <w:rPr>
          <w:rFonts w:ascii="Arial" w:cs="Arial" w:eastAsia="Arial" w:hAnsi="Arial"/>
          <w:sz w:val="14"/>
          <w:szCs w:val="14"/>
          <w:b w:val="1"/>
          <w:bCs w:val="1"/>
          <w:color w:val="auto"/>
        </w:rPr>
        <w:t>Annual adjusted operating expenses</w:t>
      </w:r>
      <w:r>
        <w:rPr>
          <w:rFonts w:ascii="Arial" w:cs="Arial" w:eastAsia="Arial" w:hAnsi="Arial"/>
          <w:sz w:val="14"/>
          <w:szCs w:val="14"/>
          <w:color w:val="auto"/>
        </w:rPr>
        <w:t xml:space="preserve"> of $211.1 million increased 19% year-over-year due to higher product development and general &amp; administrative expense, partially offset by lower marketing expense.</w:t>
      </w:r>
    </w:p>
    <w:p>
      <w:pPr>
        <w:spacing w:after="0" w:line="60" w:lineRule="exact"/>
        <w:rPr>
          <w:rFonts w:ascii="Arial" w:cs="Arial" w:eastAsia="Arial" w:hAnsi="Arial"/>
          <w:sz w:val="14"/>
          <w:szCs w:val="14"/>
          <w:color w:val="auto"/>
        </w:rPr>
      </w:pPr>
    </w:p>
    <w:p>
      <w:pPr>
        <w:ind w:left="428" w:right="40" w:hanging="212"/>
        <w:spacing w:after="0" w:line="310" w:lineRule="auto"/>
        <w:tabs>
          <w:tab w:leader="none" w:pos="424"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Annual GAAP diluted net income (loss) </w:t>
      </w:r>
      <w:r>
        <w:rPr>
          <w:rFonts w:ascii="Arial" w:cs="Arial" w:eastAsia="Arial" w:hAnsi="Arial"/>
          <w:sz w:val="14"/>
          <w:szCs w:val="14"/>
          <w:color w:val="auto"/>
        </w:rPr>
        <w:t>of $(43.2) million compared to $181.8 million in the prior year due to the one-time impact of IPO-related SBC expense of $239.0</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million. </w:t>
      </w:r>
      <w:r>
        <w:rPr>
          <w:rFonts w:ascii="Arial" w:cs="Arial" w:eastAsia="Arial" w:hAnsi="Arial"/>
          <w:sz w:val="14"/>
          <w:szCs w:val="14"/>
          <w:b w:val="1"/>
          <w:bCs w:val="1"/>
          <w:color w:val="auto"/>
        </w:rPr>
        <w:t>Annual GAAP diluted net income margin</w:t>
      </w:r>
      <w:r>
        <w:rPr>
          <w:rFonts w:ascii="Arial" w:cs="Arial" w:eastAsia="Arial" w:hAnsi="Arial"/>
          <w:sz w:val="14"/>
          <w:szCs w:val="14"/>
          <w:color w:val="auto"/>
        </w:rPr>
        <w:t xml:space="preserve"> was (12)%, compared to 59% in the prior year with the decrease primarily driven by the same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right="160" w:hanging="8"/>
        <w:spacing w:after="0" w:line="192" w:lineRule="auto"/>
        <w:tabs>
          <w:tab w:leader="none" w:pos="100" w:val="left"/>
        </w:tabs>
        <w:numPr>
          <w:ilvl w:val="0"/>
          <w:numId w:val="5"/>
        </w:numPr>
        <w:rPr>
          <w:rFonts w:ascii="Arial" w:cs="Arial" w:eastAsia="Arial" w:hAnsi="Arial"/>
          <w:sz w:val="19"/>
          <w:szCs w:val="19"/>
          <w:color w:val="auto"/>
          <w:vertAlign w:val="superscript"/>
        </w:rPr>
      </w:pPr>
      <w:r>
        <w:rPr>
          <w:rFonts w:ascii="Arial" w:cs="Arial" w:eastAsia="Arial" w:hAnsi="Arial"/>
          <w:sz w:val="11"/>
          <w:szCs w:val="11"/>
          <w:color w:val="auto"/>
        </w:rPr>
        <w:t>Non-GAAP measure. Wealthfront’s reasons for use of the non-GAAP measure and a detailed reconciliation between the non-GAAP measure and the comparable GAAP amount are included at the end of this document in the section labeled ‘Non-GAAP Reconciliations’.</w:t>
      </w:r>
    </w:p>
    <w:p>
      <w:pPr>
        <w:sectPr>
          <w:pgSz w:w="11900" w:h="16838" w:orient="portrait"/>
          <w:cols w:equalWidth="0" w:num="1">
            <w:col w:w="11308"/>
          </w:cols>
          <w:pgMar w:left="292" w:top="1102" w:right="299" w:bottom="1440" w:gutter="0" w:footer="0" w:header="0"/>
        </w:sectPr>
      </w:pPr>
    </w:p>
    <w:bookmarkStart w:id="6" w:name="page7"/>
    <w:bookmarkEnd w:id="6"/>
    <w:p>
      <w:pPr>
        <w:ind w:left="428" w:hanging="212"/>
        <w:spacing w:after="0"/>
        <w:tabs>
          <w:tab w:leader="none" w:pos="428"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Annual GAAP diluted EPS </w:t>
      </w:r>
      <w:r>
        <w:rPr>
          <w:rFonts w:ascii="Arial" w:cs="Arial" w:eastAsia="Arial" w:hAnsi="Arial"/>
          <w:sz w:val="14"/>
          <w:szCs w:val="14"/>
          <w:color w:val="auto"/>
        </w:rPr>
        <w:t>was $(0.76) down year-over-year compared to $1.31 in the prior year due primarily to the one-time impact of IPO-related SBC expense.</w:t>
      </w:r>
    </w:p>
    <w:p>
      <w:pPr>
        <w:spacing w:after="0" w:line="118" w:lineRule="exact"/>
        <w:rPr>
          <w:rFonts w:ascii="Arial" w:cs="Arial" w:eastAsia="Arial" w:hAnsi="Arial"/>
          <w:sz w:val="14"/>
          <w:szCs w:val="14"/>
          <w:color w:val="auto"/>
        </w:rPr>
      </w:pPr>
    </w:p>
    <w:p>
      <w:pPr>
        <w:ind w:left="428" w:right="340" w:hanging="212"/>
        <w:spacing w:after="0" w:line="235" w:lineRule="auto"/>
        <w:tabs>
          <w:tab w:leader="none" w:pos="424"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Annual adjusted EBITDA</w:t>
      </w:r>
      <w:r>
        <w:rPr>
          <w:rFonts w:ascii="Arial" w:cs="Arial" w:eastAsia="Arial" w:hAnsi="Arial"/>
          <w:sz w:val="18"/>
          <w:szCs w:val="18"/>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of $170.7 million grew 20% year-over-year.</w:t>
      </w:r>
      <w:r>
        <w:rPr>
          <w:rFonts w:ascii="Arial" w:cs="Arial" w:eastAsia="Arial" w:hAnsi="Arial"/>
          <w:sz w:val="14"/>
          <w:szCs w:val="14"/>
          <w:b w:val="1"/>
          <w:bCs w:val="1"/>
          <w:color w:val="auto"/>
        </w:rPr>
        <w:t xml:space="preserve"> Annual adjusted EBITDA margin</w:t>
      </w:r>
      <w:r>
        <w:rPr>
          <w:rFonts w:ascii="Arial" w:cs="Arial" w:eastAsia="Arial" w:hAnsi="Arial"/>
          <w:sz w:val="18"/>
          <w:szCs w:val="18"/>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was 47%, compared to 46% for the twelve months ended</w:t>
      </w:r>
      <w:r>
        <w:rPr>
          <w:rFonts w:ascii="Arial" w:cs="Arial" w:eastAsia="Arial" w:hAnsi="Arial"/>
          <w:sz w:val="14"/>
          <w:szCs w:val="14"/>
          <w:b w:val="1"/>
          <w:bCs w:val="1"/>
          <w:color w:val="auto"/>
        </w:rPr>
        <w:t xml:space="preserve"> </w:t>
      </w:r>
      <w:r>
        <w:rPr>
          <w:rFonts w:ascii="Arial" w:cs="Arial" w:eastAsia="Arial" w:hAnsi="Arial"/>
          <w:sz w:val="14"/>
          <w:szCs w:val="14"/>
          <w:color w:val="auto"/>
        </w:rPr>
        <w:t>January 31, 2025.</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F4Q26 Business Highlights</w:t>
      </w:r>
    </w:p>
    <w:p>
      <w:pPr>
        <w:spacing w:after="0" w:line="118" w:lineRule="exact"/>
        <w:rPr>
          <w:sz w:val="20"/>
          <w:szCs w:val="20"/>
          <w:color w:val="auto"/>
        </w:rPr>
      </w:pPr>
    </w:p>
    <w:p>
      <w:pPr>
        <w:ind w:left="428" w:hanging="212"/>
        <w:spacing w:after="0" w:line="242" w:lineRule="auto"/>
        <w:tabs>
          <w:tab w:leader="none" w:pos="42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Generated a second consecutive record quarter of net cross account transfers from Cash Management to Investment Advisory </w:t>
      </w:r>
      <w:r>
        <w:rPr>
          <w:rFonts w:ascii="Arial" w:cs="Arial" w:eastAsia="Arial" w:hAnsi="Arial"/>
          <w:sz w:val="14"/>
          <w:szCs w:val="14"/>
          <w:color w:val="auto"/>
        </w:rPr>
        <w:t>amidst a Cash-to-Invest transition</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 This helped drive annualized organic growth</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in Investment Advisory to 11% in the quarter, with monthly annualized organic growth accelerating throughout the period, ending at 15% in January.</w:t>
      </w:r>
    </w:p>
    <w:p>
      <w:pPr>
        <w:spacing w:after="0" w:line="87" w:lineRule="exact"/>
        <w:rPr>
          <w:rFonts w:ascii="Arial" w:cs="Arial" w:eastAsia="Arial" w:hAnsi="Arial"/>
          <w:sz w:val="14"/>
          <w:szCs w:val="14"/>
          <w:b w:val="1"/>
          <w:bCs w:val="1"/>
          <w:color w:val="auto"/>
        </w:rPr>
      </w:pPr>
    </w:p>
    <w:p>
      <w:pPr>
        <w:ind w:left="428" w:right="220" w:hanging="212"/>
        <w:spacing w:after="0" w:line="273" w:lineRule="auto"/>
        <w:tabs>
          <w:tab w:leader="none" w:pos="42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Increased the base Annual Percentage Yield (APY) on the Wealthfront Cash Account by five basis points to 3.30% </w:t>
      </w:r>
      <w:r>
        <w:rPr>
          <w:rFonts w:ascii="Arial" w:cs="Arial" w:eastAsia="Arial" w:hAnsi="Arial"/>
          <w:sz w:val="14"/>
          <w:szCs w:val="14"/>
          <w:color w:val="auto"/>
        </w:rPr>
        <w:t>effective January 30, 2026, as a result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 federal funds rate (EFFR) stabilizing at a higher rate within its target range. This industry-leading APY reflects the company’s ongoing commitment to sharing structural efficiencies and higher yields directly with its clients, further bolstering the value proposition of the Wealthfront Cash Account as the primary home for digital native clients' uninvested cash and savings.</w:t>
      </w:r>
    </w:p>
    <w:p>
      <w:pPr>
        <w:spacing w:after="0" w:line="68" w:lineRule="exact"/>
        <w:rPr>
          <w:rFonts w:ascii="Arial" w:cs="Arial" w:eastAsia="Arial" w:hAnsi="Arial"/>
          <w:sz w:val="14"/>
          <w:szCs w:val="14"/>
          <w:b w:val="1"/>
          <w:bCs w:val="1"/>
          <w:color w:val="auto"/>
        </w:rPr>
      </w:pPr>
    </w:p>
    <w:p>
      <w:pPr>
        <w:jc w:val="both"/>
        <w:ind w:left="428" w:right="140" w:hanging="212"/>
        <w:spacing w:after="0" w:line="276" w:lineRule="auto"/>
        <w:tabs>
          <w:tab w:leader="none" w:pos="42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Launched early access to Wealthfront Home Lending, </w:t>
      </w:r>
      <w:r>
        <w:rPr>
          <w:rFonts w:ascii="Arial" w:cs="Arial" w:eastAsia="Arial" w:hAnsi="Arial"/>
          <w:sz w:val="14"/>
          <w:szCs w:val="14"/>
          <w:color w:val="auto"/>
        </w:rPr>
        <w:t>which is intended to deliver a digitally seamless home mortgage experience with low, transparent rates and no</w:t>
      </w:r>
      <w:r>
        <w:rPr>
          <w:rFonts w:ascii="Arial" w:cs="Arial" w:eastAsia="Arial" w:hAnsi="Arial"/>
          <w:sz w:val="14"/>
          <w:szCs w:val="14"/>
          <w:b w:val="1"/>
          <w:bCs w:val="1"/>
          <w:color w:val="auto"/>
        </w:rPr>
        <w:t xml:space="preserve"> </w:t>
      </w:r>
      <w:r>
        <w:rPr>
          <w:rFonts w:ascii="Arial" w:cs="Arial" w:eastAsia="Arial" w:hAnsi="Arial"/>
          <w:sz w:val="14"/>
          <w:szCs w:val="14"/>
          <w:color w:val="auto"/>
        </w:rPr>
        <w:t>hidden fees. The company began a measured rollout to clients in November, starting in Colorado and having since expanded to Texas and California, with a full rollout in those states as well as early access in additional states expected to come later this year.</w:t>
      </w:r>
    </w:p>
    <w:p>
      <w:pPr>
        <w:spacing w:after="0" w:line="74" w:lineRule="exact"/>
        <w:rPr>
          <w:rFonts w:ascii="Arial" w:cs="Arial" w:eastAsia="Arial" w:hAnsi="Arial"/>
          <w:sz w:val="14"/>
          <w:szCs w:val="14"/>
          <w:b w:val="1"/>
          <w:bCs w:val="1"/>
          <w:color w:val="auto"/>
        </w:rPr>
      </w:pPr>
    </w:p>
    <w:p>
      <w:pPr>
        <w:ind w:left="428" w:right="20" w:hanging="212"/>
        <w:spacing w:after="0" w:line="276" w:lineRule="auto"/>
        <w:tabs>
          <w:tab w:leader="none" w:pos="42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Rolled out the Wealthfront Treasury Money Market Fund (WLTXX), </w:t>
      </w:r>
      <w:r>
        <w:rPr>
          <w:rFonts w:ascii="Arial" w:cs="Arial" w:eastAsia="Arial" w:hAnsi="Arial"/>
          <w:sz w:val="14"/>
          <w:szCs w:val="14"/>
          <w:color w:val="auto"/>
        </w:rPr>
        <w:t>a proprietary fund intended to improve after-tax returns through a low-risk, highly liquid investment</w:t>
      </w:r>
      <w:r>
        <w:rPr>
          <w:rFonts w:ascii="Arial" w:cs="Arial" w:eastAsia="Arial" w:hAnsi="Arial"/>
          <w:sz w:val="14"/>
          <w:szCs w:val="14"/>
          <w:b w:val="1"/>
          <w:bCs w:val="1"/>
          <w:color w:val="auto"/>
        </w:rPr>
        <w:t xml:space="preserve"> </w:t>
      </w:r>
      <w:r>
        <w:rPr>
          <w:rFonts w:ascii="Arial" w:cs="Arial" w:eastAsia="Arial" w:hAnsi="Arial"/>
          <w:sz w:val="14"/>
          <w:szCs w:val="14"/>
          <w:color w:val="auto"/>
        </w:rPr>
        <w:t>vehicle and offered at a competitive 0.25% expense ratio. The fund invests primarily in U.S. Treasury securities, offering clients a Cash Management option whose interest is generally exempt from state and local taxes. The fund was initially released to select clients in December with a full rollout scheduled to be completed in March.</w:t>
      </w:r>
    </w:p>
    <w:p>
      <w:pPr>
        <w:spacing w:after="0" w:line="65" w:lineRule="exact"/>
        <w:rPr>
          <w:rFonts w:ascii="Arial" w:cs="Arial" w:eastAsia="Arial" w:hAnsi="Arial"/>
          <w:sz w:val="14"/>
          <w:szCs w:val="14"/>
          <w:b w:val="1"/>
          <w:bCs w:val="1"/>
          <w:color w:val="auto"/>
        </w:rPr>
      </w:pPr>
    </w:p>
    <w:p>
      <w:pPr>
        <w:ind w:left="428" w:right="20" w:hanging="212"/>
        <w:spacing w:after="0" w:line="273" w:lineRule="auto"/>
        <w:tabs>
          <w:tab w:leader="none" w:pos="424"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Took further steps in making the Wealthfront Cash account the best cash account experience for young professional savers </w:t>
      </w:r>
      <w:r>
        <w:rPr>
          <w:rFonts w:ascii="Arial" w:cs="Arial" w:eastAsia="Arial" w:hAnsi="Arial"/>
          <w:sz w:val="14"/>
          <w:szCs w:val="14"/>
          <w:color w:val="auto"/>
        </w:rPr>
        <w:t>including the introduction of a</w:t>
      </w:r>
      <w:r>
        <w:rPr>
          <w:rFonts w:ascii="Arial" w:cs="Arial" w:eastAsia="Arial" w:hAnsi="Arial"/>
          <w:sz w:val="14"/>
          <w:szCs w:val="14"/>
          <w:b w:val="1"/>
          <w:bCs w:val="1"/>
          <w:color w:val="auto"/>
        </w:rPr>
        <w:t xml:space="preserve"> </w:t>
      </w:r>
      <w:r>
        <w:rPr>
          <w:rFonts w:ascii="Arial" w:cs="Arial" w:eastAsia="Arial" w:hAnsi="Arial"/>
          <w:sz w:val="14"/>
          <w:szCs w:val="14"/>
          <w:color w:val="auto"/>
        </w:rPr>
        <w:t>comprehensive transaction search function, real-time debit card notifications for both individual and joint accounts, and increased daily withdrawal limits up to $1 million for qualified clients. The company also bolstered the interoperability of the Cash Management and Investment Advisory accounts, including the introduction of auto dividend sweeps from Investment Advisory accounts to Cash Management accounts.</w:t>
      </w:r>
    </w:p>
    <w:p>
      <w:pPr>
        <w:spacing w:after="0" w:line="200" w:lineRule="exact"/>
        <w:rPr>
          <w:sz w:val="20"/>
          <w:szCs w:val="20"/>
          <w:color w:val="auto"/>
        </w:rPr>
      </w:pPr>
    </w:p>
    <w:p>
      <w:pPr>
        <w:spacing w:after="0" w:line="292" w:lineRule="exact"/>
        <w:rPr>
          <w:sz w:val="20"/>
          <w:szCs w:val="20"/>
          <w:color w:val="auto"/>
        </w:rPr>
      </w:pPr>
    </w:p>
    <w:p>
      <w:pPr>
        <w:ind w:left="8" w:right="140" w:hanging="8"/>
        <w:spacing w:after="0" w:line="191" w:lineRule="auto"/>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Non-GAAP measure. Wealthfront’s reasons for use of the non-GAAP measure and a detailed reconciliation between the non-GAAP measure and the comparable GAAP amount are included at the end of this document in the section labeled ‘Non-GAAP Reconciliations’.</w:t>
      </w:r>
    </w:p>
    <w:p>
      <w:pPr>
        <w:ind w:left="88" w:hanging="88"/>
        <w:spacing w:after="0" w:line="190" w:lineRule="auto"/>
        <w:tabs>
          <w:tab w:leader="none" w:pos="88" w:val="left"/>
        </w:tabs>
        <w:numPr>
          <w:ilvl w:val="0"/>
          <w:numId w:val="9"/>
        </w:numPr>
        <w:rPr>
          <w:rFonts w:ascii="Arial" w:cs="Arial" w:eastAsia="Arial" w:hAnsi="Arial"/>
          <w:sz w:val="19"/>
          <w:szCs w:val="19"/>
          <w:color w:val="auto"/>
          <w:vertAlign w:val="superscript"/>
        </w:rPr>
      </w:pPr>
      <w:r>
        <w:rPr>
          <w:rFonts w:ascii="Arial" w:cs="Arial" w:eastAsia="Arial" w:hAnsi="Arial"/>
          <w:sz w:val="11"/>
          <w:szCs w:val="11"/>
          <w:color w:val="auto"/>
        </w:rPr>
        <w:t>Annualized organic growth is calculated as total net deposits in a given period, multiplied by an annualization factor based on actual day counts in that period, divided by prior period ending assets.</w:t>
      </w:r>
    </w:p>
    <w:p>
      <w:pPr>
        <w:sectPr>
          <w:pgSz w:w="11900" w:h="16838" w:orient="portrait"/>
          <w:cols w:equalWidth="0" w:num="1">
            <w:col w:w="11288"/>
          </w:cols>
          <w:pgMar w:left="292" w:top="1102"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Conference Call</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Wealthfront’s executive management team will host a live audio webcast beginning at 2:00 p.m. Pacific Time (5:00 p.m. Eastern Time) today to discuss the quarter and full-year’s financial results and business highlights. The live webcast as well as the earnings press release and earnings presentation can be found at https://ir.wealthfront.com. Following the call, a replay of the webcast will be available on the Wealthfront Investor Relations website.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Wealthfront</w:t>
      </w:r>
    </w:p>
    <w:p>
      <w:pPr>
        <w:spacing w:after="0" w:line="118" w:lineRule="exact"/>
        <w:rPr>
          <w:sz w:val="20"/>
          <w:szCs w:val="20"/>
          <w:color w:val="auto"/>
        </w:rPr>
      </w:pPr>
    </w:p>
    <w:p>
      <w:pPr>
        <w:jc w:val="both"/>
        <w:ind w:right="80"/>
        <w:spacing w:after="0" w:line="273" w:lineRule="auto"/>
        <w:rPr>
          <w:sz w:val="20"/>
          <w:szCs w:val="20"/>
          <w:color w:val="auto"/>
        </w:rPr>
      </w:pPr>
      <w:r>
        <w:rPr>
          <w:rFonts w:ascii="Arial" w:cs="Arial" w:eastAsia="Arial" w:hAnsi="Arial"/>
          <w:sz w:val="14"/>
          <w:szCs w:val="14"/>
          <w:color w:val="auto"/>
        </w:rPr>
        <w:t>Wealthfront is a tech-driven financial platform helping digital natives turn their savings into wealth. Since pioneering the automated investing category in 2011, the company has grown into a leading consumer fintech that helps clients achieve their financial goals with innovative saving, investing, borrowing, and lending products. Wealthfront’s expanding suite of high-quality, low-cost offerings helps digital natives earn more on their savings, borrow at lower rates, and keep more of their returns. To learn more and get started, visit www.wealthfront.com or download the Wealthfront app.</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Investors: ir@wealthfront.com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Press: press@wealthfront.com</w:t>
      </w:r>
    </w:p>
    <w:p>
      <w:pPr>
        <w:sectPr>
          <w:pgSz w:w="11900" w:h="16838" w:orient="portrait"/>
          <w:cols w:equalWidth="0" w:num="1">
            <w:col w:w="11260"/>
          </w:cols>
          <w:pgMar w:left="300" w:top="110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18"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This press release contains forward-looking statements that involve substantial risks and uncertainties. All statements contained in this press release other than statements of historical fact, including statements regarding Wealthfront’s future operating results and financial condition, its business strategy and plans, market growth, and its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These forward-looking statements are made as of the date they were first issued and are based on information available to Wealthfront together with Wealthfront’s expectations, estimates, forecasts, projections, beliefs, and assumptions as of such date. Forward-looking statements are subject to a number of risks and uncertainties, many of which involve factors or circumstances that are beyond Wealthfront’s control. Wealthfront’s actual results could differ materially from those stated or implied in forward-looking statements due to a number of factors. Further information on potential risks that could affect actual results is included in Wealthfront’s most recent filings with the Securities and Exchange Commission (the “SEC”), including in our most recent Form 10-Q, copies of which may be obtained by visiting Wealthfront’s Investor Relations website at https://ir.wealthfront.com or the SEC's website at https://www.sec.gov. Past performance is not necessarily indicative of future results. Wealthfront undertakes no intention or obligation to update or revise any forward-looking statements, whether as a result of new information, future events or otherwise, except as required by law. Forward-looking statements should not be relied upon as representing Wealthfront’s views as of any date subsequent to the date of this press release.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27" w:lineRule="exact"/>
        <w:rPr>
          <w:sz w:val="20"/>
          <w:szCs w:val="20"/>
          <w:color w:val="auto"/>
        </w:rPr>
      </w:pPr>
    </w:p>
    <w:p>
      <w:pPr>
        <w:ind w:right="220"/>
        <w:spacing w:after="0" w:line="276" w:lineRule="auto"/>
        <w:rPr>
          <w:sz w:val="20"/>
          <w:szCs w:val="20"/>
          <w:color w:val="auto"/>
        </w:rPr>
      </w:pPr>
      <w:r>
        <w:rPr>
          <w:rFonts w:ascii="Arial" w:cs="Arial" w:eastAsia="Arial" w:hAnsi="Arial"/>
          <w:sz w:val="14"/>
          <w:szCs w:val="14"/>
          <w:color w:val="auto"/>
        </w:rPr>
        <w:t>We announce material information to the public through filings with the SEC, the investor relations page on our website (ir.wealthfront.com), press releases, public conference calls, public webcasts, and our social media accounts on X, Instagram, Facebook, and LinkedIn in order to achieve broad, non-exclusionary distribution of information to the public and for complying with our disclosure obligations under Regulation FD.</w:t>
      </w:r>
    </w:p>
    <w:p>
      <w:pPr>
        <w:spacing w:after="0" w:line="120" w:lineRule="exact"/>
        <w:rPr>
          <w:sz w:val="20"/>
          <w:szCs w:val="20"/>
          <w:color w:val="auto"/>
        </w:rPr>
      </w:pPr>
    </w:p>
    <w:p>
      <w:pPr>
        <w:jc w:val="both"/>
        <w:ind w:right="120"/>
        <w:spacing w:after="0" w:line="283" w:lineRule="auto"/>
        <w:rPr>
          <w:sz w:val="20"/>
          <w:szCs w:val="20"/>
          <w:color w:val="auto"/>
        </w:rPr>
      </w:pPr>
      <w:r>
        <w:rPr>
          <w:rFonts w:ascii="Arial" w:cs="Arial" w:eastAsia="Arial" w:hAnsi="Arial"/>
          <w:sz w:val="14"/>
          <w:szCs w:val="14"/>
          <w:color w:val="auto"/>
        </w:rPr>
        <w:t>The content of our websites and information that we may post on or provide to online and social media channels, including those mentioned above, and information that can be accessed through our websites or these online and social media channels are not incorporated by reference into this presentation or in any report or document we file with the SEC, and any references to our websites or these online and social media channels are intended to be inactive textual references only.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18"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We collect and analyze operating and financial data to evaluate the health of our business, allocate our resources, and assess our performance. In addition to total revenue, net income (loss) and other results under GAAP, we utilize non-GAAP calculations of adjusted earnings before interest, taxes, depreciation, and amortization (“Adjusted EBITDA”). Adjusted EBITDA is defined as net income (loss), excluding: (i) interest expenses, (ii) provision for (benefit from) income taxes, (iii) depreciation and amortization, (iv) stock-based compensation expense, (v) change in fair value of</w:t>
      </w:r>
    </w:p>
    <w:p>
      <w:pPr>
        <w:sectPr>
          <w:pgSz w:w="11900" w:h="16838" w:orient="portrait"/>
          <w:cols w:equalWidth="0" w:num="1">
            <w:col w:w="11260"/>
          </w:cols>
          <w:pgMar w:left="300" w:top="994" w:right="339" w:bottom="1440" w:gutter="0" w:footer="0" w:header="0"/>
        </w:sectPr>
      </w:pPr>
    </w:p>
    <w:bookmarkStart w:id="9" w:name="page10"/>
    <w:bookmarkEnd w:id="9"/>
    <w:p>
      <w:pPr>
        <w:ind w:right="20"/>
        <w:spacing w:after="0" w:line="260" w:lineRule="auto"/>
        <w:rPr>
          <w:sz w:val="20"/>
          <w:szCs w:val="20"/>
          <w:color w:val="auto"/>
        </w:rPr>
      </w:pPr>
      <w:r>
        <w:rPr>
          <w:rFonts w:ascii="Arial" w:cs="Arial" w:eastAsia="Arial" w:hAnsi="Arial"/>
          <w:sz w:val="14"/>
          <w:szCs w:val="14"/>
          <w:color w:val="auto"/>
        </w:rPr>
        <w:t>the convertible note,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press release because they are key measurements used by our management internally to make operating decisions, including those related to operating expenses, evaluate performance, identify trends affecting our business and perform strategic planning and annual budgeting. Free Cash Flow reflects net cash provided from operating activities, less (i) purchases of property, software, and equipment and (ii) capitalized internally developed software. We believe Free Cash Flow allows investors to evaluate the cash generated from our underlying operations in a manner similar to the method used by management. However, the utility of Free Cash Flow as a measure of our liquidity is limited as it does not represent the total increase or decrease in our cash balance for a given period. Free Cash Flow Conversion reflects 1) Free Cash Flow divided by 2) Adjusted EBITDA. Adjusted Operating Expenses reflect GAAP operating expenses, less (i) stock-based compensation expense and (ii) nonrecurring expenses, if any. The above items are excluded from our Adjusted Operating Expenses because these items are non-cash in nature, or because the amount and timing of these items is unpredictable, are not driven by core results of operations and render comparisons with prior periods and competitors less meaningful. Please refer to the Appendix for a reconciliation of each non-GAAP financial measure presented herein to the most directly comparable financial measure stated in accordance with GAAP.</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i w:val="1"/>
          <w:iCs w:val="1"/>
          <w:color w:val="auto"/>
        </w:rPr>
        <w:t xml:space="preserve">Platform assets: </w:t>
      </w:r>
      <w:r>
        <w:rPr>
          <w:rFonts w:ascii="Arial" w:cs="Arial" w:eastAsia="Arial" w:hAnsi="Arial"/>
          <w:sz w:val="14"/>
          <w:szCs w:val="14"/>
          <w:color w:val="auto"/>
        </w:rPr>
        <w:t>We define “platform assets” as the total value of financial assets held by clients in their accounts as of a stated date on our platform. Net deposits and changes</w:t>
      </w:r>
      <w:r>
        <w:rPr>
          <w:rFonts w:ascii="Arial" w:cs="Arial" w:eastAsia="Arial" w:hAnsi="Arial"/>
          <w:sz w:val="14"/>
          <w:szCs w:val="14"/>
          <w:i w:val="1"/>
          <w:iCs w:val="1"/>
          <w:color w:val="auto"/>
        </w:rPr>
        <w:t xml:space="preserve"> </w:t>
      </w:r>
      <w:r>
        <w:rPr>
          <w:rFonts w:ascii="Arial" w:cs="Arial" w:eastAsia="Arial" w:hAnsi="Arial"/>
          <w:sz w:val="14"/>
          <w:szCs w:val="14"/>
          <w:color w:val="auto"/>
        </w:rPr>
        <w:t>in value attributable to financial market performance are included in the change in platform assets in any given period. We further break down platform assets into two categories of products: cash management and investment advisory.</w:t>
      </w:r>
    </w:p>
    <w:p>
      <w:pPr>
        <w:spacing w:after="0" w:line="66"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Net deposits: </w:t>
      </w:r>
      <w:r>
        <w:rPr>
          <w:rFonts w:ascii="Arial" w:cs="Arial" w:eastAsia="Arial" w:hAnsi="Arial"/>
          <w:sz w:val="14"/>
          <w:szCs w:val="14"/>
          <w:color w:val="auto"/>
        </w:rPr>
        <w:t>We define “net deposits” as the value of all assets clients have placed into products on our platform, net of withdrawals, over a defined period of time. We exclude</w:t>
      </w:r>
      <w:r>
        <w:rPr>
          <w:rFonts w:ascii="Arial" w:cs="Arial" w:eastAsia="Arial" w:hAnsi="Arial"/>
          <w:sz w:val="14"/>
          <w:szCs w:val="14"/>
          <w:i w:val="1"/>
          <w:iCs w:val="1"/>
          <w:color w:val="auto"/>
        </w:rPr>
        <w:t xml:space="preserve"> </w:t>
      </w:r>
      <w:r>
        <w:rPr>
          <w:rFonts w:ascii="Arial" w:cs="Arial" w:eastAsia="Arial" w:hAnsi="Arial"/>
          <w:sz w:val="14"/>
          <w:szCs w:val="14"/>
          <w:color w:val="auto"/>
        </w:rPr>
        <w:t>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sectPr>
          <w:pgSz w:w="11900" w:h="16838" w:orient="portrait"/>
          <w:cols w:equalWidth="0" w:num="1">
            <w:col w:w="11280"/>
          </w:cols>
          <w:pgMar w:left="300" w:top="994" w:right="31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4"/>
          <w:szCs w:val="14"/>
          <w:i w:val="1"/>
          <w:iCs w:val="1"/>
          <w:color w:val="auto"/>
        </w:rPr>
        <w:t xml:space="preserve">Funded clients: </w:t>
      </w:r>
      <w:r>
        <w:rPr>
          <w:rFonts w:ascii="Arial" w:cs="Arial" w:eastAsia="Arial" w:hAnsi="Arial"/>
          <w:sz w:val="14"/>
          <w:szCs w:val="14"/>
          <w:color w:val="auto"/>
        </w:rPr>
        <w:t>We define “funded clients” as clients with balances greater than zero or that have been greater than zero on at least one occasion during the 45 consecutive</w:t>
      </w:r>
      <w:r>
        <w:rPr>
          <w:rFonts w:ascii="Arial" w:cs="Arial" w:eastAsia="Arial" w:hAnsi="Arial"/>
          <w:sz w:val="14"/>
          <w:szCs w:val="14"/>
          <w:i w:val="1"/>
          <w:iCs w:val="1"/>
          <w:color w:val="auto"/>
        </w:rPr>
        <w:t xml:space="preserve"> </w:t>
      </w:r>
      <w:r>
        <w:rPr>
          <w:rFonts w:ascii="Arial" w:cs="Arial" w:eastAsia="Arial" w:hAnsi="Arial"/>
          <w:sz w:val="14"/>
          <w:szCs w:val="14"/>
          <w:color w:val="auto"/>
        </w:rPr>
        <w:t>calendar days ending as of the measurement date. Funded clients include clients with a zero balance across all accounts as of the measurement date if they had greater than zero balances in at least one account within 45 calendar days prior to the measurement date. Individuals who shared funded joint accounts are each considered to be a separate funded client. The number of funded clients is as of a stated date and reflects our scale and monetization potential.</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i w:val="1"/>
          <w:iCs w:val="1"/>
          <w:color w:val="auto"/>
        </w:rPr>
        <w:t xml:space="preserve">Funded accounts: </w:t>
      </w:r>
      <w:r>
        <w:rPr>
          <w:rFonts w:ascii="Arial" w:cs="Arial" w:eastAsia="Arial" w:hAnsi="Arial"/>
          <w:sz w:val="14"/>
          <w:szCs w:val="14"/>
          <w:color w:val="auto"/>
        </w:rPr>
        <w:t>We define “funded accounts” as accounts with balances greater than zero or that have been greater than zero on at least one occasion during the 45</w:t>
      </w:r>
      <w:r>
        <w:rPr>
          <w:rFonts w:ascii="Arial" w:cs="Arial" w:eastAsia="Arial" w:hAnsi="Arial"/>
          <w:sz w:val="14"/>
          <w:szCs w:val="14"/>
          <w:i w:val="1"/>
          <w:iCs w:val="1"/>
          <w:color w:val="auto"/>
        </w:rPr>
        <w:t xml:space="preserve"> </w:t>
      </w:r>
      <w:r>
        <w:rPr>
          <w:rFonts w:ascii="Arial" w:cs="Arial" w:eastAsia="Arial" w:hAnsi="Arial"/>
          <w:sz w:val="14"/>
          <w:szCs w:val="14"/>
          <w:color w:val="auto"/>
        </w:rPr>
        <w:t>consecutive calendar days ending as of the measurement date. Funded accounts include accounts with a zero balance as of the measurement date if they had greater than zero balances within 45 calendar days prior to the measurement date. A shared funded joint account is considered a single funded account. The number of funded accounts is as of a stated date and reflects our scale and monetization potential.</w:t>
      </w:r>
    </w:p>
    <w:p>
      <w:pPr>
        <w:sectPr>
          <w:pgSz w:w="11900" w:h="16838" w:orient="portrait"/>
          <w:cols w:equalWidth="0" w:num="1">
            <w:col w:w="11260"/>
          </w:cols>
          <w:pgMar w:left="300" w:top="994" w:right="339" w:bottom="1440" w:gutter="0" w:footer="0" w:header="0"/>
        </w:sectPr>
      </w:pPr>
    </w:p>
    <w:bookmarkStart w:id="11" w:name="page12"/>
    <w:bookmarkEnd w:id="11"/>
    <w:p>
      <w:pPr>
        <w:ind w:left="4640"/>
        <w:spacing w:after="0"/>
        <w:rPr>
          <w:sz w:val="20"/>
          <w:szCs w:val="20"/>
          <w:color w:val="auto"/>
        </w:rPr>
      </w:pPr>
      <w:r>
        <w:rPr>
          <w:rFonts w:ascii="Arial" w:cs="Arial" w:eastAsia="Arial" w:hAnsi="Arial"/>
          <w:sz w:val="13"/>
          <w:szCs w:val="13"/>
          <w:b w:val="1"/>
          <w:bCs w:val="1"/>
          <w:color w:val="auto"/>
        </w:rPr>
        <w:t>WEALTHFRONT CORPORATION</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CONDENSED 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0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180" w:type="dxa"/>
            <w:vAlign w:val="bottom"/>
          </w:tcPr>
          <w:p>
            <w:pPr>
              <w:spacing w:after="0"/>
              <w:rPr>
                <w:sz w:val="11"/>
                <w:szCs w:val="11"/>
                <w:color w:val="auto"/>
              </w:rPr>
            </w:pPr>
          </w:p>
        </w:tc>
        <w:tc>
          <w:tcPr>
            <w:tcW w:w="1260" w:type="dxa"/>
            <w:vAlign w:val="bottom"/>
            <w:gridSpan w:val="2"/>
          </w:tcPr>
          <w:p>
            <w:pPr>
              <w:ind w:left="120"/>
              <w:spacing w:after="0"/>
              <w:rPr>
                <w:sz w:val="20"/>
                <w:szCs w:val="20"/>
                <w:color w:val="auto"/>
              </w:rPr>
            </w:pPr>
            <w:r>
              <w:rPr>
                <w:rFonts w:ascii="Arial" w:cs="Arial" w:eastAsia="Arial" w:hAnsi="Arial"/>
                <w:sz w:val="10"/>
                <w:szCs w:val="10"/>
                <w:b w:val="1"/>
                <w:bCs w:val="1"/>
                <w:color w:val="auto"/>
              </w:rPr>
              <w:t>January 31, 2026</w:t>
            </w:r>
          </w:p>
        </w:tc>
        <w:tc>
          <w:tcPr>
            <w:tcW w:w="180" w:type="dxa"/>
            <w:vAlign w:val="bottom"/>
          </w:tcPr>
          <w:p>
            <w:pPr>
              <w:spacing w:after="0"/>
              <w:rPr>
                <w:sz w:val="11"/>
                <w:szCs w:val="11"/>
                <w:color w:val="auto"/>
              </w:rPr>
            </w:pPr>
          </w:p>
        </w:tc>
        <w:tc>
          <w:tcPr>
            <w:tcW w:w="1180" w:type="dxa"/>
            <w:vAlign w:val="bottom"/>
          </w:tcPr>
          <w:p>
            <w:pPr>
              <w:jc w:val="right"/>
              <w:ind w:right="252"/>
              <w:spacing w:after="0"/>
              <w:rPr>
                <w:sz w:val="20"/>
                <w:szCs w:val="20"/>
                <w:color w:val="auto"/>
              </w:rPr>
            </w:pPr>
            <w:r>
              <w:rPr>
                <w:rFonts w:ascii="Arial" w:cs="Arial" w:eastAsia="Arial" w:hAnsi="Arial"/>
                <w:sz w:val="10"/>
                <w:szCs w:val="10"/>
                <w:b w:val="1"/>
                <w:bCs w:val="1"/>
                <w:color w:val="auto"/>
              </w:rPr>
              <w:t>January 31, 2025</w:t>
            </w:r>
          </w:p>
        </w:tc>
        <w:tc>
          <w:tcPr>
            <w:tcW w:w="0" w:type="dxa"/>
            <w:vAlign w:val="bottom"/>
          </w:tcPr>
          <w:p>
            <w:pPr>
              <w:spacing w:after="0"/>
              <w:rPr>
                <w:sz w:val="1"/>
                <w:szCs w:val="1"/>
                <w:color w:val="auto"/>
              </w:rPr>
            </w:pPr>
          </w:p>
        </w:tc>
      </w:tr>
      <w:tr>
        <w:trPr>
          <w:trHeight w:val="116"/>
        </w:trPr>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500" w:type="dxa"/>
            <w:vAlign w:val="bottom"/>
          </w:tcPr>
          <w:p>
            <w:pPr>
              <w:spacing w:after="0"/>
              <w:rPr>
                <w:sz w:val="20"/>
                <w:szCs w:val="20"/>
                <w:color w:val="auto"/>
              </w:rPr>
            </w:pPr>
            <w:r>
              <w:rPr>
                <w:rFonts w:ascii="Arial" w:cs="Arial" w:eastAsia="Arial" w:hAnsi="Arial"/>
                <w:sz w:val="10"/>
                <w:szCs w:val="10"/>
                <w:color w:val="auto"/>
              </w:rPr>
              <w:t>Current assets:</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Cash and cash equivalents</w:t>
            </w: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440,805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142,860</w:t>
            </w:r>
          </w:p>
        </w:tc>
        <w:tc>
          <w:tcPr>
            <w:tcW w:w="0" w:type="dxa"/>
            <w:vAlign w:val="bottom"/>
          </w:tcPr>
          <w:p>
            <w:pPr>
              <w:spacing w:after="0"/>
              <w:rPr>
                <w:sz w:val="1"/>
                <w:szCs w:val="1"/>
                <w:color w:val="auto"/>
              </w:rPr>
            </w:pPr>
          </w:p>
        </w:tc>
      </w:tr>
      <w:tr>
        <w:trPr>
          <w:trHeight w:val="132"/>
        </w:trPr>
        <w:tc>
          <w:tcPr>
            <w:tcW w:w="8500" w:type="dxa"/>
            <w:vAlign w:val="bottom"/>
          </w:tcPr>
          <w:p>
            <w:pPr>
              <w:ind w:left="80"/>
              <w:spacing w:after="0"/>
              <w:rPr>
                <w:sz w:val="20"/>
                <w:szCs w:val="20"/>
                <w:color w:val="auto"/>
              </w:rPr>
            </w:pPr>
            <w:r>
              <w:rPr>
                <w:rFonts w:ascii="Arial" w:cs="Arial" w:eastAsia="Arial" w:hAnsi="Arial"/>
                <w:sz w:val="10"/>
                <w:szCs w:val="10"/>
                <w:color w:val="auto"/>
              </w:rPr>
              <w:t>Cash segregated and on deposit for regulatory purposes</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10,375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9,083</w:t>
            </w: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Due from clients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227,413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118,518</w:t>
            </w:r>
          </w:p>
        </w:tc>
        <w:tc>
          <w:tcPr>
            <w:tcW w:w="0" w:type="dxa"/>
            <w:vAlign w:val="bottom"/>
          </w:tcPr>
          <w:p>
            <w:pPr>
              <w:spacing w:after="0"/>
              <w:rPr>
                <w:sz w:val="1"/>
                <w:szCs w:val="1"/>
                <w:color w:val="auto"/>
              </w:rPr>
            </w:pPr>
          </w:p>
        </w:tc>
      </w:tr>
      <w:tr>
        <w:trPr>
          <w:trHeight w:val="132"/>
        </w:trPr>
        <w:tc>
          <w:tcPr>
            <w:tcW w:w="8500" w:type="dxa"/>
            <w:vAlign w:val="bottom"/>
          </w:tcPr>
          <w:p>
            <w:pPr>
              <w:ind w:left="80"/>
              <w:spacing w:after="0"/>
              <w:rPr>
                <w:sz w:val="20"/>
                <w:szCs w:val="20"/>
                <w:color w:val="auto"/>
              </w:rPr>
            </w:pPr>
            <w:r>
              <w:rPr>
                <w:rFonts w:ascii="Arial" w:cs="Arial" w:eastAsia="Arial" w:hAnsi="Arial"/>
                <w:sz w:val="10"/>
                <w:szCs w:val="10"/>
                <w:color w:val="auto"/>
              </w:rPr>
              <w:t>Accounts receivable</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33,127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29,127</w:t>
            </w: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Client-held fractional shares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514,877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28,057</w:t>
            </w:r>
          </w:p>
        </w:tc>
        <w:tc>
          <w:tcPr>
            <w:tcW w:w="0" w:type="dxa"/>
            <w:vAlign w:val="bottom"/>
          </w:tcPr>
          <w:p>
            <w:pPr>
              <w:spacing w:after="0"/>
              <w:rPr>
                <w:sz w:val="1"/>
                <w:szCs w:val="1"/>
                <w:color w:val="auto"/>
              </w:rPr>
            </w:pPr>
          </w:p>
        </w:tc>
      </w:tr>
      <w:tr>
        <w:trPr>
          <w:trHeight w:val="132"/>
        </w:trPr>
        <w:tc>
          <w:tcPr>
            <w:tcW w:w="85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Other current assets</w:t>
            </w: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49,187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18,805</w:t>
            </w:r>
          </w:p>
        </w:tc>
        <w:tc>
          <w:tcPr>
            <w:tcW w:w="0" w:type="dxa"/>
            <w:vAlign w:val="bottom"/>
          </w:tcPr>
          <w:p>
            <w:pPr>
              <w:spacing w:after="0"/>
              <w:rPr>
                <w:sz w:val="1"/>
                <w:szCs w:val="1"/>
                <w:color w:val="auto"/>
              </w:rPr>
            </w:pPr>
          </w:p>
        </w:tc>
      </w:tr>
      <w:tr>
        <w:trPr>
          <w:trHeight w:val="127"/>
        </w:trPr>
        <w:tc>
          <w:tcPr>
            <w:tcW w:w="8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current assets</w:t>
            </w: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1,275,784</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346,450</w:t>
            </w:r>
          </w:p>
        </w:tc>
        <w:tc>
          <w:tcPr>
            <w:tcW w:w="0" w:type="dxa"/>
            <w:vAlign w:val="bottom"/>
          </w:tcPr>
          <w:p>
            <w:pPr>
              <w:spacing w:after="0"/>
              <w:rPr>
                <w:sz w:val="1"/>
                <w:szCs w:val="1"/>
                <w:color w:val="auto"/>
              </w:rPr>
            </w:pPr>
          </w:p>
        </w:tc>
      </w:tr>
      <w:tr>
        <w:trPr>
          <w:trHeight w:val="121"/>
        </w:trPr>
        <w:tc>
          <w:tcPr>
            <w:tcW w:w="8500" w:type="dxa"/>
            <w:vAlign w:val="bottom"/>
          </w:tcPr>
          <w:p>
            <w:pPr>
              <w:spacing w:after="0"/>
              <w:rPr>
                <w:sz w:val="20"/>
                <w:szCs w:val="20"/>
                <w:color w:val="auto"/>
              </w:rPr>
            </w:pPr>
            <w:r>
              <w:rPr>
                <w:rFonts w:ascii="Arial" w:cs="Arial" w:eastAsia="Arial" w:hAnsi="Arial"/>
                <w:sz w:val="10"/>
                <w:szCs w:val="10"/>
                <w:color w:val="auto"/>
              </w:rPr>
              <w:t>Deferred tax assets, net</w:t>
            </w:r>
          </w:p>
        </w:tc>
        <w:tc>
          <w:tcPr>
            <w:tcW w:w="18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119,749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60,194</w:t>
            </w: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spacing w:after="0"/>
              <w:rPr>
                <w:sz w:val="20"/>
                <w:szCs w:val="20"/>
                <w:color w:val="auto"/>
              </w:rPr>
            </w:pPr>
            <w:r>
              <w:rPr>
                <w:rFonts w:ascii="Arial" w:cs="Arial" w:eastAsia="Arial" w:hAnsi="Arial"/>
                <w:sz w:val="10"/>
                <w:szCs w:val="10"/>
                <w:color w:val="auto"/>
              </w:rPr>
              <w:t>Operating lease right-of-use asset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11,229</w:t>
            </w:r>
          </w:p>
        </w:tc>
        <w:tc>
          <w:tcPr>
            <w:tcW w:w="0" w:type="dxa"/>
            <w:vAlign w:val="bottom"/>
          </w:tcPr>
          <w:p>
            <w:pPr>
              <w:spacing w:after="0"/>
              <w:rPr>
                <w:sz w:val="1"/>
                <w:szCs w:val="1"/>
                <w:color w:val="auto"/>
              </w:rPr>
            </w:pPr>
          </w:p>
        </w:tc>
      </w:tr>
      <w:tr>
        <w:trPr>
          <w:trHeight w:val="132"/>
        </w:trPr>
        <w:tc>
          <w:tcPr>
            <w:tcW w:w="8500" w:type="dxa"/>
            <w:vAlign w:val="bottom"/>
          </w:tcPr>
          <w:p>
            <w:pPr>
              <w:spacing w:after="0"/>
              <w:rPr>
                <w:sz w:val="20"/>
                <w:szCs w:val="20"/>
                <w:color w:val="auto"/>
              </w:rPr>
            </w:pPr>
            <w:r>
              <w:rPr>
                <w:rFonts w:ascii="Arial" w:cs="Arial" w:eastAsia="Arial" w:hAnsi="Arial"/>
                <w:sz w:val="10"/>
                <w:szCs w:val="10"/>
                <w:color w:val="auto"/>
              </w:rPr>
              <w:t>Property, software, and equipment, net</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7,755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14,723</w:t>
            </w:r>
          </w:p>
        </w:tc>
        <w:tc>
          <w:tcPr>
            <w:tcW w:w="0" w:type="dxa"/>
            <w:vAlign w:val="bottom"/>
          </w:tcPr>
          <w:p>
            <w:pPr>
              <w:spacing w:after="0"/>
              <w:rPr>
                <w:sz w:val="1"/>
                <w:szCs w:val="1"/>
                <w:color w:val="auto"/>
              </w:rPr>
            </w:pPr>
          </w:p>
        </w:tc>
      </w:tr>
      <w:tr>
        <w:trPr>
          <w:trHeight w:val="135"/>
        </w:trPr>
        <w:tc>
          <w:tcPr>
            <w:tcW w:w="8500" w:type="dxa"/>
            <w:vAlign w:val="bottom"/>
            <w:shd w:val="clear" w:color="auto" w:fill="CCEEFF"/>
          </w:tcPr>
          <w:p>
            <w:pPr>
              <w:spacing w:after="0"/>
              <w:rPr>
                <w:sz w:val="20"/>
                <w:szCs w:val="20"/>
                <w:color w:val="auto"/>
              </w:rPr>
            </w:pPr>
            <w:r>
              <w:rPr>
                <w:rFonts w:ascii="Arial" w:cs="Arial" w:eastAsia="Arial" w:hAnsi="Arial"/>
                <w:sz w:val="10"/>
                <w:szCs w:val="10"/>
                <w:color w:val="auto"/>
              </w:rPr>
              <w:t>Other noncurrent assets</w:t>
            </w: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3,745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2,610</w:t>
            </w:r>
          </w:p>
        </w:tc>
        <w:tc>
          <w:tcPr>
            <w:tcW w:w="0" w:type="dxa"/>
            <w:vAlign w:val="bottom"/>
          </w:tcPr>
          <w:p>
            <w:pPr>
              <w:spacing w:after="0"/>
              <w:rPr>
                <w:sz w:val="1"/>
                <w:szCs w:val="1"/>
                <w:color w:val="auto"/>
              </w:rPr>
            </w:pPr>
          </w:p>
        </w:tc>
      </w:tr>
      <w:tr>
        <w:trPr>
          <w:trHeight w:val="143"/>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assets</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1,415,729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435,206</w:t>
            </w:r>
          </w:p>
        </w:tc>
        <w:tc>
          <w:tcPr>
            <w:tcW w:w="0" w:type="dxa"/>
            <w:vAlign w:val="bottom"/>
          </w:tcPr>
          <w:p>
            <w:pPr>
              <w:spacing w:after="0"/>
              <w:rPr>
                <w:sz w:val="1"/>
                <w:szCs w:val="1"/>
                <w:color w:val="auto"/>
              </w:rPr>
            </w:pPr>
          </w:p>
        </w:tc>
      </w:tr>
      <w:tr>
        <w:trPr>
          <w:trHeight w:val="117"/>
        </w:trPr>
        <w:tc>
          <w:tcPr>
            <w:tcW w:w="8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 redeemable convertible preferred stock, and stockholders’ equity</w:t>
            </w: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500" w:type="dxa"/>
            <w:vAlign w:val="bottom"/>
          </w:tcPr>
          <w:p>
            <w:pPr>
              <w:spacing w:after="0"/>
              <w:rPr>
                <w:sz w:val="20"/>
                <w:szCs w:val="20"/>
                <w:color w:val="auto"/>
              </w:rPr>
            </w:pPr>
            <w:r>
              <w:rPr>
                <w:rFonts w:ascii="Arial" w:cs="Arial" w:eastAsia="Arial" w:hAnsi="Arial"/>
                <w:sz w:val="10"/>
                <w:szCs w:val="10"/>
                <w:color w:val="auto"/>
              </w:rPr>
              <w:t>Current liabilities:</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Accounts payable</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7,299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6,467</w:t>
            </w:r>
          </w:p>
        </w:tc>
        <w:tc>
          <w:tcPr>
            <w:tcW w:w="0" w:type="dxa"/>
            <w:vAlign w:val="bottom"/>
          </w:tcPr>
          <w:p>
            <w:pPr>
              <w:spacing w:after="0"/>
              <w:rPr>
                <w:sz w:val="1"/>
                <w:szCs w:val="1"/>
                <w:color w:val="auto"/>
              </w:rPr>
            </w:pPr>
          </w:p>
        </w:tc>
      </w:tr>
      <w:tr>
        <w:trPr>
          <w:trHeight w:val="132"/>
        </w:trPr>
        <w:tc>
          <w:tcPr>
            <w:tcW w:w="8500" w:type="dxa"/>
            <w:vAlign w:val="bottom"/>
          </w:tcPr>
          <w:p>
            <w:pPr>
              <w:ind w:left="80"/>
              <w:spacing w:after="0"/>
              <w:rPr>
                <w:sz w:val="20"/>
                <w:szCs w:val="20"/>
                <w:color w:val="auto"/>
              </w:rPr>
            </w:pPr>
            <w:r>
              <w:rPr>
                <w:rFonts w:ascii="Arial" w:cs="Arial" w:eastAsia="Arial" w:hAnsi="Arial"/>
                <w:sz w:val="10"/>
                <w:szCs w:val="10"/>
                <w:color w:val="auto"/>
              </w:rPr>
              <w:t>Accrued liabilities</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8,830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7,517</w:t>
            </w: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Due to clients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30,209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9,452</w:t>
            </w:r>
          </w:p>
        </w:tc>
        <w:tc>
          <w:tcPr>
            <w:tcW w:w="0" w:type="dxa"/>
            <w:vAlign w:val="bottom"/>
          </w:tcPr>
          <w:p>
            <w:pPr>
              <w:spacing w:after="0"/>
              <w:rPr>
                <w:sz w:val="1"/>
                <w:szCs w:val="1"/>
                <w:color w:val="auto"/>
              </w:rPr>
            </w:pPr>
          </w:p>
        </w:tc>
      </w:tr>
      <w:tr>
        <w:trPr>
          <w:trHeight w:val="132"/>
        </w:trPr>
        <w:tc>
          <w:tcPr>
            <w:tcW w:w="8500" w:type="dxa"/>
            <w:vAlign w:val="bottom"/>
          </w:tcPr>
          <w:p>
            <w:pPr>
              <w:ind w:left="80"/>
              <w:spacing w:after="0"/>
              <w:rPr>
                <w:sz w:val="20"/>
                <w:szCs w:val="20"/>
                <w:color w:val="auto"/>
              </w:rPr>
            </w:pPr>
            <w:r>
              <w:rPr>
                <w:rFonts w:ascii="Arial" w:cs="Arial" w:eastAsia="Arial" w:hAnsi="Arial"/>
                <w:sz w:val="10"/>
                <w:szCs w:val="10"/>
                <w:color w:val="auto"/>
              </w:rPr>
              <w:t>Payable to clearing broker</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227,439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118,174</w:t>
            </w: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Current portion of operating lease liabilities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3,556</w:t>
            </w:r>
          </w:p>
        </w:tc>
        <w:tc>
          <w:tcPr>
            <w:tcW w:w="0" w:type="dxa"/>
            <w:vAlign w:val="bottom"/>
          </w:tcPr>
          <w:p>
            <w:pPr>
              <w:spacing w:after="0"/>
              <w:rPr>
                <w:sz w:val="1"/>
                <w:szCs w:val="1"/>
                <w:color w:val="auto"/>
              </w:rPr>
            </w:pPr>
          </w:p>
        </w:tc>
      </w:tr>
      <w:tr>
        <w:trPr>
          <w:trHeight w:val="132"/>
        </w:trPr>
        <w:tc>
          <w:tcPr>
            <w:tcW w:w="85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Fractional shares repurchase obligation</w:t>
            </w: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514,877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28,057</w:t>
            </w:r>
          </w:p>
        </w:tc>
        <w:tc>
          <w:tcPr>
            <w:tcW w:w="0" w:type="dxa"/>
            <w:vAlign w:val="bottom"/>
          </w:tcPr>
          <w:p>
            <w:pPr>
              <w:spacing w:after="0"/>
              <w:rPr>
                <w:sz w:val="1"/>
                <w:szCs w:val="1"/>
                <w:color w:val="auto"/>
              </w:rPr>
            </w:pPr>
          </w:p>
        </w:tc>
      </w:tr>
      <w:tr>
        <w:trPr>
          <w:trHeight w:val="127"/>
        </w:trPr>
        <w:tc>
          <w:tcPr>
            <w:tcW w:w="8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current liabilities</w:t>
            </w: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792,755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173,223</w:t>
            </w:r>
          </w:p>
        </w:tc>
        <w:tc>
          <w:tcPr>
            <w:tcW w:w="0" w:type="dxa"/>
            <w:vAlign w:val="bottom"/>
          </w:tcPr>
          <w:p>
            <w:pPr>
              <w:spacing w:after="0"/>
              <w:rPr>
                <w:sz w:val="1"/>
                <w:szCs w:val="1"/>
                <w:color w:val="auto"/>
              </w:rPr>
            </w:pPr>
          </w:p>
        </w:tc>
      </w:tr>
      <w:tr>
        <w:trPr>
          <w:trHeight w:val="121"/>
        </w:trPr>
        <w:tc>
          <w:tcPr>
            <w:tcW w:w="8500" w:type="dxa"/>
            <w:vAlign w:val="bottom"/>
          </w:tcPr>
          <w:p>
            <w:pPr>
              <w:spacing w:after="0"/>
              <w:rPr>
                <w:sz w:val="20"/>
                <w:szCs w:val="20"/>
                <w:color w:val="auto"/>
              </w:rPr>
            </w:pPr>
            <w:r>
              <w:rPr>
                <w:rFonts w:ascii="Arial" w:cs="Arial" w:eastAsia="Arial" w:hAnsi="Arial"/>
                <w:sz w:val="10"/>
                <w:szCs w:val="10"/>
                <w:color w:val="auto"/>
              </w:rPr>
              <w:t>Operating lease liabilities, net of current portion</w:t>
            </w:r>
          </w:p>
        </w:tc>
        <w:tc>
          <w:tcPr>
            <w:tcW w:w="18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6,292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9,796</w:t>
            </w:r>
          </w:p>
        </w:tc>
        <w:tc>
          <w:tcPr>
            <w:tcW w:w="0" w:type="dxa"/>
            <w:vAlign w:val="bottom"/>
          </w:tcPr>
          <w:p>
            <w:pPr>
              <w:spacing w:after="0"/>
              <w:rPr>
                <w:sz w:val="1"/>
                <w:szCs w:val="1"/>
                <w:color w:val="auto"/>
              </w:rPr>
            </w:pPr>
          </w:p>
        </w:tc>
      </w:tr>
      <w:tr>
        <w:trPr>
          <w:trHeight w:val="135"/>
        </w:trPr>
        <w:tc>
          <w:tcPr>
            <w:tcW w:w="8500" w:type="dxa"/>
            <w:vAlign w:val="bottom"/>
            <w:shd w:val="clear" w:color="auto" w:fill="CCEEFF"/>
          </w:tcPr>
          <w:p>
            <w:pPr>
              <w:spacing w:after="0"/>
              <w:rPr>
                <w:sz w:val="20"/>
                <w:szCs w:val="20"/>
                <w:color w:val="auto"/>
              </w:rPr>
            </w:pPr>
            <w:r>
              <w:rPr>
                <w:rFonts w:ascii="Arial" w:cs="Arial" w:eastAsia="Arial" w:hAnsi="Arial"/>
                <w:sz w:val="10"/>
                <w:szCs w:val="10"/>
                <w:color w:val="auto"/>
              </w:rPr>
              <w:t>Other noncurrent liabilities</w:t>
            </w: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1,993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9,651</w:t>
            </w:r>
          </w:p>
        </w:tc>
        <w:tc>
          <w:tcPr>
            <w:tcW w:w="0" w:type="dxa"/>
            <w:vAlign w:val="bottom"/>
          </w:tcPr>
          <w:p>
            <w:pPr>
              <w:spacing w:after="0"/>
              <w:rPr>
                <w:sz w:val="1"/>
                <w:szCs w:val="1"/>
                <w:color w:val="auto"/>
              </w:rPr>
            </w:pPr>
          </w:p>
        </w:tc>
      </w:tr>
      <w:tr>
        <w:trPr>
          <w:trHeight w:val="143"/>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liabilities</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801,040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192,670</w:t>
            </w:r>
          </w:p>
        </w:tc>
        <w:tc>
          <w:tcPr>
            <w:tcW w:w="0" w:type="dxa"/>
            <w:vAlign w:val="bottom"/>
          </w:tcPr>
          <w:p>
            <w:pPr>
              <w:spacing w:after="0"/>
              <w:rPr>
                <w:sz w:val="1"/>
                <w:szCs w:val="1"/>
                <w:color w:val="auto"/>
              </w:rPr>
            </w:pPr>
          </w:p>
        </w:tc>
      </w:tr>
      <w:tr>
        <w:trPr>
          <w:trHeight w:val="117"/>
        </w:trPr>
        <w:tc>
          <w:tcPr>
            <w:tcW w:w="850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Commitments and contingencies</w:t>
            </w: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500" w:type="dxa"/>
            <w:vAlign w:val="bottom"/>
          </w:tcPr>
          <w:p>
            <w:pPr>
              <w:spacing w:after="0" w:line="104" w:lineRule="exact"/>
              <w:rPr>
                <w:sz w:val="20"/>
                <w:szCs w:val="20"/>
                <w:color w:val="auto"/>
              </w:rPr>
            </w:pPr>
            <w:r>
              <w:rPr>
                <w:rFonts w:ascii="Arial" w:cs="Arial" w:eastAsia="Arial" w:hAnsi="Arial"/>
                <w:sz w:val="10"/>
                <w:szCs w:val="10"/>
                <w:color w:val="auto"/>
                <w:w w:val="95"/>
              </w:rPr>
              <w:t>Redeemable convertible preferred stock, $0.0001 par value per share; 0 and 85,490,483 shares authorized as of January 31, 2026 and January 31, 2025, respectively; 0 and 69,914,359 shares issued</w:t>
            </w:r>
          </w:p>
        </w:tc>
        <w:tc>
          <w:tcPr>
            <w:tcW w:w="180" w:type="dxa"/>
            <w:vAlign w:val="bottom"/>
          </w:tcPr>
          <w:p>
            <w:pPr>
              <w:spacing w:after="0"/>
              <w:rPr>
                <w:sz w:val="8"/>
                <w:szCs w:val="8"/>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Arial" w:cs="Arial" w:eastAsia="Arial" w:hAnsi="Arial"/>
                <w:sz w:val="10"/>
                <w:szCs w:val="10"/>
                <w:color w:val="auto"/>
              </w:rPr>
              <w:t>227,198</w:t>
            </w:r>
          </w:p>
        </w:tc>
        <w:tc>
          <w:tcPr>
            <w:tcW w:w="0" w:type="dxa"/>
            <w:vAlign w:val="bottom"/>
          </w:tcPr>
          <w:p>
            <w:pPr>
              <w:spacing w:after="0"/>
              <w:rPr>
                <w:sz w:val="1"/>
                <w:szCs w:val="1"/>
                <w:color w:val="auto"/>
              </w:rPr>
            </w:pPr>
          </w:p>
        </w:tc>
      </w:tr>
      <w:tr>
        <w:trPr>
          <w:trHeight w:val="122"/>
        </w:trPr>
        <w:tc>
          <w:tcPr>
            <w:tcW w:w="8500" w:type="dxa"/>
            <w:vAlign w:val="bottom"/>
          </w:tcPr>
          <w:p>
            <w:pPr>
              <w:spacing w:after="0"/>
              <w:rPr>
                <w:sz w:val="20"/>
                <w:szCs w:val="20"/>
                <w:color w:val="auto"/>
              </w:rPr>
            </w:pPr>
            <w:r>
              <w:rPr>
                <w:rFonts w:ascii="Arial" w:cs="Arial" w:eastAsia="Arial" w:hAnsi="Arial"/>
                <w:sz w:val="10"/>
                <w:szCs w:val="10"/>
                <w:color w:val="auto"/>
              </w:rPr>
              <w:t>and outstanding as of January 31, 2026 and January 31, 2025, respectively; aggregate liquidation preference of $0 and $229,543 as of January 31, 2026 and January 31, 2025, respectively</w:t>
            </w:r>
          </w:p>
        </w:tc>
        <w:tc>
          <w:tcPr>
            <w:tcW w:w="1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500" w:type="dxa"/>
            <w:vAlign w:val="bottom"/>
            <w:shd w:val="clear" w:color="auto" w:fill="CCEEFF"/>
          </w:tcPr>
          <w:p>
            <w:pPr>
              <w:spacing w:after="0"/>
              <w:rPr>
                <w:sz w:val="20"/>
                <w:szCs w:val="20"/>
                <w:color w:val="auto"/>
              </w:rPr>
            </w:pPr>
            <w:r>
              <w:rPr>
                <w:rFonts w:ascii="Arial" w:cs="Arial" w:eastAsia="Arial" w:hAnsi="Arial"/>
                <w:sz w:val="10"/>
                <w:szCs w:val="10"/>
                <w:color w:val="auto"/>
              </w:rPr>
              <w:t>Stockholders’ equity:</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500" w:type="dxa"/>
            <w:vAlign w:val="bottom"/>
          </w:tcPr>
          <w:p>
            <w:pPr>
              <w:spacing w:after="0" w:line="104" w:lineRule="exact"/>
              <w:rPr>
                <w:sz w:val="20"/>
                <w:szCs w:val="20"/>
                <w:color w:val="auto"/>
              </w:rPr>
            </w:pPr>
            <w:r>
              <w:rPr>
                <w:rFonts w:ascii="Arial" w:cs="Arial" w:eastAsia="Arial" w:hAnsi="Arial"/>
                <w:sz w:val="10"/>
                <w:szCs w:val="10"/>
                <w:color w:val="auto"/>
                <w:w w:val="97"/>
              </w:rPr>
              <w:t>Common stock, $0.0001 par value per share; 214,611,134 shares authorized as of January 31, 2026 and January 31, 2025; 152,118,527 and 41,532,599 shares issued as of January 31, 2026 and</w:t>
            </w:r>
          </w:p>
        </w:tc>
        <w:tc>
          <w:tcPr>
            <w:tcW w:w="18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2"/>
        </w:trPr>
        <w:tc>
          <w:tcPr>
            <w:tcW w:w="8500" w:type="dxa"/>
            <w:vAlign w:val="bottom"/>
          </w:tcPr>
          <w:p>
            <w:pPr>
              <w:spacing w:after="0"/>
              <w:rPr>
                <w:sz w:val="20"/>
                <w:szCs w:val="20"/>
                <w:color w:val="auto"/>
              </w:rPr>
            </w:pPr>
            <w:r>
              <w:rPr>
                <w:rFonts w:ascii="Arial" w:cs="Arial" w:eastAsia="Arial" w:hAnsi="Arial"/>
                <w:sz w:val="10"/>
                <w:szCs w:val="10"/>
                <w:color w:val="auto"/>
              </w:rPr>
              <w:t>January 31, 2025; 150,645,067 and 40,110,106 shares outstanding as of January 31, 2026 and January 31, 2025, respectively</w:t>
            </w: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500" w:type="dxa"/>
            <w:vAlign w:val="bottom"/>
            <w:shd w:val="clear" w:color="auto" w:fill="CCEEFF"/>
          </w:tcPr>
          <w:p>
            <w:pPr>
              <w:spacing w:after="0"/>
              <w:rPr>
                <w:sz w:val="20"/>
                <w:szCs w:val="20"/>
                <w:color w:val="auto"/>
              </w:rPr>
            </w:pPr>
            <w:r>
              <w:rPr>
                <w:rFonts w:ascii="Arial" w:cs="Arial" w:eastAsia="Arial" w:hAnsi="Arial"/>
                <w:sz w:val="10"/>
                <w:szCs w:val="10"/>
                <w:color w:val="auto"/>
              </w:rPr>
              <w:t>Treasury stock, at cost; 1,473,460 and 1,422,493 shares held as of January 31, 2026 and January 31, 2025, respectively</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(13,052)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(12,593)</w:t>
            </w:r>
          </w:p>
        </w:tc>
        <w:tc>
          <w:tcPr>
            <w:tcW w:w="0" w:type="dxa"/>
            <w:vAlign w:val="bottom"/>
          </w:tcPr>
          <w:p>
            <w:pPr>
              <w:spacing w:after="0"/>
              <w:rPr>
                <w:sz w:val="1"/>
                <w:szCs w:val="1"/>
                <w:color w:val="auto"/>
              </w:rPr>
            </w:pPr>
          </w:p>
        </w:tc>
      </w:tr>
      <w:tr>
        <w:trPr>
          <w:trHeight w:val="132"/>
        </w:trPr>
        <w:tc>
          <w:tcPr>
            <w:tcW w:w="8500" w:type="dxa"/>
            <w:vAlign w:val="bottom"/>
          </w:tcPr>
          <w:p>
            <w:pPr>
              <w:spacing w:after="0"/>
              <w:rPr>
                <w:sz w:val="20"/>
                <w:szCs w:val="20"/>
                <w:color w:val="auto"/>
              </w:rPr>
            </w:pPr>
            <w:r>
              <w:rPr>
                <w:rFonts w:ascii="Arial" w:cs="Arial" w:eastAsia="Arial" w:hAnsi="Arial"/>
                <w:sz w:val="10"/>
                <w:szCs w:val="10"/>
                <w:color w:val="auto"/>
              </w:rPr>
              <w:t>Additional paid-in capital</w:t>
            </w: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769,730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127,862</w:t>
            </w:r>
          </w:p>
        </w:tc>
        <w:tc>
          <w:tcPr>
            <w:tcW w:w="0" w:type="dxa"/>
            <w:vAlign w:val="bottom"/>
          </w:tcPr>
          <w:p>
            <w:pPr>
              <w:spacing w:after="0"/>
              <w:rPr>
                <w:sz w:val="1"/>
                <w:szCs w:val="1"/>
                <w:color w:val="auto"/>
              </w:rPr>
            </w:pPr>
          </w:p>
        </w:tc>
      </w:tr>
      <w:tr>
        <w:trPr>
          <w:trHeight w:val="138"/>
        </w:trPr>
        <w:tc>
          <w:tcPr>
            <w:tcW w:w="8500" w:type="dxa"/>
            <w:vAlign w:val="bottom"/>
            <w:shd w:val="clear" w:color="auto" w:fill="CCEEFF"/>
          </w:tcPr>
          <w:p>
            <w:pPr>
              <w:spacing w:after="0"/>
              <w:rPr>
                <w:sz w:val="20"/>
                <w:szCs w:val="20"/>
                <w:color w:val="auto"/>
              </w:rPr>
            </w:pPr>
            <w:r>
              <w:rPr>
                <w:rFonts w:ascii="Arial" w:cs="Arial" w:eastAsia="Arial" w:hAnsi="Arial"/>
                <w:sz w:val="10"/>
                <w:szCs w:val="10"/>
                <w:color w:val="auto"/>
              </w:rPr>
              <w:t>Accumulated deficit</w:t>
            </w: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(142,001)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(99,935)</w:t>
            </w:r>
          </w:p>
        </w:tc>
        <w:tc>
          <w:tcPr>
            <w:tcW w:w="0" w:type="dxa"/>
            <w:vAlign w:val="bottom"/>
          </w:tcPr>
          <w:p>
            <w:pPr>
              <w:spacing w:after="0"/>
              <w:rPr>
                <w:sz w:val="1"/>
                <w:szCs w:val="1"/>
                <w:color w:val="auto"/>
              </w:rPr>
            </w:pPr>
          </w:p>
        </w:tc>
      </w:tr>
      <w:tr>
        <w:trPr>
          <w:trHeight w:val="121"/>
        </w:trPr>
        <w:tc>
          <w:tcPr>
            <w:tcW w:w="85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Total stockholders’ equity</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614,689</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15,338</w:t>
            </w:r>
          </w:p>
        </w:tc>
        <w:tc>
          <w:tcPr>
            <w:tcW w:w="0" w:type="dxa"/>
            <w:vAlign w:val="bottom"/>
          </w:tcPr>
          <w:p>
            <w:pPr>
              <w:spacing w:after="0"/>
              <w:rPr>
                <w:sz w:val="1"/>
                <w:szCs w:val="1"/>
                <w:color w:val="auto"/>
              </w:rPr>
            </w:pPr>
          </w:p>
        </w:tc>
      </w:tr>
      <w:tr>
        <w:trPr>
          <w:trHeight w:val="143"/>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liabilities, redeemable convertible preferred stock, and stockholders’ equity</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1,415,729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435,206</w:t>
            </w:r>
          </w:p>
        </w:tc>
        <w:tc>
          <w:tcPr>
            <w:tcW w:w="0" w:type="dxa"/>
            <w:vAlign w:val="bottom"/>
          </w:tcPr>
          <w:p>
            <w:pPr>
              <w:spacing w:after="0"/>
              <w:rPr>
                <w:sz w:val="1"/>
                <w:szCs w:val="1"/>
                <w:color w:val="auto"/>
              </w:rPr>
            </w:pPr>
          </w:p>
        </w:tc>
      </w:tr>
    </w:tbl>
    <w:p>
      <w:pPr>
        <w:sectPr>
          <w:pgSz w:w="11900" w:h="16838" w:orient="portrait"/>
          <w:cols w:equalWidth="0" w:num="1">
            <w:col w:w="11300"/>
          </w:cols>
          <w:pgMar w:left="300" w:top="287" w:right="299" w:bottom="1440" w:gutter="0" w:footer="0" w:header="0"/>
        </w:sectPr>
      </w:pPr>
    </w:p>
    <w:bookmarkStart w:id="12" w:name="page13"/>
    <w:bookmarkEnd w:id="12"/>
    <w:p>
      <w:pPr>
        <w:ind w:left="4640"/>
        <w:spacing w:after="0"/>
        <w:rPr>
          <w:sz w:val="20"/>
          <w:szCs w:val="20"/>
          <w:color w:val="auto"/>
        </w:rPr>
      </w:pPr>
      <w:r>
        <w:rPr>
          <w:rFonts w:ascii="Arial" w:cs="Arial" w:eastAsia="Arial" w:hAnsi="Arial"/>
          <w:sz w:val="13"/>
          <w:szCs w:val="13"/>
          <w:b w:val="1"/>
          <w:bCs w:val="1"/>
          <w:color w:val="auto"/>
        </w:rPr>
        <w:t>WEALTHFRONT CORPORATION</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Twelve Months Ended</w:t>
            </w:r>
          </w:p>
        </w:tc>
        <w:tc>
          <w:tcPr>
            <w:tcW w:w="860" w:type="dxa"/>
            <w:vAlign w:val="bottom"/>
          </w:tcPr>
          <w:p>
            <w:pPr>
              <w:spacing w:after="0"/>
              <w:rPr>
                <w:sz w:val="10"/>
                <w:szCs w:val="10"/>
                <w:color w:val="auto"/>
              </w:rPr>
            </w:pPr>
          </w:p>
        </w:tc>
      </w:tr>
      <w:tr>
        <w:trPr>
          <w:trHeight w:val="124"/>
        </w:trPr>
        <w:tc>
          <w:tcPr>
            <w:tcW w:w="56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0"/>
                <w:szCs w:val="10"/>
                <w:color w:val="auto"/>
              </w:rPr>
            </w:pPr>
          </w:p>
        </w:tc>
      </w:tr>
      <w:tr>
        <w:trPr>
          <w:trHeight w:val="123"/>
        </w:trPr>
        <w:tc>
          <w:tcPr>
            <w:tcW w:w="564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 in thousands)</w:t>
            </w: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r>
      <w:tr>
        <w:trPr>
          <w:trHeight w:val="116"/>
        </w:trPr>
        <w:tc>
          <w:tcPr>
            <w:tcW w:w="56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2"/>
        </w:trPr>
        <w:tc>
          <w:tcPr>
            <w:tcW w:w="5640" w:type="dxa"/>
            <w:vAlign w:val="bottom"/>
          </w:tcPr>
          <w:p>
            <w:pPr>
              <w:ind w:left="80"/>
              <w:spacing w:after="0"/>
              <w:rPr>
                <w:sz w:val="20"/>
                <w:szCs w:val="20"/>
                <w:color w:val="auto"/>
              </w:rPr>
            </w:pPr>
            <w:r>
              <w:rPr>
                <w:rFonts w:ascii="Arial" w:cs="Arial" w:eastAsia="Arial" w:hAnsi="Arial"/>
                <w:sz w:val="10"/>
                <w:szCs w:val="10"/>
                <w:color w:val="auto"/>
              </w:rPr>
              <w:t>Cash management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69,749</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62,056</w:t>
            </w:r>
          </w:p>
        </w:tc>
        <w:tc>
          <w:tcPr>
            <w:tcW w:w="6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271,700</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230,946</w:t>
            </w:r>
          </w:p>
        </w:tc>
      </w:tr>
      <w:tr>
        <w:trPr>
          <w:trHeight w:val="138"/>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Investment advisory</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25,803</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19,632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91,899</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73,045</w:t>
            </w:r>
          </w:p>
        </w:tc>
      </w:tr>
      <w:tr>
        <w:trPr>
          <w:trHeight w:val="132"/>
        </w:trPr>
        <w:tc>
          <w:tcPr>
            <w:tcW w:w="56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Other revenue</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584</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992</w:t>
            </w: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1,394</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4,868</w:t>
            </w:r>
          </w:p>
        </w:tc>
      </w:tr>
      <w:tr>
        <w:trPr>
          <w:trHeight w:val="127"/>
        </w:trPr>
        <w:tc>
          <w:tcPr>
            <w:tcW w:w="56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revenue</w:t>
            </w: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96,136</w:t>
            </w: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82,680</w:t>
            </w:r>
          </w:p>
        </w:tc>
        <w:tc>
          <w:tcPr>
            <w:tcW w:w="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364,993</w:t>
            </w: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308,859</w:t>
            </w:r>
          </w:p>
        </w:tc>
      </w:tr>
      <w:tr>
        <w:trPr>
          <w:trHeight w:val="114"/>
        </w:trPr>
        <w:tc>
          <w:tcPr>
            <w:tcW w:w="5640" w:type="dxa"/>
            <w:vAlign w:val="bottom"/>
          </w:tcPr>
          <w:p>
            <w:pPr>
              <w:spacing w:after="0" w:line="113" w:lineRule="exact"/>
              <w:rPr>
                <w:sz w:val="20"/>
                <w:szCs w:val="20"/>
                <w:color w:val="auto"/>
              </w:rPr>
            </w:pPr>
            <w:r>
              <w:rPr>
                <w:rFonts w:ascii="Arial" w:cs="Arial" w:eastAsia="Arial" w:hAnsi="Arial"/>
                <w:sz w:val="10"/>
                <w:szCs w:val="10"/>
                <w:b w:val="1"/>
                <w:bCs w:val="1"/>
                <w:color w:val="auto"/>
              </w:rPr>
              <w:t>Costs and operating expenses:</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36"/>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Cost of revenue</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9,574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8,543</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38,007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30,964</w:t>
            </w:r>
          </w:p>
        </w:tc>
      </w:tr>
      <w:tr>
        <w:trPr>
          <w:trHeight w:val="132"/>
        </w:trPr>
        <w:tc>
          <w:tcPr>
            <w:tcW w:w="5640" w:type="dxa"/>
            <w:vAlign w:val="bottom"/>
          </w:tcPr>
          <w:p>
            <w:pPr>
              <w:ind w:left="80"/>
              <w:spacing w:after="0"/>
              <w:rPr>
                <w:sz w:val="20"/>
                <w:szCs w:val="20"/>
                <w:color w:val="auto"/>
              </w:rPr>
            </w:pPr>
            <w:r>
              <w:rPr>
                <w:rFonts w:ascii="Arial" w:cs="Arial" w:eastAsia="Arial" w:hAnsi="Arial"/>
                <w:sz w:val="10"/>
                <w:szCs w:val="10"/>
                <w:color w:val="auto"/>
              </w:rPr>
              <w:t>Product development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150,056</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18,085</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212,437</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64,515</w:t>
            </w:r>
          </w:p>
        </w:tc>
      </w:tr>
      <w:tr>
        <w:trPr>
          <w:trHeight w:val="138"/>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General and administrative</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114,984</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7,841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149,128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29,092</w:t>
            </w:r>
          </w:p>
        </w:tc>
      </w:tr>
      <w:tr>
        <w:trPr>
          <w:trHeight w:val="132"/>
        </w:trPr>
        <w:tc>
          <w:tcPr>
            <w:tcW w:w="5640" w:type="dxa"/>
            <w:vAlign w:val="bottom"/>
          </w:tcPr>
          <w:p>
            <w:pPr>
              <w:ind w:left="80"/>
              <w:spacing w:after="0"/>
              <w:rPr>
                <w:sz w:val="20"/>
                <w:szCs w:val="20"/>
                <w:color w:val="auto"/>
              </w:rPr>
            </w:pPr>
            <w:r>
              <w:rPr>
                <w:rFonts w:ascii="Arial" w:cs="Arial" w:eastAsia="Arial" w:hAnsi="Arial"/>
                <w:sz w:val="10"/>
                <w:szCs w:val="10"/>
                <w:color w:val="auto"/>
              </w:rPr>
              <w:t>Marketing</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20,240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14,475</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51,755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52,196</w:t>
            </w:r>
          </w:p>
        </w:tc>
      </w:tr>
      <w:tr>
        <w:trPr>
          <w:trHeight w:val="138"/>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Operations and support</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15,802</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2,839</w:t>
            </w:r>
          </w:p>
        </w:tc>
        <w:tc>
          <w:tcPr>
            <w:tcW w:w="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24,836</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10,619</w:t>
            </w:r>
          </w:p>
        </w:tc>
      </w:tr>
      <w:tr>
        <w:trPr>
          <w:trHeight w:val="121"/>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costs and operating expenses</w:t>
            </w: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310,656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51,783</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476,163</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187,386</w:t>
            </w:r>
          </w:p>
        </w:tc>
      </w:tr>
      <w:tr>
        <w:trPr>
          <w:trHeight w:val="127"/>
        </w:trPr>
        <w:tc>
          <w:tcPr>
            <w:tcW w:w="5640" w:type="dxa"/>
            <w:vAlign w:val="bottom"/>
            <w:shd w:val="clear" w:color="auto" w:fill="CCEEFF"/>
          </w:tcPr>
          <w:p>
            <w:pPr>
              <w:spacing w:after="0"/>
              <w:rPr>
                <w:sz w:val="20"/>
                <w:szCs w:val="20"/>
                <w:color w:val="auto"/>
              </w:rPr>
            </w:pPr>
            <w:r>
              <w:rPr>
                <w:rFonts w:ascii="Arial" w:cs="Arial" w:eastAsia="Arial" w:hAnsi="Arial"/>
                <w:sz w:val="10"/>
                <w:szCs w:val="10"/>
                <w:color w:val="auto"/>
              </w:rPr>
              <w:t>Interest expense</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253</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2,810</w:t>
            </w:r>
          </w:p>
        </w:tc>
      </w:tr>
      <w:tr>
        <w:trPr>
          <w:trHeight w:val="132"/>
        </w:trPr>
        <w:tc>
          <w:tcPr>
            <w:tcW w:w="56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income, net</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(5,053)</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(812)</w:t>
            </w: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(10,813)</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(20,566)</w:t>
            </w:r>
          </w:p>
        </w:tc>
      </w:tr>
      <w:tr>
        <w:trPr>
          <w:trHeight w:val="127"/>
        </w:trPr>
        <w:tc>
          <w:tcPr>
            <w:tcW w:w="5640" w:type="dxa"/>
            <w:vAlign w:val="bottom"/>
            <w:shd w:val="clear" w:color="auto" w:fill="CCEEFF"/>
          </w:tcPr>
          <w:p>
            <w:pPr>
              <w:spacing w:after="0"/>
              <w:rPr>
                <w:sz w:val="20"/>
                <w:szCs w:val="20"/>
                <w:color w:val="auto"/>
              </w:rPr>
            </w:pPr>
            <w:r>
              <w:rPr>
                <w:rFonts w:ascii="Arial" w:cs="Arial" w:eastAsia="Arial" w:hAnsi="Arial"/>
                <w:sz w:val="10"/>
                <w:szCs w:val="10"/>
                <w:color w:val="auto"/>
              </w:rPr>
              <w:t>Income before income taxes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(209,975)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31,456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(101,248)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139,229</w:t>
            </w:r>
          </w:p>
        </w:tc>
      </w:tr>
      <w:tr>
        <w:trPr>
          <w:trHeight w:val="132"/>
        </w:trPr>
        <w:tc>
          <w:tcPr>
            <w:tcW w:w="56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Provision for (benefit from) income taxes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(76,320)</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(636)</w:t>
            </w: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(59,182)</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(55,218)</w:t>
            </w:r>
          </w:p>
        </w:tc>
      </w:tr>
      <w:tr>
        <w:trPr>
          <w:trHeight w:val="147"/>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(133,655)</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32,092</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(42,066)</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194,447</w:t>
            </w:r>
          </w:p>
        </w:tc>
      </w:tr>
      <w:tr>
        <w:trPr>
          <w:trHeight w:val="112"/>
        </w:trPr>
        <w:tc>
          <w:tcPr>
            <w:tcW w:w="5640" w:type="dxa"/>
            <w:vAlign w:val="bottom"/>
          </w:tcPr>
          <w:p>
            <w:pPr>
              <w:spacing w:after="0" w:line="111" w:lineRule="exact"/>
              <w:rPr>
                <w:sz w:val="20"/>
                <w:szCs w:val="20"/>
                <w:color w:val="auto"/>
              </w:rPr>
            </w:pPr>
            <w:r>
              <w:rPr>
                <w:rFonts w:ascii="Arial" w:cs="Arial" w:eastAsia="Arial" w:hAnsi="Arial"/>
                <w:sz w:val="10"/>
                <w:szCs w:val="10"/>
                <w:b w:val="1"/>
                <w:bCs w:val="1"/>
                <w:color w:val="auto"/>
              </w:rPr>
              <w:t>Net income (loss) attributable to common shareholders:</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36"/>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income (loss) attributable to common stockholders, basic</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(133,655)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32,092</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(42,066)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194,447</w:t>
            </w:r>
          </w:p>
        </w:tc>
      </w:tr>
      <w:tr>
        <w:trPr>
          <w:trHeight w:val="132"/>
        </w:trPr>
        <w:tc>
          <w:tcPr>
            <w:tcW w:w="5640" w:type="dxa"/>
            <w:vAlign w:val="bottom"/>
          </w:tcPr>
          <w:p>
            <w:pPr>
              <w:ind w:left="80"/>
              <w:spacing w:after="0"/>
              <w:rPr>
                <w:sz w:val="20"/>
                <w:szCs w:val="20"/>
                <w:color w:val="auto"/>
              </w:rPr>
            </w:pPr>
            <w:r>
              <w:rPr>
                <w:rFonts w:ascii="Arial" w:cs="Arial" w:eastAsia="Arial" w:hAnsi="Arial"/>
                <w:sz w:val="10"/>
                <w:szCs w:val="10"/>
                <w:color w:val="auto"/>
              </w:rPr>
              <w:t>Net income (loss) attributable to common stockholders, dilutive</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(134,774)</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32,092</w:t>
            </w:r>
          </w:p>
        </w:tc>
        <w:tc>
          <w:tcPr>
            <w:tcW w:w="6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(43,203)</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181,752</w:t>
            </w:r>
          </w:p>
        </w:tc>
      </w:tr>
      <w:tr>
        <w:trPr>
          <w:trHeight w:val="138"/>
        </w:trPr>
        <w:tc>
          <w:tcPr>
            <w:tcW w:w="56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Earnings per share (EPS):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2"/>
        </w:trPr>
        <w:tc>
          <w:tcPr>
            <w:tcW w:w="5640" w:type="dxa"/>
            <w:vAlign w:val="bottom"/>
          </w:tcPr>
          <w:p>
            <w:pPr>
              <w:ind w:left="80"/>
              <w:spacing w:after="0"/>
              <w:rPr>
                <w:sz w:val="20"/>
                <w:szCs w:val="20"/>
                <w:color w:val="auto"/>
              </w:rPr>
            </w:pPr>
            <w:r>
              <w:rPr>
                <w:rFonts w:ascii="Arial" w:cs="Arial" w:eastAsia="Arial" w:hAnsi="Arial"/>
                <w:sz w:val="10"/>
                <w:szCs w:val="10"/>
                <w:color w:val="auto"/>
              </w:rPr>
              <w:t>Basic</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(1.30)</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0.82</w:t>
            </w:r>
          </w:p>
        </w:tc>
        <w:tc>
          <w:tcPr>
            <w:tcW w:w="6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(0.74)</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4.99</w:t>
            </w:r>
          </w:p>
        </w:tc>
      </w:tr>
      <w:tr>
        <w:trPr>
          <w:trHeight w:val="138"/>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Diluted</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0.23</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r>
      <w:tr>
        <w:trPr>
          <w:trHeight w:val="134"/>
        </w:trPr>
        <w:tc>
          <w:tcPr>
            <w:tcW w:w="5640" w:type="dxa"/>
            <w:vAlign w:val="bottom"/>
          </w:tcPr>
          <w:p>
            <w:pPr>
              <w:spacing w:after="0"/>
              <w:rPr>
                <w:sz w:val="20"/>
                <w:szCs w:val="20"/>
                <w:color w:val="auto"/>
              </w:rPr>
            </w:pPr>
            <w:r>
              <w:rPr>
                <w:rFonts w:ascii="Arial" w:cs="Arial" w:eastAsia="Arial" w:hAnsi="Arial"/>
                <w:sz w:val="10"/>
                <w:szCs w:val="10"/>
                <w:b w:val="1"/>
                <w:bCs w:val="1"/>
                <w:color w:val="auto"/>
              </w:rPr>
              <w:t>Weighted-average shares outstanding used in computing EPS: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6"/>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Basic</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102,601,387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39,108,339</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56,694,634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38,990,556</w:t>
            </w:r>
          </w:p>
        </w:tc>
      </w:tr>
      <w:tr>
        <w:trPr>
          <w:trHeight w:val="129"/>
        </w:trPr>
        <w:tc>
          <w:tcPr>
            <w:tcW w:w="5640" w:type="dxa"/>
            <w:vAlign w:val="bottom"/>
          </w:tcPr>
          <w:p>
            <w:pPr>
              <w:ind w:left="80"/>
              <w:spacing w:after="0"/>
              <w:rPr>
                <w:sz w:val="20"/>
                <w:szCs w:val="20"/>
                <w:color w:val="auto"/>
              </w:rPr>
            </w:pPr>
            <w:r>
              <w:rPr>
                <w:rFonts w:ascii="Arial" w:cs="Arial" w:eastAsia="Arial" w:hAnsi="Arial"/>
                <w:sz w:val="10"/>
                <w:szCs w:val="10"/>
                <w:color w:val="auto"/>
              </w:rPr>
              <w:t>Diluted</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102,830,296</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137,775,723</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56,937,428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138,660,318</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 by Type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Twelve Months Ended</w:t>
            </w:r>
          </w:p>
        </w:tc>
        <w:tc>
          <w:tcPr>
            <w:tcW w:w="860" w:type="dxa"/>
            <w:vAlign w:val="bottom"/>
          </w:tcPr>
          <w:p>
            <w:pPr>
              <w:spacing w:after="0"/>
              <w:rPr>
                <w:sz w:val="10"/>
                <w:szCs w:val="10"/>
                <w:color w:val="auto"/>
              </w:rPr>
            </w:pPr>
          </w:p>
        </w:tc>
      </w:tr>
      <w:tr>
        <w:trPr>
          <w:trHeight w:val="126"/>
        </w:trPr>
        <w:tc>
          <w:tcPr>
            <w:tcW w:w="56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0"/>
                <w:szCs w:val="10"/>
                <w:color w:val="auto"/>
              </w:rPr>
            </w:pPr>
          </w:p>
        </w:tc>
      </w:tr>
      <w:tr>
        <w:trPr>
          <w:trHeight w:val="123"/>
        </w:trPr>
        <w:tc>
          <w:tcPr>
            <w:tcW w:w="564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 in thousands)</w:t>
            </w: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r>
      <w:tr>
        <w:trPr>
          <w:trHeight w:val="161"/>
        </w:trPr>
        <w:tc>
          <w:tcPr>
            <w:tcW w:w="5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2"/>
        </w:trPr>
        <w:tc>
          <w:tcPr>
            <w:tcW w:w="5640" w:type="dxa"/>
            <w:vAlign w:val="bottom"/>
          </w:tcPr>
          <w:p>
            <w:pPr>
              <w:spacing w:after="0"/>
              <w:rPr>
                <w:sz w:val="20"/>
                <w:szCs w:val="20"/>
                <w:color w:val="auto"/>
              </w:rPr>
            </w:pPr>
            <w:r>
              <w:rPr>
                <w:rFonts w:ascii="Arial" w:cs="Arial" w:eastAsia="Arial" w:hAnsi="Arial"/>
                <w:sz w:val="10"/>
                <w:szCs w:val="10"/>
                <w:color w:val="auto"/>
              </w:rPr>
              <w:t>Product development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124,266</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1,632</w:t>
            </w:r>
          </w:p>
        </w:tc>
        <w:tc>
          <w:tcPr>
            <w:tcW w:w="6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127,414</w:t>
            </w:r>
          </w:p>
        </w:tc>
        <w:tc>
          <w:tcPr>
            <w:tcW w:w="80" w:type="dxa"/>
            <w:vAlign w:val="bottom"/>
          </w:tcPr>
          <w:p>
            <w:pPr>
              <w:spacing w:after="0"/>
              <w:rPr>
                <w:sz w:val="11"/>
                <w:szCs w:val="11"/>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7,325</w:t>
            </w:r>
          </w:p>
        </w:tc>
      </w:tr>
      <w:tr>
        <w:trPr>
          <w:trHeight w:val="138"/>
        </w:trPr>
        <w:tc>
          <w:tcPr>
            <w:tcW w:w="5640" w:type="dxa"/>
            <w:vAlign w:val="bottom"/>
            <w:shd w:val="clear" w:color="auto" w:fill="CCEEFF"/>
          </w:tcPr>
          <w:p>
            <w:pPr>
              <w:spacing w:after="0"/>
              <w:rPr>
                <w:sz w:val="20"/>
                <w:szCs w:val="20"/>
                <w:color w:val="auto"/>
              </w:rPr>
            </w:pPr>
            <w:r>
              <w:rPr>
                <w:rFonts w:ascii="Arial" w:cs="Arial" w:eastAsia="Arial" w:hAnsi="Arial"/>
                <w:sz w:val="10"/>
                <w:szCs w:val="10"/>
                <w:color w:val="auto"/>
              </w:rPr>
              <w:t>General and administrative</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102,992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419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110,677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w:t>
            </w:r>
          </w:p>
        </w:tc>
      </w:tr>
      <w:tr>
        <w:trPr>
          <w:trHeight w:val="132"/>
        </w:trPr>
        <w:tc>
          <w:tcPr>
            <w:tcW w:w="5640" w:type="dxa"/>
            <w:vAlign w:val="bottom"/>
          </w:tcPr>
          <w:p>
            <w:pPr>
              <w:spacing w:after="0"/>
              <w:rPr>
                <w:sz w:val="20"/>
                <w:szCs w:val="20"/>
                <w:color w:val="auto"/>
              </w:rPr>
            </w:pPr>
            <w:r>
              <w:rPr>
                <w:rFonts w:ascii="Arial" w:cs="Arial" w:eastAsia="Arial" w:hAnsi="Arial"/>
                <w:sz w:val="10"/>
                <w:szCs w:val="10"/>
                <w:color w:val="auto"/>
              </w:rPr>
              <w:t>Marketing</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8,242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109</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8,472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536</w:t>
            </w:r>
          </w:p>
        </w:tc>
      </w:tr>
      <w:tr>
        <w:trPr>
          <w:trHeight w:val="138"/>
        </w:trPr>
        <w:tc>
          <w:tcPr>
            <w:tcW w:w="5640" w:type="dxa"/>
            <w:vAlign w:val="bottom"/>
            <w:shd w:val="clear" w:color="auto" w:fill="CCEEFF"/>
          </w:tcPr>
          <w:p>
            <w:pPr>
              <w:spacing w:after="0"/>
              <w:rPr>
                <w:sz w:val="20"/>
                <w:szCs w:val="20"/>
                <w:color w:val="auto"/>
              </w:rPr>
            </w:pPr>
            <w:r>
              <w:rPr>
                <w:rFonts w:ascii="Arial" w:cs="Arial" w:eastAsia="Arial" w:hAnsi="Arial"/>
                <w:sz w:val="10"/>
                <w:szCs w:val="10"/>
                <w:color w:val="auto"/>
              </w:rPr>
              <w:t>Operations and support</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12,788</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239</w:t>
            </w:r>
          </w:p>
        </w:tc>
        <w:tc>
          <w:tcPr>
            <w:tcW w:w="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13,261</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1,099</w:t>
            </w:r>
          </w:p>
        </w:tc>
      </w:tr>
      <w:tr>
        <w:trPr>
          <w:trHeight w:val="121"/>
        </w:trPr>
        <w:tc>
          <w:tcPr>
            <w:tcW w:w="5640" w:type="dxa"/>
            <w:vAlign w:val="bottom"/>
          </w:tcPr>
          <w:p>
            <w:pPr>
              <w:spacing w:after="0"/>
              <w:rPr>
                <w:sz w:val="20"/>
                <w:szCs w:val="20"/>
                <w:color w:val="auto"/>
              </w:rPr>
            </w:pPr>
            <w:r>
              <w:rPr>
                <w:rFonts w:ascii="Arial" w:cs="Arial" w:eastAsia="Arial" w:hAnsi="Arial"/>
                <w:sz w:val="10"/>
                <w:szCs w:val="10"/>
                <w:color w:val="auto"/>
              </w:rPr>
              <w:t>Stock-based compensation expense, net of amounts capitalized</w:t>
            </w: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248,288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2,399</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259,824</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11,001</w:t>
            </w:r>
          </w:p>
        </w:tc>
      </w:tr>
      <w:tr>
        <w:trPr>
          <w:trHeight w:val="135"/>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Capitalized stock-based compensation expense</w:t>
            </w:r>
          </w:p>
        </w:tc>
        <w:tc>
          <w:tcPr>
            <w:tcW w:w="3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(1,637)</w:t>
            </w:r>
          </w:p>
        </w:tc>
      </w:tr>
      <w:tr>
        <w:trPr>
          <w:trHeight w:val="127"/>
        </w:trPr>
        <w:tc>
          <w:tcPr>
            <w:tcW w:w="5640" w:type="dxa"/>
            <w:vAlign w:val="bottom"/>
          </w:tcPr>
          <w:p>
            <w:pPr>
              <w:ind w:left="140"/>
              <w:spacing w:after="0"/>
              <w:rPr>
                <w:sz w:val="20"/>
                <w:szCs w:val="20"/>
                <w:color w:val="auto"/>
              </w:rPr>
            </w:pPr>
            <w:r>
              <w:rPr>
                <w:rFonts w:ascii="Arial" w:cs="Arial" w:eastAsia="Arial" w:hAnsi="Arial"/>
                <w:sz w:val="10"/>
                <w:szCs w:val="10"/>
                <w:b w:val="1"/>
                <w:bCs w:val="1"/>
                <w:color w:val="auto"/>
              </w:rPr>
              <w:t>Total stock-based compensation expense</w:t>
            </w: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248,288</w:t>
            </w:r>
          </w:p>
        </w:tc>
        <w:tc>
          <w:tcPr>
            <w:tcW w:w="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2,120</w:t>
            </w: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259,824</w:t>
            </w:r>
          </w:p>
        </w:tc>
        <w:tc>
          <w:tcPr>
            <w:tcW w:w="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9,364</w:t>
            </w: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287" w:right="299" w:bottom="1440" w:gutter="0" w:footer="0" w:header="0"/>
        </w:sectPr>
      </w:pPr>
    </w:p>
    <w:bookmarkStart w:id="13" w:name="page14"/>
    <w:bookmarkEnd w:id="13"/>
    <w:p>
      <w:pPr>
        <w:ind w:left="4640"/>
        <w:spacing w:after="0"/>
        <w:rPr>
          <w:sz w:val="20"/>
          <w:szCs w:val="20"/>
          <w:color w:val="auto"/>
        </w:rPr>
      </w:pPr>
      <w:r>
        <w:rPr>
          <w:rFonts w:ascii="Arial" w:cs="Arial" w:eastAsia="Arial" w:hAnsi="Arial"/>
          <w:sz w:val="13"/>
          <w:szCs w:val="13"/>
          <w:b w:val="1"/>
          <w:bCs w:val="1"/>
          <w:color w:val="auto"/>
        </w:rPr>
        <w:t>WEALTHFRONT CORPORATION</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gridSpan w:val="3"/>
          </w:tcPr>
          <w:p>
            <w:pPr>
              <w:jc w:val="right"/>
              <w:ind w:right="312"/>
              <w:spacing w:after="0"/>
              <w:rPr>
                <w:sz w:val="20"/>
                <w:szCs w:val="20"/>
                <w:color w:val="auto"/>
              </w:rPr>
            </w:pPr>
            <w:r>
              <w:rPr>
                <w:rFonts w:ascii="Arial" w:cs="Arial" w:eastAsia="Arial" w:hAnsi="Arial"/>
                <w:sz w:val="10"/>
                <w:szCs w:val="10"/>
                <w:b w:val="1"/>
                <w:bCs w:val="1"/>
                <w:color w:val="auto"/>
                <w:w w:val="97"/>
              </w:rPr>
              <w:t>Three Months Ended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Twelve Months Ended</w:t>
            </w:r>
          </w:p>
        </w:tc>
        <w:tc>
          <w:tcPr>
            <w:tcW w:w="740" w:type="dxa"/>
            <w:vAlign w:val="bottom"/>
          </w:tcPr>
          <w:p>
            <w:pPr>
              <w:spacing w:after="0"/>
              <w:rPr>
                <w:sz w:val="10"/>
                <w:szCs w:val="10"/>
                <w:color w:val="auto"/>
              </w:rPr>
            </w:pPr>
          </w:p>
        </w:tc>
      </w:tr>
      <w:tr>
        <w:trPr>
          <w:trHeight w:val="124"/>
        </w:trPr>
        <w:tc>
          <w:tcPr>
            <w:tcW w:w="61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0"/>
                <w:szCs w:val="10"/>
                <w:b w:val="1"/>
                <w:bCs w:val="1"/>
                <w:color w:val="auto"/>
              </w:rPr>
              <w:t>January 31,</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0"/>
                <w:szCs w:val="10"/>
                <w:b w:val="1"/>
                <w:bCs w:val="1"/>
                <w:color w:val="auto"/>
              </w:rPr>
              <w:t>January 31,</w:t>
            </w:r>
          </w:p>
        </w:tc>
        <w:tc>
          <w:tcPr>
            <w:tcW w:w="740" w:type="dxa"/>
            <w:vAlign w:val="bottom"/>
            <w:tcBorders>
              <w:bottom w:val="single" w:sz="8" w:color="auto"/>
            </w:tcBorders>
          </w:tcPr>
          <w:p>
            <w:pPr>
              <w:spacing w:after="0"/>
              <w:rPr>
                <w:sz w:val="10"/>
                <w:szCs w:val="10"/>
                <w:color w:val="auto"/>
              </w:rPr>
            </w:pPr>
          </w:p>
        </w:tc>
      </w:tr>
      <w:tr>
        <w:trPr>
          <w:trHeight w:val="123"/>
        </w:trPr>
        <w:tc>
          <w:tcPr>
            <w:tcW w:w="618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 in thousands)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2025</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w w:val="98"/>
              </w:rPr>
              <w:t>2025</w:t>
            </w:r>
          </w:p>
        </w:tc>
      </w:tr>
      <w:tr>
        <w:trPr>
          <w:trHeight w:val="116"/>
        </w:trPr>
        <w:tc>
          <w:tcPr>
            <w:tcW w:w="6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7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32"/>
        </w:trPr>
        <w:tc>
          <w:tcPr>
            <w:tcW w:w="6180" w:type="dxa"/>
            <w:vAlign w:val="bottom"/>
          </w:tcPr>
          <w:p>
            <w:pPr>
              <w:spacing w:after="0"/>
              <w:rPr>
                <w:sz w:val="20"/>
                <w:szCs w:val="20"/>
                <w:color w:val="auto"/>
              </w:rPr>
            </w:pPr>
            <w:r>
              <w:rPr>
                <w:rFonts w:ascii="Arial" w:cs="Arial" w:eastAsia="Arial" w:hAnsi="Arial"/>
                <w:sz w:val="10"/>
                <w:szCs w:val="10"/>
                <w:color w:val="auto"/>
              </w:rPr>
              <w:t>Net income (loss)</w:t>
            </w: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(133,655)</w:t>
            </w:r>
          </w:p>
        </w:tc>
        <w:tc>
          <w:tcPr>
            <w:tcW w:w="80" w:type="dxa"/>
            <w:vAlign w:val="bottom"/>
          </w:tcPr>
          <w:p>
            <w:pPr>
              <w:spacing w:after="0"/>
              <w:rPr>
                <w:sz w:val="11"/>
                <w:szCs w:val="11"/>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32,092</w:t>
            </w:r>
          </w:p>
        </w:tc>
        <w:tc>
          <w:tcPr>
            <w:tcW w:w="8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(42,066)</w:t>
            </w:r>
          </w:p>
        </w:tc>
        <w:tc>
          <w:tcPr>
            <w:tcW w:w="80" w:type="dxa"/>
            <w:vAlign w:val="bottom"/>
          </w:tcPr>
          <w:p>
            <w:pPr>
              <w:spacing w:after="0"/>
              <w:rPr>
                <w:sz w:val="11"/>
                <w:szCs w:val="11"/>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194,447</w:t>
            </w:r>
          </w:p>
        </w:tc>
      </w:tr>
      <w:tr>
        <w:trPr>
          <w:trHeight w:val="138"/>
        </w:trPr>
        <w:tc>
          <w:tcPr>
            <w:tcW w:w="6180" w:type="dxa"/>
            <w:vAlign w:val="bottom"/>
            <w:shd w:val="clear" w:color="auto" w:fill="CCEEFF"/>
          </w:tcPr>
          <w:p>
            <w:pPr>
              <w:spacing w:after="0"/>
              <w:rPr>
                <w:sz w:val="20"/>
                <w:szCs w:val="20"/>
                <w:color w:val="auto"/>
              </w:rPr>
            </w:pPr>
            <w:r>
              <w:rPr>
                <w:rFonts w:ascii="Arial" w:cs="Arial" w:eastAsia="Arial" w:hAnsi="Arial"/>
                <w:sz w:val="10"/>
                <w:szCs w:val="10"/>
                <w:i w:val="1"/>
                <w:iCs w:val="1"/>
                <w:color w:val="auto"/>
              </w:rPr>
              <w:t>Adjustments to reconcile net income (loss) to net cash provided by operating activities: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Depreciation and amortization of property, software, and equipment, net</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1,829</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1,779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7,397</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6,236</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Non-cash lease expense</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859</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3,280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3,066</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Cash interest paid on convertible note</w:t>
            </w:r>
          </w:p>
        </w:tc>
        <w:tc>
          <w:tcPr>
            <w:tcW w:w="7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(904)</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Cash interest expense on related-party long-term debt</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(6,193)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(6,193)</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Non-cash interest expense on related-party long-term debt</w:t>
            </w:r>
          </w:p>
        </w:tc>
        <w:tc>
          <w:tcPr>
            <w:tcW w:w="7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171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2,272</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Deferred income taxes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(74,049)</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(59,555)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(60,194)</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Stock-based compensation expense</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248,288</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2,120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259,824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9,364</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Impairment of internally developed software</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Change in fair value of convertible note</w:t>
            </w:r>
          </w:p>
        </w:tc>
        <w:tc>
          <w:tcPr>
            <w:tcW w:w="7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(16,927)</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Change in fair value of warrant liabilities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678</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Change in fair value of simple agreement for future equity</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(219)</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374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1,298</w:t>
            </w:r>
          </w:p>
        </w:tc>
      </w:tr>
      <w:tr>
        <w:trPr>
          <w:trHeight w:val="138"/>
        </w:trPr>
        <w:tc>
          <w:tcPr>
            <w:tcW w:w="6180" w:type="dxa"/>
            <w:vAlign w:val="bottom"/>
            <w:shd w:val="clear" w:color="auto" w:fill="CCEEFF"/>
          </w:tcPr>
          <w:p>
            <w:pPr>
              <w:spacing w:after="0"/>
              <w:rPr>
                <w:sz w:val="20"/>
                <w:szCs w:val="20"/>
                <w:color w:val="auto"/>
              </w:rPr>
            </w:pPr>
            <w:r>
              <w:rPr>
                <w:rFonts w:ascii="Arial" w:cs="Arial" w:eastAsia="Arial" w:hAnsi="Arial"/>
                <w:sz w:val="10"/>
                <w:szCs w:val="10"/>
                <w:i w:val="1"/>
                <w:iCs w:val="1"/>
                <w:color w:val="auto"/>
              </w:rPr>
              <w:t>Changes in operating assets and liabilities: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Due from clients</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(36,343)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(23,210)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(108,895)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(49,052)</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Accounts receivable</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(8,946)</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Other current and noncurrent assets</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(18,144)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(5,586)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(31,517)</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(9,890)</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Accounts payable</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3,287</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Accrued liabilities</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(3,547)</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(3,343)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1,313</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2,116</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Due to clients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17,796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20,757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7,127</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Payable to clearing broker</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36,313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23,037</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109,265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48,761</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Lease liabilities</w:t>
            </w:r>
          </w:p>
        </w:tc>
        <w:tc>
          <w:tcPr>
            <w:tcW w:w="7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(979)</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(3,705)</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(3,396)</w:t>
            </w:r>
          </w:p>
        </w:tc>
      </w:tr>
      <w:tr>
        <w:trPr>
          <w:trHeight w:val="121"/>
        </w:trPr>
        <w:tc>
          <w:tcPr>
            <w:tcW w:w="6180" w:type="dxa"/>
            <w:vAlign w:val="bottom"/>
          </w:tcPr>
          <w:p>
            <w:pPr>
              <w:spacing w:after="0"/>
              <w:rPr>
                <w:sz w:val="20"/>
                <w:szCs w:val="20"/>
                <w:color w:val="auto"/>
              </w:rPr>
            </w:pPr>
            <w:r>
              <w:rPr>
                <w:rFonts w:ascii="Arial" w:cs="Arial" w:eastAsia="Arial" w:hAnsi="Arial"/>
                <w:sz w:val="10"/>
                <w:szCs w:val="10"/>
                <w:color w:val="auto"/>
              </w:rPr>
              <w:t>Net cash provided by operating activities</w:t>
            </w: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33,306</w:t>
            </w:r>
          </w:p>
        </w:tc>
        <w:tc>
          <w:tcPr>
            <w:tcW w:w="80" w:type="dxa"/>
            <w:vAlign w:val="bottom"/>
          </w:tcPr>
          <w:p>
            <w:pPr>
              <w:spacing w:after="0"/>
              <w:rPr>
                <w:sz w:val="10"/>
                <w:szCs w:val="10"/>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19,915</w:t>
            </w:r>
          </w:p>
        </w:tc>
        <w:tc>
          <w:tcPr>
            <w:tcW w:w="8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152,189</w:t>
            </w:r>
          </w:p>
        </w:tc>
        <w:tc>
          <w:tcPr>
            <w:tcW w:w="80" w:type="dxa"/>
            <w:vAlign w:val="bottom"/>
          </w:tcPr>
          <w:p>
            <w:pPr>
              <w:spacing w:after="0"/>
              <w:rPr>
                <w:sz w:val="10"/>
                <w:szCs w:val="10"/>
                <w:color w:val="auto"/>
              </w:rPr>
            </w:pP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123,150</w:t>
            </w:r>
          </w:p>
        </w:tc>
      </w:tr>
      <w:tr>
        <w:trPr>
          <w:trHeight w:val="138"/>
        </w:trPr>
        <w:tc>
          <w:tcPr>
            <w:tcW w:w="6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Investing activities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Purchases of property, software, and equipment</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(308)</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(1,138)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(533)</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Capitalized internally developed software</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(5,310)</w:t>
            </w:r>
          </w:p>
        </w:tc>
      </w:tr>
      <w:tr>
        <w:trPr>
          <w:trHeight w:val="121"/>
        </w:trPr>
        <w:tc>
          <w:tcPr>
            <w:tcW w:w="6180" w:type="dxa"/>
            <w:vAlign w:val="bottom"/>
          </w:tcPr>
          <w:p>
            <w:pPr>
              <w:spacing w:after="0"/>
              <w:rPr>
                <w:sz w:val="20"/>
                <w:szCs w:val="20"/>
                <w:color w:val="auto"/>
              </w:rPr>
            </w:pPr>
            <w:r>
              <w:rPr>
                <w:rFonts w:ascii="Arial" w:cs="Arial" w:eastAsia="Arial" w:hAnsi="Arial"/>
                <w:sz w:val="10"/>
                <w:szCs w:val="10"/>
                <w:color w:val="auto"/>
              </w:rPr>
              <w:t>Net cash used in investing activities</w:t>
            </w:r>
          </w:p>
        </w:tc>
        <w:tc>
          <w:tcPr>
            <w:tcW w:w="740" w:type="dxa"/>
            <w:vAlign w:val="bottom"/>
            <w:tcBorders>
              <w:top w:val="single" w:sz="8" w:color="auto"/>
            </w:tcBorders>
          </w:tcPr>
          <w:p>
            <w:pPr>
              <w:jc w:val="right"/>
              <w:ind w:right="63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(308)</w:t>
            </w:r>
          </w:p>
        </w:tc>
        <w:tc>
          <w:tcPr>
            <w:tcW w:w="80" w:type="dxa"/>
            <w:vAlign w:val="bottom"/>
          </w:tcPr>
          <w:p>
            <w:pPr>
              <w:spacing w:after="0"/>
              <w:rPr>
                <w:sz w:val="10"/>
                <w:szCs w:val="10"/>
                <w:color w:val="auto"/>
              </w:rPr>
            </w:pPr>
          </w:p>
        </w:tc>
        <w:tc>
          <w:tcPr>
            <w:tcW w:w="780" w:type="dxa"/>
            <w:vAlign w:val="bottom"/>
            <w:tcBorders>
              <w:top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(946)</w:t>
            </w:r>
          </w:p>
        </w:tc>
        <w:tc>
          <w:tcPr>
            <w:tcW w:w="80" w:type="dxa"/>
            <w:vAlign w:val="bottom"/>
          </w:tcPr>
          <w:p>
            <w:pPr>
              <w:spacing w:after="0"/>
              <w:rPr>
                <w:sz w:val="10"/>
                <w:szCs w:val="10"/>
                <w:color w:val="auto"/>
              </w:rPr>
            </w:pPr>
          </w:p>
        </w:tc>
        <w:tc>
          <w:tcPr>
            <w:tcW w:w="280" w:type="dxa"/>
            <w:vAlign w:val="bottom"/>
            <w:tcBorders>
              <w:top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(1,138)</w:t>
            </w:r>
          </w:p>
        </w:tc>
        <w:tc>
          <w:tcPr>
            <w:tcW w:w="80" w:type="dxa"/>
            <w:vAlign w:val="bottom"/>
          </w:tcPr>
          <w:p>
            <w:pPr>
              <w:spacing w:after="0"/>
              <w:rPr>
                <w:sz w:val="10"/>
                <w:szCs w:val="10"/>
                <w:color w:val="auto"/>
              </w:rPr>
            </w:pPr>
          </w:p>
        </w:tc>
        <w:tc>
          <w:tcPr>
            <w:tcW w:w="480" w:type="dxa"/>
            <w:vAlign w:val="bottom"/>
            <w:tcBorders>
              <w:top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(5,843)</w:t>
            </w:r>
          </w:p>
        </w:tc>
      </w:tr>
      <w:tr>
        <w:trPr>
          <w:trHeight w:val="138"/>
        </w:trPr>
        <w:tc>
          <w:tcPr>
            <w:tcW w:w="6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Financing activities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Repayment of convertible note</w:t>
            </w:r>
          </w:p>
        </w:tc>
        <w:tc>
          <w:tcPr>
            <w:tcW w:w="7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(29,122)</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Principal repayment of related-party long-term debt</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(20,000)</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Proceeds from draw on credit facility</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(200,000)</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(200,000)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Repayment of draw on credit facility</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200,000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200,000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Taxes paid related to net shares of settlement of equity awards in connection with IPO</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(136,855)</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(136,855)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common stock</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282,222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282,222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6180" w:type="dxa"/>
            <w:vAlign w:val="bottom"/>
          </w:tcPr>
          <w:p>
            <w:pPr>
              <w:ind w:left="140"/>
              <w:spacing w:after="0"/>
              <w:rPr>
                <w:sz w:val="20"/>
                <w:szCs w:val="20"/>
                <w:color w:val="auto"/>
              </w:rPr>
            </w:pPr>
            <w:r>
              <w:rPr>
                <w:rFonts w:ascii="Arial" w:cs="Arial" w:eastAsia="Arial" w:hAnsi="Arial"/>
                <w:sz w:val="10"/>
                <w:szCs w:val="10"/>
                <w:color w:val="auto"/>
              </w:rPr>
              <w:t>Equity issuance costs</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(9,162)</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(9,162)</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exercise of stock options, including early exercises</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5,278</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12,439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4,919</w:t>
            </w:r>
          </w:p>
        </w:tc>
      </w:tr>
      <w:tr>
        <w:trPr>
          <w:trHeight w:val="129"/>
        </w:trPr>
        <w:tc>
          <w:tcPr>
            <w:tcW w:w="6180" w:type="dxa"/>
            <w:vAlign w:val="bottom"/>
          </w:tcPr>
          <w:p>
            <w:pPr>
              <w:ind w:left="140"/>
              <w:spacing w:after="0"/>
              <w:rPr>
                <w:sz w:val="20"/>
                <w:szCs w:val="20"/>
                <w:color w:val="auto"/>
              </w:rPr>
            </w:pPr>
            <w:r>
              <w:rPr>
                <w:rFonts w:ascii="Arial" w:cs="Arial" w:eastAsia="Arial" w:hAnsi="Arial"/>
                <w:sz w:val="10"/>
                <w:szCs w:val="10"/>
                <w:color w:val="auto"/>
              </w:rPr>
              <w:t>Repurchase of common stock</w:t>
            </w:r>
          </w:p>
        </w:tc>
        <w:tc>
          <w:tcPr>
            <w:tcW w:w="7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(194)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(13,555)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(459)</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(37,037)</w:t>
            </w:r>
          </w:p>
        </w:tc>
      </w:tr>
    </w:tbl>
    <w:p>
      <w:pPr>
        <w:sectPr>
          <w:pgSz w:w="11900" w:h="16838" w:orient="portrait"/>
          <w:cols w:equalWidth="0" w:num="1">
            <w:col w:w="11300"/>
          </w:cols>
          <w:pgMar w:left="300" w:top="287" w:right="299" w:bottom="1440" w:gutter="0" w:footer="0" w:header="0"/>
        </w:sectPr>
      </w:pPr>
    </w:p>
    <w:bookmarkStart w:id="14" w:name="page15"/>
    <w:bookmarkEnd w:id="14"/>
    <w:p>
      <w:pPr>
        <w:ind w:left="4640"/>
        <w:spacing w:after="0"/>
        <w:rPr>
          <w:sz w:val="20"/>
          <w:szCs w:val="20"/>
          <w:color w:val="auto"/>
        </w:rPr>
      </w:pPr>
      <w:r>
        <w:rPr>
          <w:rFonts w:ascii="Arial" w:cs="Arial" w:eastAsia="Arial" w:hAnsi="Arial"/>
          <w:sz w:val="13"/>
          <w:szCs w:val="13"/>
          <w:b w:val="1"/>
          <w:bCs w:val="1"/>
          <w:color w:val="auto"/>
        </w:rPr>
        <w:t>WEALTHFRONT CORPORATION</w:t>
      </w:r>
    </w:p>
    <w:p>
      <w:pPr>
        <w:spacing w:after="0" w:line="25" w:lineRule="exact"/>
        <w:rPr>
          <w:sz w:val="20"/>
          <w:szCs w:val="20"/>
          <w:color w:val="auto"/>
        </w:rPr>
      </w:pPr>
    </w:p>
    <w:p>
      <w:pPr>
        <w:ind w:left="3680"/>
        <w:spacing w:after="0"/>
        <w:rPr>
          <w:sz w:val="20"/>
          <w:szCs w:val="20"/>
          <w:color w:val="auto"/>
        </w:rPr>
      </w:pPr>
      <w:r>
        <w:rPr>
          <w:rFonts w:ascii="Arial" w:cs="Arial" w:eastAsia="Arial" w:hAnsi="Arial"/>
          <w:sz w:val="13"/>
          <w:szCs w:val="13"/>
          <w:color w:val="auto"/>
        </w:rPr>
        <w:t>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treasury stock</w:t>
            </w:r>
          </w:p>
        </w:tc>
        <w:tc>
          <w:tcPr>
            <w:tcW w:w="4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22,694</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22,694</w:t>
            </w:r>
          </w:p>
        </w:tc>
      </w:tr>
      <w:tr>
        <w:trPr>
          <w:trHeight w:val="121"/>
        </w:trPr>
        <w:tc>
          <w:tcPr>
            <w:tcW w:w="6180" w:type="dxa"/>
            <w:vAlign w:val="bottom"/>
          </w:tcPr>
          <w:p>
            <w:pPr>
              <w:ind w:left="140"/>
              <w:spacing w:after="0"/>
              <w:rPr>
                <w:sz w:val="20"/>
                <w:szCs w:val="20"/>
                <w:color w:val="auto"/>
              </w:rPr>
            </w:pPr>
            <w:r>
              <w:rPr>
                <w:rFonts w:ascii="Arial" w:cs="Arial" w:eastAsia="Arial" w:hAnsi="Arial"/>
                <w:sz w:val="10"/>
                <w:szCs w:val="10"/>
                <w:color w:val="auto"/>
              </w:rPr>
              <w:t>Net cash provided by (used in) financing activities</w:t>
            </w:r>
          </w:p>
        </w:tc>
        <w:tc>
          <w:tcPr>
            <w:tcW w:w="460" w:type="dxa"/>
            <w:vAlign w:val="bottom"/>
            <w:tcBorders>
              <w:top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141,290</w:t>
            </w:r>
          </w:p>
        </w:tc>
        <w:tc>
          <w:tcPr>
            <w:tcW w:w="80" w:type="dxa"/>
            <w:vAlign w:val="bottom"/>
          </w:tcPr>
          <w:p>
            <w:pPr>
              <w:spacing w:after="0"/>
              <w:rPr>
                <w:sz w:val="10"/>
                <w:szCs w:val="10"/>
                <w:color w:val="auto"/>
              </w:rPr>
            </w:pPr>
          </w:p>
        </w:tc>
        <w:tc>
          <w:tcPr>
            <w:tcW w:w="440" w:type="dxa"/>
            <w:vAlign w:val="bottom"/>
            <w:tcBorders>
              <w:top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(8,235)</w:t>
            </w:r>
          </w:p>
        </w:tc>
        <w:tc>
          <w:tcPr>
            <w:tcW w:w="80" w:type="dxa"/>
            <w:vAlign w:val="bottom"/>
          </w:tcPr>
          <w:p>
            <w:pPr>
              <w:spacing w:after="0"/>
              <w:rPr>
                <w:sz w:val="10"/>
                <w:szCs w:val="10"/>
                <w:color w:val="auto"/>
              </w:rPr>
            </w:pPr>
          </w:p>
        </w:tc>
        <w:tc>
          <w:tcPr>
            <w:tcW w:w="440" w:type="dxa"/>
            <w:vAlign w:val="bottom"/>
            <w:tcBorders>
              <w:top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148,186</w:t>
            </w:r>
          </w:p>
        </w:tc>
        <w:tc>
          <w:tcPr>
            <w:tcW w:w="80" w:type="dxa"/>
            <w:vAlign w:val="bottom"/>
          </w:tcPr>
          <w:p>
            <w:pPr>
              <w:spacing w:after="0"/>
              <w:rPr>
                <w:sz w:val="10"/>
                <w:szCs w:val="10"/>
                <w:color w:val="auto"/>
              </w:rPr>
            </w:pPr>
          </w:p>
        </w:tc>
        <w:tc>
          <w:tcPr>
            <w:tcW w:w="440" w:type="dxa"/>
            <w:vAlign w:val="bottom"/>
            <w:tcBorders>
              <w:top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(58,546)</w:t>
            </w:r>
          </w:p>
        </w:tc>
      </w:tr>
      <w:tr>
        <w:trPr>
          <w:trHeight w:val="138"/>
        </w:trPr>
        <w:tc>
          <w:tcPr>
            <w:tcW w:w="6180" w:type="dxa"/>
            <w:vAlign w:val="bottom"/>
            <w:shd w:val="clear" w:color="auto" w:fill="CCEEFF"/>
          </w:tcPr>
          <w:p>
            <w:pPr>
              <w:spacing w:after="0"/>
              <w:rPr>
                <w:sz w:val="20"/>
                <w:szCs w:val="20"/>
                <w:color w:val="auto"/>
              </w:rPr>
            </w:pPr>
            <w:r>
              <w:rPr>
                <w:rFonts w:ascii="Arial" w:cs="Arial" w:eastAsia="Arial" w:hAnsi="Arial"/>
                <w:sz w:val="10"/>
                <w:szCs w:val="10"/>
                <w:color w:val="auto"/>
              </w:rPr>
              <w:t>Net increase in cash and cash equivalents, cash segregated and on deposit for regulatory purposes, and restricted cash</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174,288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10,734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299,237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58,761</w:t>
            </w:r>
          </w:p>
        </w:tc>
      </w:tr>
      <w:tr>
        <w:trPr>
          <w:trHeight w:val="132"/>
        </w:trPr>
        <w:tc>
          <w:tcPr>
            <w:tcW w:w="6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and cash equivalents, cash segregated and on deposit for regulatory purposes, and restricted cash at the beginning of the period</w:t>
            </w:r>
          </w:p>
        </w:tc>
        <w:tc>
          <w:tcPr>
            <w:tcW w:w="4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279,502</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143,819</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154,553</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95,792</w:t>
            </w:r>
          </w:p>
        </w:tc>
      </w:tr>
      <w:tr>
        <w:trPr>
          <w:trHeight w:val="126"/>
        </w:trPr>
        <w:tc>
          <w:tcPr>
            <w:tcW w:w="6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and cash equivalents, cash segregated and on deposit for regulatory purposes, and restricted cash at the end of the period</w:t>
            </w: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453,790</w:t>
            </w:r>
          </w:p>
        </w:tc>
        <w:tc>
          <w:tcPr>
            <w:tcW w:w="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154,553</w:t>
            </w:r>
          </w:p>
        </w:tc>
        <w:tc>
          <w:tcPr>
            <w:tcW w:w="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453,790</w:t>
            </w:r>
          </w:p>
        </w:tc>
        <w:tc>
          <w:tcPr>
            <w:tcW w:w="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154,553</w:t>
            </w:r>
          </w:p>
        </w:tc>
      </w:tr>
    </w:tbl>
    <w:p>
      <w:pPr>
        <w:sectPr>
          <w:pgSz w:w="11900" w:h="16838" w:orient="portrait"/>
          <w:cols w:equalWidth="0" w:num="1">
            <w:col w:w="11300"/>
          </w:cols>
          <w:pgMar w:left="300" w:top="287"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3"/>
          <w:szCs w:val="13"/>
          <w:b w:val="1"/>
          <w:bCs w:val="1"/>
          <w:color w:val="auto"/>
        </w:rPr>
        <w:t>WEALTHFRONT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KEY BUSINESS METRICS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6"/>
          </w:tcPr>
          <w:p>
            <w:pPr>
              <w:jc w:val="center"/>
              <w:ind w:left="592"/>
              <w:spacing w:after="0"/>
              <w:rPr>
                <w:sz w:val="20"/>
                <w:szCs w:val="20"/>
                <w:color w:val="auto"/>
              </w:rPr>
            </w:pPr>
            <w:r>
              <w:rPr>
                <w:rFonts w:ascii="Arial" w:cs="Arial" w:eastAsia="Arial" w:hAnsi="Arial"/>
                <w:sz w:val="10"/>
                <w:szCs w:val="10"/>
                <w:b w:val="1"/>
                <w:bCs w:val="1"/>
                <w:color w:val="auto"/>
                <w:w w:val="97"/>
              </w:rPr>
              <w:t>As of or for the</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5"/>
          </w:tcPr>
          <w:p>
            <w:pPr>
              <w:jc w:val="center"/>
              <w:ind w:left="512"/>
              <w:spacing w:after="0"/>
              <w:rPr>
                <w:sz w:val="20"/>
                <w:szCs w:val="20"/>
                <w:color w:val="auto"/>
              </w:rPr>
            </w:pPr>
            <w:r>
              <w:rPr>
                <w:rFonts w:ascii="Arial" w:cs="Arial" w:eastAsia="Arial" w:hAnsi="Arial"/>
                <w:sz w:val="10"/>
                <w:szCs w:val="10"/>
                <w:b w:val="1"/>
                <w:bCs w:val="1"/>
                <w:color w:val="auto"/>
                <w:w w:val="94"/>
              </w:rPr>
              <w:t>As of or for the</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500" w:type="dxa"/>
            <w:vAlign w:val="bottom"/>
            <w:vMerge w:val="restart"/>
          </w:tcPr>
          <w:p>
            <w:pPr>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gridSpan w:val="6"/>
          </w:tcPr>
          <w:p>
            <w:pPr>
              <w:jc w:val="center"/>
              <w:ind w:left="592"/>
              <w:spacing w:after="0" w:line="97" w:lineRule="exact"/>
              <w:rPr>
                <w:sz w:val="20"/>
                <w:szCs w:val="20"/>
                <w:color w:val="auto"/>
              </w:rPr>
            </w:pPr>
            <w:r>
              <w:rPr>
                <w:rFonts w:ascii="Arial" w:cs="Arial" w:eastAsia="Arial" w:hAnsi="Arial"/>
                <w:sz w:val="10"/>
                <w:szCs w:val="10"/>
                <w:b w:val="1"/>
                <w:bCs w:val="1"/>
                <w:color w:val="auto"/>
                <w:w w:val="94"/>
              </w:rPr>
              <w:t>Three Months Ended</w:t>
            </w: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tcPr>
          <w:p>
            <w:pPr>
              <w:jc w:val="center"/>
              <w:ind w:left="512"/>
              <w:spacing w:after="0" w:line="97" w:lineRule="exact"/>
              <w:rPr>
                <w:sz w:val="20"/>
                <w:szCs w:val="20"/>
                <w:color w:val="auto"/>
              </w:rPr>
            </w:pPr>
            <w:r>
              <w:rPr>
                <w:rFonts w:ascii="Arial" w:cs="Arial" w:eastAsia="Arial" w:hAnsi="Arial"/>
                <w:sz w:val="10"/>
                <w:szCs w:val="10"/>
                <w:b w:val="1"/>
                <w:bCs w:val="1"/>
                <w:color w:val="auto"/>
                <w:w w:val="95"/>
              </w:rPr>
              <w:t>Twelve Months Ended</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5"/>
          </w:tcPr>
          <w:p>
            <w:pPr>
              <w:jc w:val="center"/>
              <w:ind w:right="132"/>
              <w:spacing w:after="0"/>
              <w:rPr>
                <w:sz w:val="20"/>
                <w:szCs w:val="20"/>
                <w:color w:val="auto"/>
              </w:rPr>
            </w:pPr>
            <w:r>
              <w:rPr>
                <w:rFonts w:ascii="Arial" w:cs="Arial" w:eastAsia="Arial" w:hAnsi="Arial"/>
                <w:sz w:val="10"/>
                <w:szCs w:val="10"/>
                <w:b w:val="1"/>
                <w:bCs w:val="1"/>
                <w:color w:val="auto"/>
                <w:w w:val="94"/>
              </w:rPr>
              <w:t>January 31,</w:t>
            </w: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5"/>
          </w:tcPr>
          <w:p>
            <w:pPr>
              <w:jc w:val="center"/>
              <w:ind w:left="532"/>
              <w:spacing w:after="0"/>
              <w:rPr>
                <w:sz w:val="20"/>
                <w:szCs w:val="20"/>
                <w:color w:val="auto"/>
              </w:rPr>
            </w:pPr>
            <w:r>
              <w:rPr>
                <w:rFonts w:ascii="Arial" w:cs="Arial" w:eastAsia="Arial" w:hAnsi="Arial"/>
                <w:sz w:val="10"/>
                <w:szCs w:val="10"/>
                <w:b w:val="1"/>
                <w:bCs w:val="1"/>
                <w:color w:val="auto"/>
                <w:w w:val="98"/>
              </w:rPr>
              <w:t>January 31,</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50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(in $ millions unless otherwise noted)</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2026</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5"/>
        </w:trPr>
        <w:tc>
          <w:tcPr>
            <w:tcW w:w="5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Platform assets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b w:val="1"/>
                <w:bCs w:val="1"/>
                <w:color w:val="auto"/>
              </w:rPr>
              <w:t>$</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94,106</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80,175</w:t>
            </w: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94,106</w:t>
            </w:r>
          </w:p>
        </w:tc>
        <w:tc>
          <w:tcPr>
            <w:tcW w:w="56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80,175</w:t>
            </w:r>
          </w:p>
        </w:tc>
        <w:tc>
          <w:tcPr>
            <w:tcW w:w="0" w:type="dxa"/>
            <w:vAlign w:val="bottom"/>
          </w:tcPr>
          <w:p>
            <w:pPr>
              <w:spacing w:after="0"/>
              <w:rPr>
                <w:sz w:val="1"/>
                <w:szCs w:val="1"/>
                <w:color w:val="auto"/>
              </w:rPr>
            </w:pPr>
          </w:p>
        </w:tc>
      </w:tr>
      <w:tr>
        <w:trPr>
          <w:trHeight w:val="132"/>
        </w:trPr>
        <w:tc>
          <w:tcPr>
            <w:tcW w:w="5500" w:type="dxa"/>
            <w:vAlign w:val="bottom"/>
          </w:tcPr>
          <w:p>
            <w:pPr>
              <w:spacing w:after="0"/>
              <w:rPr>
                <w:sz w:val="20"/>
                <w:szCs w:val="20"/>
                <w:color w:val="auto"/>
              </w:rPr>
            </w:pPr>
            <w:r>
              <w:rPr>
                <w:rFonts w:ascii="Arial" w:cs="Arial" w:eastAsia="Arial" w:hAnsi="Arial"/>
                <w:sz w:val="10"/>
                <w:szCs w:val="10"/>
                <w:color w:val="auto"/>
              </w:rPr>
              <w:t>Cash management</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jc w:val="right"/>
              <w:spacing w:after="0"/>
              <w:rPr>
                <w:sz w:val="20"/>
                <w:szCs w:val="20"/>
                <w:color w:val="auto"/>
              </w:rPr>
            </w:pPr>
            <w:r>
              <w:rPr>
                <w:rFonts w:ascii="Arial" w:cs="Arial" w:eastAsia="Arial" w:hAnsi="Arial"/>
                <w:sz w:val="10"/>
                <w:szCs w:val="10"/>
                <w:color w:val="auto"/>
              </w:rPr>
              <w:t>45,361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tcPr>
          <w:p>
            <w:pPr>
              <w:jc w:val="right"/>
              <w:spacing w:after="0"/>
              <w:rPr>
                <w:sz w:val="20"/>
                <w:szCs w:val="20"/>
                <w:color w:val="auto"/>
              </w:rPr>
            </w:pPr>
            <w:r>
              <w:rPr>
                <w:rFonts w:ascii="Arial" w:cs="Arial" w:eastAsia="Arial" w:hAnsi="Arial"/>
                <w:sz w:val="10"/>
                <w:szCs w:val="10"/>
                <w:color w:val="auto"/>
              </w:rPr>
              <w:t>42,411</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0"/>
                <w:szCs w:val="10"/>
                <w:color w:val="auto"/>
              </w:rPr>
              <w:t>45,361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42,411</w:t>
            </w:r>
          </w:p>
        </w:tc>
        <w:tc>
          <w:tcPr>
            <w:tcW w:w="0" w:type="dxa"/>
            <w:vAlign w:val="bottom"/>
          </w:tcPr>
          <w:p>
            <w:pPr>
              <w:spacing w:after="0"/>
              <w:rPr>
                <w:sz w:val="1"/>
                <w:szCs w:val="1"/>
                <w:color w:val="auto"/>
              </w:rPr>
            </w:pPr>
          </w:p>
        </w:tc>
      </w:tr>
      <w:tr>
        <w:trPr>
          <w:trHeight w:val="138"/>
        </w:trPr>
        <w:tc>
          <w:tcPr>
            <w:tcW w:w="5500" w:type="dxa"/>
            <w:vAlign w:val="bottom"/>
            <w:shd w:val="clear" w:color="auto" w:fill="CCEEFF"/>
          </w:tcPr>
          <w:p>
            <w:pPr>
              <w:spacing w:after="0"/>
              <w:rPr>
                <w:sz w:val="20"/>
                <w:szCs w:val="20"/>
                <w:color w:val="auto"/>
              </w:rPr>
            </w:pPr>
            <w:r>
              <w:rPr>
                <w:rFonts w:ascii="Arial" w:cs="Arial" w:eastAsia="Arial" w:hAnsi="Arial"/>
                <w:sz w:val="10"/>
                <w:szCs w:val="10"/>
                <w:color w:val="auto"/>
              </w:rPr>
              <w:t>Investment advisory</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rPr>
              <w:t>48,745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37,764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48,745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37,764</w:t>
            </w:r>
          </w:p>
        </w:tc>
        <w:tc>
          <w:tcPr>
            <w:tcW w:w="0" w:type="dxa"/>
            <w:vAlign w:val="bottom"/>
          </w:tcPr>
          <w:p>
            <w:pPr>
              <w:spacing w:after="0"/>
              <w:rPr>
                <w:sz w:val="1"/>
                <w:szCs w:val="1"/>
                <w:color w:val="auto"/>
              </w:rPr>
            </w:pPr>
          </w:p>
        </w:tc>
      </w:tr>
      <w:tr>
        <w:trPr>
          <w:trHeight w:val="180"/>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deposits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(360)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2,667</w:t>
            </w: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6,659</w:t>
            </w:r>
          </w:p>
        </w:tc>
        <w:tc>
          <w:tcPr>
            <w:tcW w:w="560" w:type="dxa"/>
            <w:vAlign w:val="bottom"/>
            <w:gridSpan w:val="3"/>
            <w:shd w:val="clear" w:color="auto" w:fill="CCEEFF"/>
          </w:tcPr>
          <w:p>
            <w:pPr>
              <w:jc w:val="right"/>
              <w:ind w:right="420"/>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17,714</w:t>
            </w:r>
          </w:p>
        </w:tc>
        <w:tc>
          <w:tcPr>
            <w:tcW w:w="0" w:type="dxa"/>
            <w:vAlign w:val="bottom"/>
          </w:tcPr>
          <w:p>
            <w:pPr>
              <w:spacing w:after="0"/>
              <w:rPr>
                <w:sz w:val="1"/>
                <w:szCs w:val="1"/>
                <w:color w:val="auto"/>
              </w:rPr>
            </w:pPr>
          </w:p>
        </w:tc>
      </w:tr>
      <w:tr>
        <w:trPr>
          <w:trHeight w:val="180"/>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Funded clients (# in thousands)</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w w:val="95"/>
              </w:rPr>
              <w:t>1,417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1,212</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1,417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1,212</w:t>
            </w:r>
          </w:p>
        </w:tc>
        <w:tc>
          <w:tcPr>
            <w:tcW w:w="0" w:type="dxa"/>
            <w:vAlign w:val="bottom"/>
          </w:tcPr>
          <w:p>
            <w:pPr>
              <w:spacing w:after="0"/>
              <w:rPr>
                <w:sz w:val="1"/>
                <w:szCs w:val="1"/>
                <w:color w:val="auto"/>
              </w:rPr>
            </w:pPr>
          </w:p>
        </w:tc>
      </w:tr>
      <w:tr>
        <w:trPr>
          <w:trHeight w:val="133"/>
        </w:trPr>
        <w:tc>
          <w:tcPr>
            <w:tcW w:w="5500" w:type="dxa"/>
            <w:vAlign w:val="bottom"/>
          </w:tcPr>
          <w:p>
            <w:pPr>
              <w:spacing w:after="0"/>
              <w:rPr>
                <w:sz w:val="20"/>
                <w:szCs w:val="20"/>
                <w:color w:val="auto"/>
              </w:rPr>
            </w:pPr>
            <w:r>
              <w:rPr>
                <w:rFonts w:ascii="Arial" w:cs="Arial" w:eastAsia="Arial" w:hAnsi="Arial"/>
                <w:sz w:val="10"/>
                <w:szCs w:val="10"/>
                <w:b w:val="1"/>
                <w:bCs w:val="1"/>
                <w:color w:val="auto"/>
              </w:rPr>
              <w:t>Funded accounts (# in thousands)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gridSpan w:val="3"/>
          </w:tcPr>
          <w:p>
            <w:pPr>
              <w:jc w:val="right"/>
              <w:spacing w:after="0"/>
              <w:rPr>
                <w:sz w:val="20"/>
                <w:szCs w:val="20"/>
                <w:color w:val="auto"/>
              </w:rPr>
            </w:pPr>
            <w:r>
              <w:rPr>
                <w:rFonts w:ascii="Arial" w:cs="Arial" w:eastAsia="Arial" w:hAnsi="Arial"/>
                <w:sz w:val="10"/>
                <w:szCs w:val="10"/>
                <w:b w:val="1"/>
                <w:bCs w:val="1"/>
                <w:color w:val="auto"/>
                <w:w w:val="95"/>
              </w:rPr>
              <w:t>1,843</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tcPr>
          <w:p>
            <w:pPr>
              <w:jc w:val="right"/>
              <w:spacing w:after="0"/>
              <w:rPr>
                <w:sz w:val="20"/>
                <w:szCs w:val="20"/>
                <w:color w:val="auto"/>
              </w:rPr>
            </w:pPr>
            <w:r>
              <w:rPr>
                <w:rFonts w:ascii="Arial" w:cs="Arial" w:eastAsia="Arial" w:hAnsi="Arial"/>
                <w:sz w:val="10"/>
                <w:szCs w:val="10"/>
                <w:b w:val="1"/>
                <w:bCs w:val="1"/>
                <w:color w:val="auto"/>
              </w:rPr>
              <w:t>1,584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1,843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1,584</w:t>
            </w:r>
          </w:p>
        </w:tc>
        <w:tc>
          <w:tcPr>
            <w:tcW w:w="0" w:type="dxa"/>
            <w:vAlign w:val="bottom"/>
          </w:tcPr>
          <w:p>
            <w:pPr>
              <w:spacing w:after="0"/>
              <w:rPr>
                <w:sz w:val="1"/>
                <w:szCs w:val="1"/>
                <w:color w:val="auto"/>
              </w:rPr>
            </w:pPr>
          </w:p>
        </w:tc>
      </w:tr>
      <w:tr>
        <w:trPr>
          <w:trHeight w:val="506"/>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6"/>
          </w:tcPr>
          <w:p>
            <w:pPr>
              <w:jc w:val="center"/>
              <w:ind w:left="312"/>
              <w:spacing w:after="0"/>
              <w:rPr>
                <w:sz w:val="20"/>
                <w:szCs w:val="20"/>
                <w:color w:val="auto"/>
              </w:rPr>
            </w:pPr>
            <w:r>
              <w:rPr>
                <w:rFonts w:ascii="Arial" w:cs="Arial" w:eastAsia="Arial" w:hAnsi="Arial"/>
                <w:sz w:val="10"/>
                <w:szCs w:val="10"/>
                <w:b w:val="1"/>
                <w:bCs w:val="1"/>
                <w:color w:val="auto"/>
                <w:w w:val="97"/>
              </w:rPr>
              <w:t>As of or for the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5"/>
          </w:tcPr>
          <w:p>
            <w:pPr>
              <w:jc w:val="center"/>
              <w:ind w:left="412"/>
              <w:spacing w:after="0"/>
              <w:rPr>
                <w:sz w:val="20"/>
                <w:szCs w:val="20"/>
                <w:color w:val="auto"/>
              </w:rPr>
            </w:pPr>
            <w:r>
              <w:rPr>
                <w:rFonts w:ascii="Arial" w:cs="Arial" w:eastAsia="Arial" w:hAnsi="Arial"/>
                <w:sz w:val="10"/>
                <w:szCs w:val="10"/>
                <w:b w:val="1"/>
                <w:bCs w:val="1"/>
                <w:color w:val="auto"/>
                <w:w w:val="97"/>
              </w:rPr>
              <w:t>As of or for the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5500" w:type="dxa"/>
            <w:vAlign w:val="bottom"/>
            <w:vMerge w:val="restart"/>
          </w:tcPr>
          <w:p>
            <w:pPr>
              <w:spacing w:after="0"/>
              <w:rPr>
                <w:sz w:val="20"/>
                <w:szCs w:val="20"/>
                <w:color w:val="auto"/>
              </w:rPr>
            </w:pPr>
            <w:r>
              <w:rPr>
                <w:rFonts w:ascii="Arial" w:cs="Arial" w:eastAsia="Arial" w:hAnsi="Arial"/>
                <w:sz w:val="10"/>
                <w:szCs w:val="10"/>
                <w:b w:val="1"/>
                <w:bCs w:val="1"/>
                <w:color w:val="auto"/>
              </w:rPr>
              <w:t>CASH MANAGEMENT</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gridSpan w:val="6"/>
          </w:tcPr>
          <w:p>
            <w:pPr>
              <w:jc w:val="center"/>
              <w:ind w:left="312"/>
              <w:spacing w:after="0" w:line="92" w:lineRule="exact"/>
              <w:rPr>
                <w:sz w:val="20"/>
                <w:szCs w:val="20"/>
                <w:color w:val="auto"/>
              </w:rPr>
            </w:pPr>
            <w:r>
              <w:rPr>
                <w:rFonts w:ascii="Arial" w:cs="Arial" w:eastAsia="Arial" w:hAnsi="Arial"/>
                <w:sz w:val="10"/>
                <w:szCs w:val="10"/>
                <w:b w:val="1"/>
                <w:bCs w:val="1"/>
                <w:color w:val="auto"/>
                <w:w w:val="94"/>
              </w:rPr>
              <w:t>Three Months Ended</w:t>
            </w: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tcPr>
          <w:p>
            <w:pPr>
              <w:jc w:val="center"/>
              <w:ind w:left="392"/>
              <w:spacing w:after="0" w:line="92" w:lineRule="exact"/>
              <w:rPr>
                <w:sz w:val="20"/>
                <w:szCs w:val="20"/>
                <w:color w:val="auto"/>
              </w:rPr>
            </w:pPr>
            <w:r>
              <w:rPr>
                <w:rFonts w:ascii="Arial" w:cs="Arial" w:eastAsia="Arial" w:hAnsi="Arial"/>
                <w:sz w:val="10"/>
                <w:szCs w:val="10"/>
                <w:b w:val="1"/>
                <w:bCs w:val="1"/>
                <w:color w:val="auto"/>
                <w:w w:val="95"/>
              </w:rPr>
              <w:t>Twelve Months Ended</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5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6"/>
          </w:tcPr>
          <w:p>
            <w:pPr>
              <w:jc w:val="center"/>
              <w:ind w:left="332"/>
              <w:spacing w:after="0"/>
              <w:rPr>
                <w:sz w:val="20"/>
                <w:szCs w:val="20"/>
                <w:color w:val="auto"/>
              </w:rPr>
            </w:pPr>
            <w:r>
              <w:rPr>
                <w:rFonts w:ascii="Arial" w:cs="Arial" w:eastAsia="Arial" w:hAnsi="Arial"/>
                <w:sz w:val="10"/>
                <w:szCs w:val="10"/>
                <w:b w:val="1"/>
                <w:bCs w:val="1"/>
                <w:color w:val="auto"/>
                <w:w w:val="94"/>
              </w:rPr>
              <w:t>January 31,</w:t>
            </w: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center"/>
              <w:ind w:left="432"/>
              <w:spacing w:after="0"/>
              <w:rPr>
                <w:sz w:val="20"/>
                <w:szCs w:val="20"/>
                <w:color w:val="auto"/>
              </w:rPr>
            </w:pPr>
            <w:r>
              <w:rPr>
                <w:rFonts w:ascii="Arial" w:cs="Arial" w:eastAsia="Arial" w:hAnsi="Arial"/>
                <w:sz w:val="10"/>
                <w:szCs w:val="10"/>
                <w:b w:val="1"/>
                <w:bCs w:val="1"/>
                <w:color w:val="auto"/>
                <w:w w:val="94"/>
              </w:rPr>
              <w:t>January 31,</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50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(in $ millions unless otherwise noted)</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2026</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w w:val="89"/>
              </w:rPr>
              <w:t>2025</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5"/>
        </w:trPr>
        <w:tc>
          <w:tcPr>
            <w:tcW w:w="5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management assets (off-balance sheet), beginning of the period</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47,011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41,400</w:t>
            </w: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42,411</w:t>
            </w:r>
          </w:p>
        </w:tc>
        <w:tc>
          <w:tcPr>
            <w:tcW w:w="6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480"/>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29,361</w:t>
            </w:r>
          </w:p>
        </w:tc>
        <w:tc>
          <w:tcPr>
            <w:tcW w:w="0" w:type="dxa"/>
            <w:vAlign w:val="bottom"/>
          </w:tcPr>
          <w:p>
            <w:pPr>
              <w:spacing w:after="0"/>
              <w:rPr>
                <w:sz w:val="1"/>
                <w:szCs w:val="1"/>
                <w:color w:val="auto"/>
              </w:rPr>
            </w:pPr>
          </w:p>
        </w:tc>
      </w:tr>
      <w:tr>
        <w:trPr>
          <w:trHeight w:val="134"/>
        </w:trPr>
        <w:tc>
          <w:tcPr>
            <w:tcW w:w="5500" w:type="dxa"/>
            <w:vAlign w:val="bottom"/>
          </w:tcPr>
          <w:p>
            <w:pPr>
              <w:spacing w:after="0"/>
              <w:rPr>
                <w:sz w:val="20"/>
                <w:szCs w:val="20"/>
                <w:color w:val="auto"/>
              </w:rPr>
            </w:pPr>
            <w:r>
              <w:rPr>
                <w:rFonts w:ascii="Arial" w:cs="Arial" w:eastAsia="Arial" w:hAnsi="Arial"/>
                <w:sz w:val="10"/>
                <w:szCs w:val="10"/>
                <w:b w:val="1"/>
                <w:bCs w:val="1"/>
                <w:color w:val="auto"/>
              </w:rPr>
              <w:t>Cash management assets (off-balance sheet), end of the period</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45,360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b w:val="1"/>
                <w:bCs w:val="1"/>
                <w:color w:val="auto"/>
              </w:rPr>
              <w:t>42,411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b w:val="1"/>
                <w:bCs w:val="1"/>
                <w:color w:val="auto"/>
              </w:rPr>
              <w:t>45,360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42,411</w:t>
            </w:r>
          </w:p>
        </w:tc>
        <w:tc>
          <w:tcPr>
            <w:tcW w:w="0" w:type="dxa"/>
            <w:vAlign w:val="bottom"/>
          </w:tcPr>
          <w:p>
            <w:pPr>
              <w:spacing w:after="0"/>
              <w:rPr>
                <w:sz w:val="1"/>
                <w:szCs w:val="1"/>
                <w:color w:val="auto"/>
              </w:rPr>
            </w:pPr>
          </w:p>
        </w:tc>
      </w:tr>
      <w:tr>
        <w:trPr>
          <w:trHeight w:val="136"/>
        </w:trPr>
        <w:tc>
          <w:tcPr>
            <w:tcW w:w="5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Average</w:t>
            </w:r>
            <w:r>
              <w:rPr>
                <w:rFonts w:ascii="Arial" w:cs="Arial" w:eastAsia="Arial" w:hAnsi="Arial"/>
                <w:sz w:val="12"/>
                <w:szCs w:val="12"/>
                <w:color w:val="auto"/>
                <w:vertAlign w:val="superscript"/>
              </w:rPr>
              <w:t>1</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41,906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43,886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35,886</w:t>
            </w:r>
          </w:p>
        </w:tc>
        <w:tc>
          <w:tcPr>
            <w:tcW w:w="0" w:type="dxa"/>
            <w:vAlign w:val="bottom"/>
          </w:tcPr>
          <w:p>
            <w:pPr>
              <w:spacing w:after="0"/>
              <w:rPr>
                <w:sz w:val="1"/>
                <w:szCs w:val="1"/>
                <w:color w:val="auto"/>
              </w:rPr>
            </w:pPr>
          </w:p>
        </w:tc>
      </w:tr>
      <w:tr>
        <w:trPr>
          <w:trHeight w:val="180"/>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management revenue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69.7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62.1</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271.7</w:t>
            </w:r>
          </w:p>
        </w:tc>
        <w:tc>
          <w:tcPr>
            <w:tcW w:w="6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80"/>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230.9</w:t>
            </w:r>
          </w:p>
        </w:tc>
        <w:tc>
          <w:tcPr>
            <w:tcW w:w="0" w:type="dxa"/>
            <w:vAlign w:val="bottom"/>
          </w:tcPr>
          <w:p>
            <w:pPr>
              <w:spacing w:after="0"/>
              <w:rPr>
                <w:sz w:val="1"/>
                <w:szCs w:val="1"/>
                <w:color w:val="auto"/>
              </w:rPr>
            </w:pPr>
          </w:p>
        </w:tc>
      </w:tr>
      <w:tr>
        <w:trPr>
          <w:trHeight w:val="180"/>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line="135" w:lineRule="exact"/>
              <w:rPr>
                <w:sz w:val="20"/>
                <w:szCs w:val="20"/>
                <w:color w:val="auto"/>
              </w:rPr>
            </w:pPr>
            <w:r>
              <w:rPr>
                <w:rFonts w:ascii="Arial" w:cs="Arial" w:eastAsia="Arial" w:hAnsi="Arial"/>
                <w:sz w:val="10"/>
                <w:szCs w:val="10"/>
                <w:b w:val="1"/>
                <w:bCs w:val="1"/>
                <w:color w:val="auto"/>
              </w:rPr>
              <w:t xml:space="preserve">Annualized cash management fee rate (in %) </w:t>
            </w:r>
            <w:r>
              <w:rPr>
                <w:rFonts w:ascii="Arial" w:cs="Arial" w:eastAsia="Arial" w:hAnsi="Arial"/>
                <w:sz w:val="12"/>
                <w:szCs w:val="12"/>
                <w:b w:val="1"/>
                <w:bCs w:val="1"/>
                <w:color w:val="auto"/>
                <w:vertAlign w:val="superscript"/>
              </w:rPr>
              <w:t>2</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0.60 %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0.59 %</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0.62 %</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287" w:right="29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INVESTMENT ADVISORY</w:t>
      </w:r>
    </w:p>
    <w:p>
      <w:pPr>
        <w:spacing w:after="0" w:line="3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(in $ millions unless otherwise noted)</w:t>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Investment advisory assets (off-balance sheet),</w:t>
      </w:r>
    </w:p>
    <w:p>
      <w:pPr>
        <w:spacing w:after="0"/>
        <w:rPr>
          <w:sz w:val="20"/>
          <w:szCs w:val="20"/>
          <w:color w:val="auto"/>
        </w:rPr>
      </w:pPr>
      <w:r>
        <w:rPr>
          <w:rFonts w:ascii="Arial" w:cs="Arial" w:eastAsia="Arial" w:hAnsi="Arial"/>
          <w:sz w:val="10"/>
          <w:szCs w:val="10"/>
          <w:b w:val="1"/>
          <w:bCs w:val="1"/>
          <w:color w:val="auto"/>
        </w:rPr>
        <w:t>beginning of the period</w:t>
      </w:r>
    </w:p>
    <w:p>
      <w:pPr>
        <w:spacing w:after="0" w:line="6" w:lineRule="exact"/>
        <w:rPr>
          <w:sz w:val="20"/>
          <w:szCs w:val="20"/>
          <w:color w:val="auto"/>
        </w:rPr>
      </w:pPr>
    </w:p>
    <w:p>
      <w:pPr>
        <w:ind w:right="1760"/>
        <w:spacing w:after="0" w:line="296" w:lineRule="auto"/>
        <w:rPr>
          <w:sz w:val="20"/>
          <w:szCs w:val="20"/>
          <w:color w:val="auto"/>
        </w:rPr>
      </w:pPr>
      <w:r>
        <w:rPr>
          <w:rFonts w:ascii="Arial" w:cs="Arial" w:eastAsia="Arial" w:hAnsi="Arial"/>
          <w:sz w:val="10"/>
          <w:szCs w:val="10"/>
          <w:b w:val="1"/>
          <w:bCs w:val="1"/>
          <w:color w:val="auto"/>
        </w:rPr>
        <w:t xml:space="preserve">Investment advisory assets (off-balance sheet), end of the period </w:t>
      </w:r>
      <w:r>
        <w:rPr>
          <w:rFonts w:ascii="Arial" w:cs="Arial" w:eastAsia="Arial" w:hAnsi="Arial"/>
          <w:sz w:val="10"/>
          <w:szCs w:val="10"/>
          <w:color w:val="auto"/>
        </w:rPr>
        <w:t>Average</w:t>
      </w:r>
      <w:r>
        <w:rPr>
          <w:rFonts w:ascii="Arial" w:cs="Arial" w:eastAsia="Arial" w:hAnsi="Arial"/>
          <w:sz w:val="6"/>
          <w:szCs w:val="6"/>
          <w:color w:val="auto"/>
        </w:rPr>
        <w:t>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1500" w:type="dxa"/>
            <w:vAlign w:val="bottom"/>
            <w:gridSpan w:val="3"/>
          </w:tcPr>
          <w:p>
            <w:pPr>
              <w:jc w:val="center"/>
              <w:ind w:right="352"/>
              <w:spacing w:after="0"/>
              <w:rPr>
                <w:sz w:val="20"/>
                <w:szCs w:val="20"/>
                <w:color w:val="auto"/>
              </w:rPr>
            </w:pPr>
            <w:r>
              <w:rPr>
                <w:rFonts w:ascii="Arial" w:cs="Arial" w:eastAsia="Arial" w:hAnsi="Arial"/>
                <w:sz w:val="10"/>
                <w:szCs w:val="10"/>
                <w:b w:val="1"/>
                <w:bCs w:val="1"/>
                <w:color w:val="auto"/>
                <w:w w:val="97"/>
              </w:rPr>
              <w:t>As of or for the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As of or for the</w:t>
            </w:r>
          </w:p>
        </w:tc>
        <w:tc>
          <w:tcPr>
            <w:tcW w:w="900" w:type="dxa"/>
            <w:vAlign w:val="bottom"/>
          </w:tcPr>
          <w:p>
            <w:pPr>
              <w:spacing w:after="0"/>
              <w:rPr>
                <w:sz w:val="10"/>
                <w:szCs w:val="10"/>
                <w:color w:val="auto"/>
              </w:rPr>
            </w:pPr>
          </w:p>
        </w:tc>
      </w:tr>
      <w:tr>
        <w:trPr>
          <w:trHeight w:val="99"/>
        </w:trPr>
        <w:tc>
          <w:tcPr>
            <w:tcW w:w="880" w:type="dxa"/>
            <w:vAlign w:val="bottom"/>
          </w:tcPr>
          <w:p>
            <w:pPr>
              <w:spacing w:after="0"/>
              <w:rPr>
                <w:sz w:val="8"/>
                <w:szCs w:val="8"/>
                <w:color w:val="auto"/>
              </w:rPr>
            </w:pPr>
          </w:p>
        </w:tc>
        <w:tc>
          <w:tcPr>
            <w:tcW w:w="1500" w:type="dxa"/>
            <w:vAlign w:val="bottom"/>
            <w:gridSpan w:val="3"/>
          </w:tcPr>
          <w:p>
            <w:pPr>
              <w:jc w:val="center"/>
              <w:ind w:right="352"/>
              <w:spacing w:after="0" w:line="99" w:lineRule="exact"/>
              <w:rPr>
                <w:sz w:val="20"/>
                <w:szCs w:val="20"/>
                <w:color w:val="auto"/>
              </w:rPr>
            </w:pPr>
            <w:r>
              <w:rPr>
                <w:rFonts w:ascii="Arial" w:cs="Arial" w:eastAsia="Arial" w:hAnsi="Arial"/>
                <w:sz w:val="10"/>
                <w:szCs w:val="10"/>
                <w:b w:val="1"/>
                <w:bCs w:val="1"/>
                <w:color w:val="auto"/>
                <w:w w:val="94"/>
              </w:rPr>
              <w:t>Three Months Ended</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95"/>
              </w:rPr>
              <w:t>Twelve Months Ended</w:t>
            </w:r>
          </w:p>
        </w:tc>
        <w:tc>
          <w:tcPr>
            <w:tcW w:w="900" w:type="dxa"/>
            <w:vAlign w:val="bottom"/>
          </w:tcPr>
          <w:p>
            <w:pPr>
              <w:spacing w:after="0"/>
              <w:rPr>
                <w:sz w:val="8"/>
                <w:szCs w:val="8"/>
                <w:color w:val="auto"/>
              </w:rPr>
            </w:pPr>
          </w:p>
        </w:tc>
      </w:tr>
      <w:tr>
        <w:trPr>
          <w:trHeight w:val="124"/>
        </w:trPr>
        <w:tc>
          <w:tcPr>
            <w:tcW w:w="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right="332"/>
              <w:spacing w:after="0"/>
              <w:rPr>
                <w:sz w:val="20"/>
                <w:szCs w:val="20"/>
                <w:color w:val="auto"/>
              </w:rPr>
            </w:pPr>
            <w:r>
              <w:rPr>
                <w:rFonts w:ascii="Arial" w:cs="Arial" w:eastAsia="Arial" w:hAnsi="Arial"/>
                <w:sz w:val="10"/>
                <w:szCs w:val="10"/>
                <w:b w:val="1"/>
                <w:bCs w:val="1"/>
                <w:color w:val="auto"/>
                <w:w w:val="94"/>
              </w:rPr>
              <w:t>January 31,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January 31,</w:t>
            </w:r>
          </w:p>
        </w:tc>
        <w:tc>
          <w:tcPr>
            <w:tcW w:w="900" w:type="dxa"/>
            <w:vAlign w:val="bottom"/>
            <w:tcBorders>
              <w:bottom w:val="single" w:sz="8" w:color="auto"/>
            </w:tcBorders>
          </w:tcPr>
          <w:p>
            <w:pPr>
              <w:spacing w:after="0"/>
              <w:rPr>
                <w:sz w:val="10"/>
                <w:szCs w:val="10"/>
                <w:color w:val="auto"/>
              </w:rPr>
            </w:pPr>
          </w:p>
        </w:tc>
      </w:tr>
      <w:tr>
        <w:trPr>
          <w:trHeight w:val="123"/>
        </w:trPr>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2026</w:t>
            </w: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2026</w:t>
            </w: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r>
      <w:tr>
        <w:trPr>
          <w:trHeight w:val="159"/>
        </w:trPr>
        <w:tc>
          <w:tcPr>
            <w:tcW w:w="880" w:type="dxa"/>
            <w:vAlign w:val="bottom"/>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ind w:right="72"/>
              <w:spacing w:after="0"/>
              <w:rPr>
                <w:sz w:val="20"/>
                <w:szCs w:val="20"/>
                <w:color w:val="auto"/>
              </w:rPr>
            </w:pPr>
            <w:r>
              <w:rPr>
                <w:rFonts w:ascii="Arial" w:cs="Arial" w:eastAsia="Arial" w:hAnsi="Arial"/>
                <w:sz w:val="10"/>
                <w:szCs w:val="10"/>
                <w:b w:val="1"/>
                <w:bCs w:val="1"/>
                <w:color w:val="auto"/>
              </w:rPr>
              <w:t>45,811</w:t>
            </w:r>
          </w:p>
        </w:tc>
        <w:tc>
          <w:tcPr>
            <w:tcW w:w="80" w:type="dxa"/>
            <w:vAlign w:val="bottom"/>
          </w:tcPr>
          <w:p>
            <w:pPr>
              <w:spacing w:after="0"/>
              <w:rPr>
                <w:sz w:val="13"/>
                <w:szCs w:val="13"/>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ind w:right="72"/>
              <w:spacing w:after="0"/>
              <w:rPr>
                <w:sz w:val="20"/>
                <w:szCs w:val="20"/>
                <w:color w:val="auto"/>
              </w:rPr>
            </w:pPr>
            <w:r>
              <w:rPr>
                <w:rFonts w:ascii="Arial" w:cs="Arial" w:eastAsia="Arial" w:hAnsi="Arial"/>
                <w:sz w:val="10"/>
                <w:szCs w:val="10"/>
                <w:b w:val="1"/>
                <w:bCs w:val="1"/>
                <w:color w:val="auto"/>
              </w:rPr>
              <w:t>35,096</w:t>
            </w:r>
          </w:p>
        </w:tc>
        <w:tc>
          <w:tcPr>
            <w:tcW w:w="80" w:type="dxa"/>
            <w:vAlign w:val="bottom"/>
          </w:tcPr>
          <w:p>
            <w:pPr>
              <w:spacing w:after="0"/>
              <w:rPr>
                <w:sz w:val="13"/>
                <w:szCs w:val="13"/>
                <w:color w:val="auto"/>
              </w:rPr>
            </w:pPr>
          </w:p>
        </w:tc>
        <w:tc>
          <w:tcPr>
            <w:tcW w:w="880" w:type="dxa"/>
            <w:vAlign w:val="bottom"/>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92"/>
              <w:spacing w:after="0"/>
              <w:rPr>
                <w:sz w:val="20"/>
                <w:szCs w:val="20"/>
                <w:color w:val="auto"/>
              </w:rPr>
            </w:pPr>
            <w:r>
              <w:rPr>
                <w:rFonts w:ascii="Arial" w:cs="Arial" w:eastAsia="Arial" w:hAnsi="Arial"/>
                <w:sz w:val="10"/>
                <w:szCs w:val="10"/>
                <w:b w:val="1"/>
                <w:bCs w:val="1"/>
                <w:color w:val="auto"/>
              </w:rPr>
              <w:t>37,764</w:t>
            </w:r>
          </w:p>
        </w:tc>
        <w:tc>
          <w:tcPr>
            <w:tcW w:w="60" w:type="dxa"/>
            <w:vAlign w:val="bottom"/>
          </w:tcPr>
          <w:p>
            <w:pPr>
              <w:spacing w:after="0"/>
              <w:rPr>
                <w:sz w:val="13"/>
                <w:szCs w:val="13"/>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ind w:right="72"/>
              <w:spacing w:after="0"/>
              <w:rPr>
                <w:sz w:val="20"/>
                <w:szCs w:val="20"/>
                <w:color w:val="auto"/>
              </w:rPr>
            </w:pPr>
            <w:r>
              <w:rPr>
                <w:rFonts w:ascii="Arial" w:cs="Arial" w:eastAsia="Arial" w:hAnsi="Arial"/>
                <w:sz w:val="10"/>
                <w:szCs w:val="10"/>
                <w:b w:val="1"/>
                <w:bCs w:val="1"/>
                <w:color w:val="auto"/>
              </w:rPr>
              <w:t>28,240</w:t>
            </w:r>
          </w:p>
        </w:tc>
      </w:tr>
      <w:tr>
        <w:trPr>
          <w:trHeight w:val="180"/>
        </w:trPr>
        <w:tc>
          <w:tcPr>
            <w:tcW w:w="88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Arial" w:cs="Arial" w:eastAsia="Arial" w:hAnsi="Arial"/>
                <w:sz w:val="10"/>
                <w:szCs w:val="10"/>
                <w:b w:val="1"/>
                <w:bCs w:val="1"/>
                <w:color w:val="auto"/>
              </w:rPr>
              <w:t>48,745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b w:val="1"/>
                <w:bCs w:val="1"/>
                <w:color w:val="auto"/>
              </w:rPr>
              <w:t>37,764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0"/>
                <w:szCs w:val="10"/>
                <w:b w:val="1"/>
                <w:bCs w:val="1"/>
                <w:color w:val="auto"/>
              </w:rPr>
              <w:t>48,745</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b w:val="1"/>
                <w:bCs w:val="1"/>
                <w:color w:val="auto"/>
              </w:rPr>
              <w:t>37,764</w:t>
            </w:r>
          </w:p>
        </w:tc>
      </w:tr>
      <w:tr>
        <w:trPr>
          <w:trHeight w:val="131"/>
        </w:trPr>
        <w:tc>
          <w:tcPr>
            <w:tcW w:w="880" w:type="dxa"/>
            <w:vAlign w:val="bottom"/>
          </w:tcPr>
          <w:p>
            <w:pPr>
              <w:spacing w:after="0"/>
              <w:rPr>
                <w:sz w:val="11"/>
                <w:szCs w:val="11"/>
                <w:color w:val="auto"/>
              </w:rPr>
            </w:pPr>
          </w:p>
        </w:tc>
        <w:tc>
          <w:tcPr>
            <w:tcW w:w="520" w:type="dxa"/>
            <w:vAlign w:val="bottom"/>
          </w:tcPr>
          <w:p>
            <w:pPr>
              <w:jc w:val="right"/>
              <w:ind w:right="72"/>
              <w:spacing w:after="0"/>
              <w:rPr>
                <w:sz w:val="20"/>
                <w:szCs w:val="20"/>
                <w:color w:val="auto"/>
              </w:rPr>
            </w:pPr>
            <w:r>
              <w:rPr>
                <w:rFonts w:ascii="Arial" w:cs="Arial" w:eastAsia="Arial" w:hAnsi="Arial"/>
                <w:sz w:val="10"/>
                <w:szCs w:val="10"/>
                <w:color w:val="auto"/>
              </w:rPr>
              <w:t>47,278</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36,430</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jc w:val="right"/>
              <w:ind w:right="92"/>
              <w:spacing w:after="0"/>
              <w:rPr>
                <w:sz w:val="20"/>
                <w:szCs w:val="20"/>
                <w:color w:val="auto"/>
              </w:rPr>
            </w:pPr>
            <w:r>
              <w:rPr>
                <w:rFonts w:ascii="Arial" w:cs="Arial" w:eastAsia="Arial" w:hAnsi="Arial"/>
                <w:sz w:val="10"/>
                <w:szCs w:val="10"/>
                <w:color w:val="auto"/>
              </w:rPr>
              <w:t>43,255</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33,002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-309880</wp:posOffset>
            </wp:positionV>
            <wp:extent cx="717804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4287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-81280</wp:posOffset>
            </wp:positionV>
            <wp:extent cx="717804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720" w:space="720"/>
            <w:col w:w="5860"/>
          </w:cols>
          <w:pgMar w:left="300" w:top="287" w:right="29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38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Investment advisory revenue</w:t>
            </w:r>
          </w:p>
        </w:tc>
        <w:tc>
          <w:tcPr>
            <w:tcW w:w="2200" w:type="dxa"/>
            <w:vAlign w:val="bottom"/>
            <w:shd w:val="clear" w:color="auto" w:fill="CCEEFF"/>
          </w:tcPr>
          <w:p>
            <w:pPr>
              <w:jc w:val="right"/>
              <w:ind w:right="472"/>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0"/>
                <w:szCs w:val="10"/>
                <w:b w:val="1"/>
                <w:bCs w:val="1"/>
                <w:color w:val="auto"/>
              </w:rPr>
              <w:t>25.8</w:t>
            </w:r>
          </w:p>
        </w:tc>
        <w:tc>
          <w:tcPr>
            <w:tcW w:w="620" w:type="dxa"/>
            <w:vAlign w:val="bottom"/>
            <w:shd w:val="clear" w:color="auto" w:fill="CCEEFF"/>
          </w:tcPr>
          <w:p>
            <w:pPr>
              <w:jc w:val="right"/>
              <w:ind w:right="472"/>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ind w:left="520"/>
              <w:spacing w:after="0"/>
              <w:rPr>
                <w:sz w:val="20"/>
                <w:szCs w:val="20"/>
                <w:color w:val="auto"/>
              </w:rPr>
            </w:pPr>
            <w:r>
              <w:rPr>
                <w:rFonts w:ascii="Arial" w:cs="Arial" w:eastAsia="Arial" w:hAnsi="Arial"/>
                <w:sz w:val="10"/>
                <w:szCs w:val="10"/>
                <w:b w:val="1"/>
                <w:bCs w:val="1"/>
                <w:color w:val="auto"/>
              </w:rPr>
              <w:t>19.6</w:t>
            </w:r>
          </w:p>
        </w:tc>
        <w:tc>
          <w:tcPr>
            <w:tcW w:w="620" w:type="dxa"/>
            <w:vAlign w:val="bottom"/>
            <w:shd w:val="clear" w:color="auto" w:fill="CCEEFF"/>
          </w:tcPr>
          <w:p>
            <w:pPr>
              <w:jc w:val="right"/>
              <w:ind w:right="472"/>
              <w:spacing w:after="0"/>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ind w:left="520"/>
              <w:spacing w:after="0"/>
              <w:rPr>
                <w:sz w:val="20"/>
                <w:szCs w:val="20"/>
                <w:color w:val="auto"/>
              </w:rPr>
            </w:pPr>
            <w:r>
              <w:rPr>
                <w:rFonts w:ascii="Arial" w:cs="Arial" w:eastAsia="Arial" w:hAnsi="Arial"/>
                <w:sz w:val="10"/>
                <w:szCs w:val="10"/>
                <w:b w:val="1"/>
                <w:bCs w:val="1"/>
                <w:color w:val="auto"/>
              </w:rPr>
              <w:t>91.9</w:t>
            </w:r>
          </w:p>
        </w:tc>
        <w:tc>
          <w:tcPr>
            <w:tcW w:w="620" w:type="dxa"/>
            <w:vAlign w:val="bottom"/>
            <w:shd w:val="clear" w:color="auto" w:fill="CCEEFF"/>
          </w:tcPr>
          <w:p>
            <w:pPr>
              <w:jc w:val="right"/>
              <w:ind w:right="472"/>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ind w:left="520"/>
              <w:spacing w:after="0"/>
              <w:rPr>
                <w:sz w:val="20"/>
                <w:szCs w:val="20"/>
                <w:color w:val="auto"/>
              </w:rPr>
            </w:pPr>
            <w:r>
              <w:rPr>
                <w:rFonts w:ascii="Arial" w:cs="Arial" w:eastAsia="Arial" w:hAnsi="Arial"/>
                <w:sz w:val="10"/>
                <w:szCs w:val="10"/>
                <w:b w:val="1"/>
                <w:bCs w:val="1"/>
                <w:color w:val="auto"/>
              </w:rPr>
              <w:t>73.0</w:t>
            </w:r>
          </w:p>
        </w:tc>
      </w:tr>
      <w:tr>
        <w:trPr>
          <w:trHeight w:val="180"/>
        </w:trPr>
        <w:tc>
          <w:tcPr>
            <w:tcW w:w="3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5"/>
        </w:trPr>
        <w:tc>
          <w:tcPr>
            <w:tcW w:w="38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 xml:space="preserve">Annualized investment advisory fee rate (in %) </w:t>
            </w:r>
            <w:r>
              <w:rPr>
                <w:rFonts w:ascii="Arial" w:cs="Arial" w:eastAsia="Arial" w:hAnsi="Arial"/>
                <w:sz w:val="6"/>
                <w:szCs w:val="6"/>
                <w:b w:val="1"/>
                <w:bCs w:val="1"/>
                <w:color w:val="auto"/>
              </w:rPr>
              <w:t>2</w:t>
            </w:r>
          </w:p>
        </w:tc>
        <w:tc>
          <w:tcPr>
            <w:tcW w:w="2200" w:type="dxa"/>
            <w:vAlign w:val="bottom"/>
            <w:shd w:val="clear" w:color="auto" w:fill="CCEEFF"/>
          </w:tcPr>
          <w:p>
            <w:pPr>
              <w:spacing w:after="0"/>
              <w:rPr>
                <w:sz w:val="11"/>
                <w:szCs w:val="11"/>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0"/>
                <w:szCs w:val="10"/>
                <w:b w:val="1"/>
                <w:bCs w:val="1"/>
                <w:color w:val="auto"/>
              </w:rPr>
              <w:t>0.22 %</w:t>
            </w: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0"/>
                <w:szCs w:val="10"/>
                <w:b w:val="1"/>
                <w:bCs w:val="1"/>
                <w:color w:val="auto"/>
              </w:rPr>
              <w:t>0.21 %</w:t>
            </w:r>
          </w:p>
        </w:tc>
        <w:tc>
          <w:tcPr>
            <w:tcW w:w="620" w:type="dxa"/>
            <w:vAlign w:val="bottom"/>
            <w:shd w:val="clear" w:color="auto" w:fill="CCEEFF"/>
          </w:tcPr>
          <w:p>
            <w:pPr>
              <w:spacing w:after="0"/>
              <w:rPr>
                <w:sz w:val="11"/>
                <w:szCs w:val="11"/>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0"/>
                <w:szCs w:val="10"/>
                <w:b w:val="1"/>
                <w:bCs w:val="1"/>
                <w:color w:val="auto"/>
              </w:rPr>
              <w:t>0.21 %</w:t>
            </w:r>
          </w:p>
        </w:tc>
        <w:tc>
          <w:tcPr>
            <w:tcW w:w="620" w:type="dxa"/>
            <w:vAlign w:val="bottom"/>
            <w:shd w:val="clear" w:color="auto" w:fill="CCEEFF"/>
          </w:tcPr>
          <w:p>
            <w:pPr>
              <w:spacing w:after="0"/>
              <w:rPr>
                <w:sz w:val="11"/>
                <w:szCs w:val="11"/>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0"/>
                <w:szCs w:val="10"/>
                <w:b w:val="1"/>
                <w:bCs w:val="1"/>
                <w:color w:val="auto"/>
                <w:w w:val="96"/>
              </w:rPr>
              <w:t>0.22 %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Average balance rows represent the average of the beginning of period and end of period balances.</w:t>
      </w:r>
    </w:p>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1"/>
          <w:szCs w:val="11"/>
          <w:color w:val="auto"/>
        </w:rPr>
        <w:t xml:space="preserve"> Annualized cash management fee rate and Annualized investment advisory fee rate is calculated by annualizing revenue for the given period and dividing by the simple average asset balance presented.</w:t>
      </w:r>
    </w:p>
    <w:p>
      <w:pPr>
        <w:sectPr>
          <w:pgSz w:w="11900" w:h="16838" w:orient="portrait"/>
          <w:cols w:equalWidth="0" w:num="1">
            <w:col w:w="11300"/>
          </w:cols>
          <w:pgMar w:left="300" w:top="287" w:right="299" w:bottom="1440" w:gutter="0" w:footer="0" w:header="0"/>
          <w:type w:val="continuous"/>
        </w:sectPr>
      </w:pPr>
    </w:p>
    <w:bookmarkStart w:id="16" w:name="page17"/>
    <w:bookmarkEnd w:id="16"/>
    <w:p>
      <w:pPr>
        <w:ind w:left="4640"/>
        <w:spacing w:after="0"/>
        <w:rPr>
          <w:sz w:val="20"/>
          <w:szCs w:val="20"/>
          <w:color w:val="auto"/>
        </w:rPr>
      </w:pPr>
      <w:r>
        <w:rPr>
          <w:rFonts w:ascii="Arial" w:cs="Arial" w:eastAsia="Arial" w:hAnsi="Arial"/>
          <w:sz w:val="13"/>
          <w:szCs w:val="13"/>
          <w:b w:val="1"/>
          <w:bCs w:val="1"/>
          <w:color w:val="auto"/>
        </w:rPr>
        <w:t>WEALTHFRONT CORPORATION</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RECONCILIATION OF GAAP TO NON-GAAP MEASURES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reconciliations of GAAP to non-GAAP measures disclosed within this document.</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Adjusted Operating Expenses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Twelve Months Ended</w:t>
            </w:r>
          </w:p>
        </w:tc>
        <w:tc>
          <w:tcPr>
            <w:tcW w:w="860" w:type="dxa"/>
            <w:vAlign w:val="bottom"/>
          </w:tcPr>
          <w:p>
            <w:pPr>
              <w:spacing w:after="0"/>
              <w:rPr>
                <w:sz w:val="10"/>
                <w:szCs w:val="10"/>
                <w:color w:val="auto"/>
              </w:rPr>
            </w:pPr>
          </w:p>
        </w:tc>
      </w:tr>
      <w:tr>
        <w:trPr>
          <w:trHeight w:val="124"/>
        </w:trPr>
        <w:tc>
          <w:tcPr>
            <w:tcW w:w="56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0"/>
                <w:szCs w:val="10"/>
                <w:b w:val="1"/>
                <w:bCs w:val="1"/>
                <w:color w:val="auto"/>
              </w:rPr>
              <w:t>January 31,</w:t>
            </w:r>
          </w:p>
        </w:tc>
        <w:tc>
          <w:tcPr>
            <w:tcW w:w="860" w:type="dxa"/>
            <w:vAlign w:val="bottom"/>
            <w:tcBorders>
              <w:bottom w:val="single" w:sz="8" w:color="auto"/>
            </w:tcBorders>
          </w:tcPr>
          <w:p>
            <w:pPr>
              <w:spacing w:after="0"/>
              <w:rPr>
                <w:sz w:val="10"/>
                <w:szCs w:val="10"/>
                <w:color w:val="auto"/>
              </w:rPr>
            </w:pPr>
          </w:p>
        </w:tc>
      </w:tr>
      <w:tr>
        <w:trPr>
          <w:trHeight w:val="123"/>
        </w:trPr>
        <w:tc>
          <w:tcPr>
            <w:tcW w:w="564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 in thousands)</w:t>
            </w: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r>
      <w:tr>
        <w:trPr>
          <w:trHeight w:val="125"/>
        </w:trPr>
        <w:tc>
          <w:tcPr>
            <w:tcW w:w="56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GAAP operating expenses</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310,656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51,783</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476,163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187,386</w:t>
            </w:r>
          </w:p>
        </w:tc>
      </w:tr>
      <w:tr>
        <w:trPr>
          <w:trHeight w:val="132"/>
        </w:trPr>
        <w:tc>
          <w:tcPr>
            <w:tcW w:w="5640" w:type="dxa"/>
            <w:vAlign w:val="bottom"/>
          </w:tcPr>
          <w:p>
            <w:pPr>
              <w:ind w:left="80"/>
              <w:spacing w:after="0"/>
              <w:rPr>
                <w:sz w:val="20"/>
                <w:szCs w:val="20"/>
                <w:color w:val="auto"/>
              </w:rPr>
            </w:pPr>
            <w:r>
              <w:rPr>
                <w:rFonts w:ascii="Arial" w:cs="Arial" w:eastAsia="Arial" w:hAnsi="Arial"/>
                <w:sz w:val="10"/>
                <w:szCs w:val="10"/>
                <w:color w:val="auto"/>
              </w:rPr>
              <w:t>Less: Stock-based compensation expense</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248,288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2,120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259,824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9,364</w:t>
            </w:r>
          </w:p>
        </w:tc>
      </w:tr>
      <w:tr>
        <w:trPr>
          <w:trHeight w:val="138"/>
        </w:trPr>
        <w:tc>
          <w:tcPr>
            <w:tcW w:w="5640" w:type="dxa"/>
            <w:vAlign w:val="bottom"/>
            <w:shd w:val="clear" w:color="auto" w:fill="CCEEFF"/>
          </w:tcPr>
          <w:p>
            <w:pPr>
              <w:ind w:left="80"/>
              <w:spacing w:after="0"/>
              <w:rPr>
                <w:sz w:val="20"/>
                <w:szCs w:val="20"/>
                <w:color w:val="auto"/>
              </w:rPr>
            </w:pPr>
            <w:r>
              <w:rPr>
                <w:rFonts w:ascii="Arial" w:cs="Arial" w:eastAsia="Arial" w:hAnsi="Arial"/>
                <w:sz w:val="10"/>
                <w:szCs w:val="10"/>
                <w:color w:val="auto"/>
              </w:rPr>
              <w:t>Less: Employer payroll taxes on IPO-triggered vesting of equity awards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2"/>
        </w:trPr>
        <w:tc>
          <w:tcPr>
            <w:tcW w:w="5640" w:type="dxa"/>
            <w:vAlign w:val="bottom"/>
          </w:tcPr>
          <w:p>
            <w:pPr>
              <w:spacing w:after="0"/>
              <w:rPr>
                <w:sz w:val="20"/>
                <w:szCs w:val="20"/>
                <w:color w:val="auto"/>
              </w:rPr>
            </w:pPr>
            <w:r>
              <w:rPr>
                <w:rFonts w:ascii="Arial" w:cs="Arial" w:eastAsia="Arial" w:hAnsi="Arial"/>
                <w:sz w:val="10"/>
                <w:szCs w:val="10"/>
                <w:b w:val="1"/>
                <w:bCs w:val="1"/>
                <w:color w:val="auto"/>
              </w:rPr>
              <w:t>Adjusted operating expenses</w:t>
            </w:r>
          </w:p>
        </w:tc>
        <w:tc>
          <w:tcPr>
            <w:tcW w:w="32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57,093</w:t>
            </w:r>
          </w:p>
        </w:tc>
        <w:tc>
          <w:tcPr>
            <w:tcW w:w="80" w:type="dxa"/>
            <w:vAlign w:val="bottom"/>
          </w:tcPr>
          <w:p>
            <w:pPr>
              <w:spacing w:after="0"/>
              <w:rPr>
                <w:sz w:val="10"/>
                <w:szCs w:val="10"/>
                <w:color w:val="auto"/>
              </w:rPr>
            </w:pPr>
          </w:p>
        </w:tc>
        <w:tc>
          <w:tcPr>
            <w:tcW w:w="50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49,663</w:t>
            </w:r>
          </w:p>
        </w:tc>
        <w:tc>
          <w:tcPr>
            <w:tcW w:w="60" w:type="dxa"/>
            <w:vAlign w:val="bottom"/>
          </w:tcPr>
          <w:p>
            <w:pPr>
              <w:spacing w:after="0"/>
              <w:rPr>
                <w:sz w:val="10"/>
                <w:szCs w:val="10"/>
                <w:color w:val="auto"/>
              </w:rPr>
            </w:pPr>
          </w:p>
        </w:tc>
        <w:tc>
          <w:tcPr>
            <w:tcW w:w="32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211,064</w:t>
            </w:r>
          </w:p>
        </w:tc>
        <w:tc>
          <w:tcPr>
            <w:tcW w:w="80" w:type="dxa"/>
            <w:vAlign w:val="bottom"/>
          </w:tcPr>
          <w:p>
            <w:pPr>
              <w:spacing w:after="0"/>
              <w:rPr>
                <w:sz w:val="10"/>
                <w:szCs w:val="10"/>
                <w:color w:val="auto"/>
              </w:rPr>
            </w:pPr>
          </w:p>
        </w:tc>
        <w:tc>
          <w:tcPr>
            <w:tcW w:w="500" w:type="dxa"/>
            <w:vAlign w:val="bottom"/>
            <w:tcBorders>
              <w:top w:val="single" w:sz="8" w:color="auto"/>
            </w:tcBorders>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178,022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Adjusted EBITDA &amp; Adjusted EBITDA Margin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Three Months Ended</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Twelve Months Ended</w:t>
            </w:r>
          </w:p>
        </w:tc>
        <w:tc>
          <w:tcPr>
            <w:tcW w:w="880" w:type="dxa"/>
            <w:vAlign w:val="bottom"/>
          </w:tcPr>
          <w:p>
            <w:pPr>
              <w:spacing w:after="0"/>
              <w:rPr>
                <w:sz w:val="10"/>
                <w:szCs w:val="10"/>
                <w:color w:val="auto"/>
              </w:rPr>
            </w:pPr>
          </w:p>
        </w:tc>
      </w:tr>
      <w:tr>
        <w:trPr>
          <w:trHeight w:val="124"/>
        </w:trPr>
        <w:tc>
          <w:tcPr>
            <w:tcW w:w="54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January 31,</w:t>
            </w: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0"/>
                <w:szCs w:val="10"/>
                <w:b w:val="1"/>
                <w:bCs w:val="1"/>
                <w:color w:val="auto"/>
              </w:rPr>
              <w:t>January 31,</w:t>
            </w:r>
          </w:p>
        </w:tc>
        <w:tc>
          <w:tcPr>
            <w:tcW w:w="880" w:type="dxa"/>
            <w:vAlign w:val="bottom"/>
            <w:tcBorders>
              <w:bottom w:val="single" w:sz="8" w:color="auto"/>
            </w:tcBorders>
          </w:tcPr>
          <w:p>
            <w:pPr>
              <w:spacing w:after="0"/>
              <w:rPr>
                <w:sz w:val="10"/>
                <w:szCs w:val="10"/>
                <w:color w:val="auto"/>
              </w:rPr>
            </w:pPr>
          </w:p>
        </w:tc>
      </w:tr>
      <w:tr>
        <w:trPr>
          <w:trHeight w:val="1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 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r>
      <w:tr>
        <w:trPr>
          <w:trHeight w:val="125"/>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860" w:type="dxa"/>
            <w:vAlign w:val="bottom"/>
            <w:shd w:val="clear" w:color="auto" w:fill="CCEEFF"/>
          </w:tcPr>
          <w:p>
            <w:pPr>
              <w:jc w:val="right"/>
              <w:ind w:right="732"/>
              <w:spacing w:after="0"/>
              <w:rPr>
                <w:sz w:val="20"/>
                <w:szCs w:val="20"/>
                <w:color w:val="auto"/>
              </w:rPr>
            </w:pPr>
            <w:r>
              <w:rPr>
                <w:rFonts w:ascii="Arial" w:cs="Arial" w:eastAsia="Arial" w:hAnsi="Arial"/>
                <w:sz w:val="10"/>
                <w:szCs w:val="10"/>
                <w:b w:val="1"/>
                <w:bCs w:val="1"/>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b w:val="1"/>
                <w:bCs w:val="1"/>
                <w:color w:val="auto"/>
              </w:rPr>
              <w:t>(133,655)</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32,092</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b w:val="1"/>
                <w:bCs w:val="1"/>
                <w:color w:val="auto"/>
              </w:rPr>
              <w:t>(42,066)</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194,447</w:t>
            </w:r>
          </w:p>
        </w:tc>
      </w:tr>
      <w:tr>
        <w:trPr>
          <w:trHeight w:val="132"/>
        </w:trPr>
        <w:tc>
          <w:tcPr>
            <w:tcW w:w="5420" w:type="dxa"/>
            <w:vAlign w:val="bottom"/>
          </w:tcPr>
          <w:p>
            <w:pPr>
              <w:ind w:left="20"/>
              <w:spacing w:after="0"/>
              <w:rPr>
                <w:sz w:val="20"/>
                <w:szCs w:val="20"/>
                <w:color w:val="auto"/>
              </w:rPr>
            </w:pPr>
            <w:r>
              <w:rPr>
                <w:rFonts w:ascii="Arial" w:cs="Arial" w:eastAsia="Arial" w:hAnsi="Arial"/>
                <w:sz w:val="10"/>
                <w:szCs w:val="10"/>
                <w:color w:val="auto"/>
              </w:rPr>
              <w:t>Net income margin</w:t>
            </w:r>
          </w:p>
        </w:tc>
        <w:tc>
          <w:tcPr>
            <w:tcW w:w="860" w:type="dxa"/>
            <w:vAlign w:val="bottom"/>
          </w:tcPr>
          <w:p>
            <w:pPr>
              <w:spacing w:after="0"/>
              <w:rPr>
                <w:sz w:val="11"/>
                <w:szCs w:val="11"/>
                <w:color w:val="auto"/>
              </w:rPr>
            </w:pPr>
          </w:p>
        </w:tc>
        <w:tc>
          <w:tcPr>
            <w:tcW w:w="560" w:type="dxa"/>
            <w:vAlign w:val="bottom"/>
          </w:tcPr>
          <w:p>
            <w:pPr>
              <w:jc w:val="right"/>
              <w:ind w:right="32"/>
              <w:spacing w:after="0"/>
              <w:rPr>
                <w:sz w:val="20"/>
                <w:szCs w:val="20"/>
                <w:color w:val="auto"/>
              </w:rPr>
            </w:pPr>
            <w:r>
              <w:rPr>
                <w:rFonts w:ascii="Arial" w:cs="Arial" w:eastAsia="Arial" w:hAnsi="Arial"/>
                <w:sz w:val="10"/>
                <w:szCs w:val="10"/>
                <w:color w:val="auto"/>
              </w:rPr>
              <w:t>(139)%</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jc w:val="right"/>
              <w:ind w:right="32"/>
              <w:spacing w:after="0"/>
              <w:rPr>
                <w:sz w:val="20"/>
                <w:szCs w:val="20"/>
                <w:color w:val="auto"/>
              </w:rPr>
            </w:pPr>
            <w:r>
              <w:rPr>
                <w:rFonts w:ascii="Arial" w:cs="Arial" w:eastAsia="Arial" w:hAnsi="Arial"/>
                <w:sz w:val="10"/>
                <w:szCs w:val="10"/>
                <w:color w:val="auto"/>
              </w:rPr>
              <w:t>39%</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63%</w:t>
            </w:r>
          </w:p>
        </w:tc>
      </w:tr>
      <w:tr>
        <w:trPr>
          <w:trHeight w:val="138"/>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Add:</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6"/>
        </w:trPr>
        <w:tc>
          <w:tcPr>
            <w:tcW w:w="5420" w:type="dxa"/>
            <w:vAlign w:val="bottom"/>
          </w:tcPr>
          <w:p>
            <w:pPr>
              <w:ind w:left="80"/>
              <w:spacing w:after="0"/>
              <w:rPr>
                <w:sz w:val="20"/>
                <w:szCs w:val="20"/>
                <w:color w:val="auto"/>
              </w:rPr>
            </w:pPr>
            <w:r>
              <w:rPr>
                <w:rFonts w:ascii="Arial" w:cs="Arial" w:eastAsia="Arial" w:hAnsi="Arial"/>
                <w:sz w:val="10"/>
                <w:szCs w:val="10"/>
                <w:color w:val="auto"/>
              </w:rPr>
              <w:t>Interest expense</w:t>
            </w:r>
          </w:p>
        </w:tc>
        <w:tc>
          <w:tcPr>
            <w:tcW w:w="8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508</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jc w:val="right"/>
              <w:ind w:right="72"/>
              <w:spacing w:after="0"/>
              <w:rPr>
                <w:sz w:val="20"/>
                <w:szCs w:val="20"/>
                <w:color w:val="auto"/>
              </w:rPr>
            </w:pPr>
            <w:r>
              <w:rPr>
                <w:rFonts w:ascii="Arial" w:cs="Arial" w:eastAsia="Arial" w:hAnsi="Arial"/>
                <w:sz w:val="10"/>
                <w:szCs w:val="10"/>
                <w:color w:val="auto"/>
              </w:rPr>
              <w:t>253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891</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2,810</w:t>
            </w:r>
          </w:p>
        </w:tc>
      </w:tr>
      <w:tr>
        <w:trPr>
          <w:trHeight w:val="161"/>
        </w:trPr>
        <w:tc>
          <w:tcPr>
            <w:tcW w:w="5420" w:type="dxa"/>
            <w:vAlign w:val="bottom"/>
            <w:shd w:val="clear" w:color="auto" w:fill="CCEEFF"/>
          </w:tcPr>
          <w:p>
            <w:pPr>
              <w:ind w:left="80"/>
              <w:spacing w:after="0"/>
              <w:rPr>
                <w:sz w:val="20"/>
                <w:szCs w:val="20"/>
                <w:color w:val="auto"/>
              </w:rPr>
            </w:pPr>
            <w:r>
              <w:rPr>
                <w:rFonts w:ascii="Arial" w:cs="Arial" w:eastAsia="Arial" w:hAnsi="Arial"/>
                <w:sz w:val="10"/>
                <w:szCs w:val="10"/>
                <w:color w:val="auto"/>
              </w:rPr>
              <w:t>Provision for (benefit from) income taxes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(76,320)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(636)</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(59,182)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(55,218)</w:t>
            </w:r>
          </w:p>
        </w:tc>
      </w:tr>
      <w:tr>
        <w:trPr>
          <w:trHeight w:val="145"/>
        </w:trPr>
        <w:tc>
          <w:tcPr>
            <w:tcW w:w="54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Depreciation and amortization of property, software, and equipment, net</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1,829</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1,779</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7,397</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6,236</w:t>
            </w:r>
          </w:p>
        </w:tc>
      </w:tr>
      <w:tr>
        <w:trPr>
          <w:trHeight w:val="150"/>
        </w:trPr>
        <w:tc>
          <w:tcPr>
            <w:tcW w:w="542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EBITDA (non-GAAP)</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b w:val="1"/>
                <w:bCs w:val="1"/>
                <w:color w:val="auto"/>
              </w:rPr>
              <w:t>(207,638)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33,488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b w:val="1"/>
                <w:bCs w:val="1"/>
                <w:color w:val="auto"/>
              </w:rPr>
              <w:t>(92,960)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148,275</w:t>
            </w:r>
          </w:p>
        </w:tc>
      </w:tr>
      <w:tr>
        <w:trPr>
          <w:trHeight w:val="145"/>
        </w:trPr>
        <w:tc>
          <w:tcPr>
            <w:tcW w:w="5420" w:type="dxa"/>
            <w:vAlign w:val="bottom"/>
          </w:tcPr>
          <w:p>
            <w:pPr>
              <w:ind w:left="80"/>
              <w:spacing w:after="0"/>
              <w:rPr>
                <w:sz w:val="20"/>
                <w:szCs w:val="20"/>
                <w:color w:val="auto"/>
              </w:rPr>
            </w:pPr>
            <w:r>
              <w:rPr>
                <w:rFonts w:ascii="Arial" w:cs="Arial" w:eastAsia="Arial" w:hAnsi="Arial"/>
                <w:sz w:val="10"/>
                <w:szCs w:val="10"/>
                <w:color w:val="auto"/>
              </w:rPr>
              <w:t>Stock-based compensation expense</w:t>
            </w:r>
          </w:p>
        </w:tc>
        <w:tc>
          <w:tcPr>
            <w:tcW w:w="8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248,285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jc w:val="right"/>
              <w:ind w:right="72"/>
              <w:spacing w:after="0"/>
              <w:rPr>
                <w:sz w:val="20"/>
                <w:szCs w:val="20"/>
                <w:color w:val="auto"/>
              </w:rPr>
            </w:pPr>
            <w:r>
              <w:rPr>
                <w:rFonts w:ascii="Arial" w:cs="Arial" w:eastAsia="Arial" w:hAnsi="Arial"/>
                <w:sz w:val="10"/>
                <w:szCs w:val="10"/>
                <w:color w:val="auto"/>
              </w:rPr>
              <w:t>2,120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259,824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9,364</w:t>
            </w:r>
          </w:p>
        </w:tc>
      </w:tr>
      <w:tr>
        <w:trPr>
          <w:trHeight w:val="161"/>
        </w:trPr>
        <w:tc>
          <w:tcPr>
            <w:tcW w:w="5420" w:type="dxa"/>
            <w:vAlign w:val="bottom"/>
            <w:shd w:val="clear" w:color="auto" w:fill="CCEEFF"/>
          </w:tcPr>
          <w:p>
            <w:pPr>
              <w:ind w:left="80"/>
              <w:spacing w:after="0"/>
              <w:rPr>
                <w:sz w:val="20"/>
                <w:szCs w:val="20"/>
                <w:color w:val="auto"/>
              </w:rPr>
            </w:pPr>
            <w:r>
              <w:rPr>
                <w:rFonts w:ascii="Arial" w:cs="Arial" w:eastAsia="Arial" w:hAnsi="Arial"/>
                <w:sz w:val="10"/>
                <w:szCs w:val="10"/>
                <w:color w:val="auto"/>
              </w:rPr>
              <w:t>Change in fair value of convertible note, warrant liabilities, and SAFEs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(1,712)</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594</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(1,450)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(14,951)</w:t>
            </w:r>
          </w:p>
        </w:tc>
      </w:tr>
      <w:tr>
        <w:trPr>
          <w:trHeight w:val="145"/>
        </w:trPr>
        <w:tc>
          <w:tcPr>
            <w:tcW w:w="5420" w:type="dxa"/>
            <w:vAlign w:val="bottom"/>
          </w:tcPr>
          <w:p>
            <w:pPr>
              <w:ind w:left="80"/>
              <w:spacing w:after="0"/>
              <w:rPr>
                <w:sz w:val="20"/>
                <w:szCs w:val="20"/>
                <w:color w:val="auto"/>
              </w:rPr>
            </w:pPr>
            <w:r>
              <w:rPr>
                <w:rFonts w:ascii="Arial" w:cs="Arial" w:eastAsia="Arial" w:hAnsi="Arial"/>
                <w:sz w:val="10"/>
                <w:szCs w:val="10"/>
                <w:color w:val="auto"/>
              </w:rPr>
              <w:t>Employer payroll taxes on IPO-triggered vesting of equity awards</w:t>
            </w:r>
          </w:p>
        </w:tc>
        <w:tc>
          <w:tcPr>
            <w:tcW w:w="860" w:type="dxa"/>
            <w:vAlign w:val="bottom"/>
          </w:tcPr>
          <w:p>
            <w:pPr>
              <w:spacing w:after="0"/>
              <w:rPr>
                <w:sz w:val="12"/>
                <w:szCs w:val="12"/>
                <w:color w:val="auto"/>
              </w:rPr>
            </w:pPr>
          </w:p>
        </w:tc>
        <w:tc>
          <w:tcPr>
            <w:tcW w:w="560" w:type="dxa"/>
            <w:vAlign w:val="bottom"/>
          </w:tcPr>
          <w:p>
            <w:pPr>
              <w:jc w:val="right"/>
              <w:ind w:right="72"/>
              <w:spacing w:after="0"/>
              <w:rPr>
                <w:sz w:val="20"/>
                <w:szCs w:val="20"/>
                <w:color w:val="auto"/>
              </w:rPr>
            </w:pPr>
            <w:r>
              <w:rPr>
                <w:rFonts w:ascii="Arial" w:cs="Arial" w:eastAsia="Arial" w:hAnsi="Arial"/>
                <w:sz w:val="10"/>
                <w:szCs w:val="10"/>
                <w:color w:val="auto"/>
              </w:rPr>
              <w:t>5,275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5,275</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50"/>
        </w:trPr>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0"/>
                <w:szCs w:val="10"/>
                <w:b w:val="1"/>
                <w:bCs w:val="1"/>
                <w:color w:val="auto"/>
              </w:rPr>
              <w:t>Adjusted EBITDA (non-GAAP)</w:t>
            </w:r>
          </w:p>
        </w:tc>
        <w:tc>
          <w:tcPr>
            <w:tcW w:w="86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b w:val="1"/>
                <w:bCs w:val="1"/>
                <w:color w:val="auto"/>
              </w:rPr>
              <w:t>$</w:t>
            </w:r>
          </w:p>
        </w:tc>
        <w:tc>
          <w:tcPr>
            <w:tcW w:w="5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44,210</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36,202</w:t>
            </w: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170,688</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142,688</w:t>
            </w:r>
          </w:p>
        </w:tc>
      </w:tr>
      <w:tr>
        <w:trPr>
          <w:trHeight w:val="118"/>
        </w:trPr>
        <w:tc>
          <w:tcPr>
            <w:tcW w:w="5420" w:type="dxa"/>
            <w:vAlign w:val="bottom"/>
          </w:tcPr>
          <w:p>
            <w:pPr>
              <w:ind w:left="220"/>
              <w:spacing w:after="0" w:line="109" w:lineRule="exact"/>
              <w:rPr>
                <w:sz w:val="20"/>
                <w:szCs w:val="20"/>
                <w:color w:val="auto"/>
              </w:rPr>
            </w:pPr>
            <w:r>
              <w:rPr>
                <w:rFonts w:ascii="Arial" w:cs="Arial" w:eastAsia="Arial" w:hAnsi="Arial"/>
                <w:sz w:val="10"/>
                <w:szCs w:val="10"/>
                <w:i w:val="1"/>
                <w:iCs w:val="1"/>
                <w:color w:val="auto"/>
              </w:rPr>
              <w:t>Adjusted EBITDA Margin (non-GAAP)</w:t>
            </w:r>
          </w:p>
        </w:tc>
        <w:tc>
          <w:tcPr>
            <w:tcW w:w="8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i w:val="1"/>
                <w:iCs w:val="1"/>
                <w:color w:val="auto"/>
              </w:rPr>
              <w:t>46 %</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i w:val="1"/>
                <w:iCs w:val="1"/>
                <w:color w:val="auto"/>
              </w:rPr>
              <w:t>44 %</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i w:val="1"/>
                <w:iCs w:val="1"/>
                <w:color w:val="auto"/>
              </w:rPr>
              <w:t>47 %</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i w:val="1"/>
                <w:iCs w:val="1"/>
                <w:color w:val="auto"/>
              </w:rPr>
              <w:t>46 %</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Free Cash Flow &amp; Free Cash Flow Conversion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Three Months Ended</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w w:val="98"/>
              </w:rPr>
              <w:t>Twelve Months Ended</w:t>
            </w:r>
          </w:p>
        </w:tc>
        <w:tc>
          <w:tcPr>
            <w:tcW w:w="880" w:type="dxa"/>
            <w:vAlign w:val="bottom"/>
          </w:tcPr>
          <w:p>
            <w:pPr>
              <w:spacing w:after="0"/>
              <w:rPr>
                <w:sz w:val="10"/>
                <w:szCs w:val="10"/>
                <w:color w:val="auto"/>
              </w:rPr>
            </w:pPr>
          </w:p>
        </w:tc>
      </w:tr>
      <w:tr>
        <w:trPr>
          <w:trHeight w:val="126"/>
        </w:trPr>
        <w:tc>
          <w:tcPr>
            <w:tcW w:w="54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January 31,</w:t>
            </w: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0"/>
                <w:szCs w:val="10"/>
                <w:b w:val="1"/>
                <w:bCs w:val="1"/>
                <w:color w:val="auto"/>
              </w:rPr>
              <w:t>January 31,</w:t>
            </w:r>
          </w:p>
        </w:tc>
        <w:tc>
          <w:tcPr>
            <w:tcW w:w="880" w:type="dxa"/>
            <w:vAlign w:val="bottom"/>
            <w:tcBorders>
              <w:bottom w:val="single" w:sz="8" w:color="auto"/>
            </w:tcBorders>
          </w:tcPr>
          <w:p>
            <w:pPr>
              <w:spacing w:after="0"/>
              <w:rPr>
                <w:sz w:val="10"/>
                <w:szCs w:val="10"/>
                <w:color w:val="auto"/>
              </w:rPr>
            </w:pPr>
          </w:p>
        </w:tc>
      </w:tr>
      <w:tr>
        <w:trPr>
          <w:trHeight w:val="1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2026</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r>
      <w:tr>
        <w:trPr>
          <w:trHeight w:val="125"/>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operating activities</w:t>
            </w:r>
          </w:p>
        </w:tc>
        <w:tc>
          <w:tcPr>
            <w:tcW w:w="860" w:type="dxa"/>
            <w:vAlign w:val="bottom"/>
            <w:shd w:val="clear" w:color="auto" w:fill="CCEEFF"/>
          </w:tcPr>
          <w:p>
            <w:pPr>
              <w:jc w:val="right"/>
              <w:ind w:right="732"/>
              <w:spacing w:after="0"/>
              <w:rPr>
                <w:sz w:val="20"/>
                <w:szCs w:val="20"/>
                <w:color w:val="auto"/>
              </w:rPr>
            </w:pPr>
            <w:r>
              <w:rPr>
                <w:rFonts w:ascii="Arial" w:cs="Arial" w:eastAsia="Arial" w:hAnsi="Arial"/>
                <w:sz w:val="10"/>
                <w:szCs w:val="10"/>
                <w:b w:val="1"/>
                <w:bCs w:val="1"/>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33,306</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19,915</w:t>
            </w: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152,189</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123,150</w:t>
            </w:r>
          </w:p>
        </w:tc>
      </w:tr>
      <w:tr>
        <w:trPr>
          <w:trHeight w:val="151"/>
        </w:trPr>
        <w:tc>
          <w:tcPr>
            <w:tcW w:w="54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Divided by: Net income (loss)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(133,655)</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32,092</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(42,066)</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194,447</w:t>
            </w:r>
          </w:p>
        </w:tc>
      </w:tr>
      <w:tr>
        <w:trPr>
          <w:trHeight w:val="134"/>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cash flow conversion</w:t>
            </w:r>
          </w:p>
        </w:tc>
        <w:tc>
          <w:tcPr>
            <w:tcW w:w="8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0"/>
                <w:szCs w:val="10"/>
                <w:b w:val="1"/>
                <w:bCs w:val="1"/>
                <w:color w:val="auto"/>
              </w:rPr>
              <w:t>NM</w:t>
            </w: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62 %</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0"/>
                <w:szCs w:val="10"/>
                <w:b w:val="1"/>
                <w:bCs w:val="1"/>
                <w:color w:val="auto"/>
              </w:rPr>
              <w:t>NM</w:t>
            </w: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63 %</w:t>
            </w:r>
          </w:p>
        </w:tc>
      </w:tr>
      <w:tr>
        <w:trPr>
          <w:trHeight w:val="161"/>
        </w:trPr>
        <w:tc>
          <w:tcPr>
            <w:tcW w:w="54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r>
      <w:tr>
        <w:trPr>
          <w:trHeight w:val="124"/>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operating activities</w:t>
            </w:r>
          </w:p>
        </w:tc>
        <w:tc>
          <w:tcPr>
            <w:tcW w:w="860" w:type="dxa"/>
            <w:vAlign w:val="bottom"/>
            <w:shd w:val="clear" w:color="auto" w:fill="CCEEFF"/>
          </w:tcPr>
          <w:p>
            <w:pPr>
              <w:jc w:val="right"/>
              <w:ind w:right="732"/>
              <w:spacing w:after="0"/>
              <w:rPr>
                <w:sz w:val="20"/>
                <w:szCs w:val="20"/>
                <w:color w:val="auto"/>
              </w:rPr>
            </w:pPr>
            <w:r>
              <w:rPr>
                <w:rFonts w:ascii="Arial" w:cs="Arial" w:eastAsia="Arial" w:hAnsi="Arial"/>
                <w:sz w:val="10"/>
                <w:szCs w:val="10"/>
                <w:b w:val="1"/>
                <w:bCs w:val="1"/>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33,306</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19,915</w:t>
            </w: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152,189</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123,150</w:t>
            </w:r>
          </w:p>
        </w:tc>
      </w:tr>
      <w:tr>
        <w:trPr>
          <w:trHeight w:val="132"/>
        </w:trPr>
        <w:tc>
          <w:tcPr>
            <w:tcW w:w="54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Less: Capital expenditures</w:t>
            </w:r>
          </w:p>
        </w:tc>
        <w:tc>
          <w:tcPr>
            <w:tcW w:w="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(308)</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(946)</w:t>
            </w: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(1,138)</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(5,843)</w:t>
            </w:r>
          </w:p>
        </w:tc>
      </w:tr>
      <w:tr>
        <w:trPr>
          <w:trHeight w:val="127"/>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Free cash flow</w:t>
            </w:r>
          </w:p>
        </w:tc>
        <w:tc>
          <w:tcPr>
            <w:tcW w:w="860" w:type="dxa"/>
            <w:vAlign w:val="bottom"/>
            <w:shd w:val="clear" w:color="auto" w:fill="CCEEFF"/>
          </w:tcPr>
          <w:p>
            <w:pPr>
              <w:jc w:val="right"/>
              <w:ind w:right="732"/>
              <w:spacing w:after="0"/>
              <w:rPr>
                <w:sz w:val="20"/>
                <w:szCs w:val="20"/>
                <w:color w:val="auto"/>
              </w:rPr>
            </w:pPr>
            <w:r>
              <w:rPr>
                <w:rFonts w:ascii="Arial" w:cs="Arial" w:eastAsia="Arial" w:hAnsi="Arial"/>
                <w:sz w:val="10"/>
                <w:szCs w:val="10"/>
                <w:b w:val="1"/>
                <w:bCs w:val="1"/>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32,998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18,969</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151,051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117,307</w:t>
            </w:r>
          </w:p>
        </w:tc>
      </w:tr>
      <w:tr>
        <w:trPr>
          <w:trHeight w:val="151"/>
        </w:trPr>
        <w:tc>
          <w:tcPr>
            <w:tcW w:w="54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Divided by: Adjusted EBITDA (non-GAAP)</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44,210</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36,202</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170,688</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142,688</w:t>
            </w:r>
          </w:p>
        </w:tc>
      </w:tr>
      <w:tr>
        <w:trPr>
          <w:trHeight w:val="134"/>
        </w:trPr>
        <w:tc>
          <w:tcPr>
            <w:tcW w:w="5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Free cash flow conversion</w:t>
            </w:r>
          </w:p>
        </w:tc>
        <w:tc>
          <w:tcPr>
            <w:tcW w:w="8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75 %</w:t>
            </w:r>
          </w:p>
        </w:tc>
        <w:tc>
          <w:tcPr>
            <w:tcW w:w="8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52 %</w:t>
            </w:r>
          </w:p>
        </w:tc>
        <w:tc>
          <w:tcPr>
            <w:tcW w:w="6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88 %</w:t>
            </w: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82 %</w:t>
            </w:r>
          </w:p>
        </w:tc>
      </w:tr>
    </w:tbl>
    <w:p>
      <w:pPr>
        <w:sectPr>
          <w:pgSz w:w="11900" w:h="16838" w:orient="portrait"/>
          <w:cols w:equalWidth="0" w:num="1">
            <w:col w:w="11300"/>
          </w:cols>
          <w:pgMar w:left="300" w:top="287" w:right="299" w:bottom="1440"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2026-03-11T15:29:32Z</dcterms:created>
  <dcterms:modified xsi:type="dcterms:W3CDTF">2026-03-11T15:29:32Z</dcterms:modified>
</cp:coreProperties>
</file>