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55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5589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Fortunato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80"/>
        <w:spacing w:after="0" w:line="345" w:lineRule="auto"/>
        <w:rPr>
          <w:sz w:val="20"/>
          <w:szCs w:val="20"/>
          <w:color w:val="auto"/>
        </w:rPr>
      </w:pPr>
      <w:r>
        <w:rPr>
          <w:rFonts w:ascii="Times New Roman" w:cs="Times New Roman" w:eastAsia="Times New Roman" w:hAnsi="Times New Roman"/>
          <w:sz w:val="16"/>
          <w:szCs w:val="16"/>
          <w:color w:val="0000FF"/>
        </w:rPr>
        <w:t>C/O WEALTHFRONT CORPORATION 261 HAMILTON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WEALTHFRONT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WLTH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3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06/15/2026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76,462</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w w:val="99"/>
              </w:rPr>
              <w:t>1,872,929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06/15/2026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79,181</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w w:val="99"/>
              </w:rPr>
              <w:t>1,952,110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06/15/2026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59,531</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w w:val="99"/>
              </w:rPr>
              <w:t>2,011,641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06/15/2026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116,088</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320" w:type="dxa"/>
            <w:vAlign w:val="bottom"/>
            <w:tcBorders>
              <w:bottom w:val="single" w:sz="8" w:color="2C2C2C"/>
            </w:tcBorders>
            <w:gridSpan w:val="3"/>
          </w:tcPr>
          <w:p>
            <w:pPr>
              <w:jc w:val="center"/>
              <w:ind w:left="11"/>
              <w:spacing w:after="0"/>
              <w:rPr>
                <w:sz w:val="20"/>
                <w:szCs w:val="20"/>
                <w:color w:val="auto"/>
              </w:rPr>
            </w:pPr>
            <w:r>
              <w:rPr>
                <w:rFonts w:ascii="Times New Roman" w:cs="Times New Roman" w:eastAsia="Times New Roman" w:hAnsi="Times New Roman"/>
                <w:sz w:val="17"/>
                <w:szCs w:val="17"/>
                <w:color w:val="0000FF"/>
                <w:w w:val="99"/>
              </w:rPr>
              <w:t>1,895,553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61,996</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76,462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76,462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229,388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79,181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79,181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554,269</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59,531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59,531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654,844</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the number of shares of Common Stock withheld by the Issuer to satisfy tax withholding liabilities in connection with the net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the reporting person's spouse.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June, September, December, and March, subject to the reporting person's continued service to the Issuer on each vesting date, with the first tranche vested on June 15, 2023.</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June, September, December, and March, subject to the reporting person's continued service to the Issuer on each vesting date, with the first tranche vested on June 15, 2024.</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June, September, December, and March, subject to the reporting person's continued service to the Issuer on each vesting date, with the first tranche vested on June 15, 2025.</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564"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2026-06-17T15:18:58Z</dcterms:created>
  <dcterms:modified xsi:type="dcterms:W3CDTF">2026-06-17T15:18:58Z</dcterms:modified>
</cp:coreProperties>
</file>