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72026_080907.xml.htm"/>
      <w:bookmarkStart w:id="1" w:name="ksform409172026_0809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KILAR JASON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WEALTHFRONT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261 HAMILTON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WEALTHFRONT CORP</w:t>
              </w:r>
            </w:hyperlink>
            <w:r>
              <w:rPr/>
              <w:t xml:space="preserve"> [ </w:t>
            </w:r>
            <w:r>
              <w:rPr>
                <w:rFonts w:ascii="Times;serif" w:hAnsi="Times;serif"/>
                <w:color w:val="0000FF"/>
                <w:sz w:val="24"/>
                <w:shd w:fill="FFFFFF" w:val="clear"/>
              </w:rPr>
              <w:t>WLTH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23,544</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670,163</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23,544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award vested or vests as to 1/16 of the total award quarterly on the fifteenth calendar day of March, June, September, and December, subject to the reporting person's continued service to the Issuer on each vesting date, with the first tranche vested on March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restricted stock units do not expire;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9764" TargetMode="External"/><Relationship Id="rId5" Type="http://schemas.openxmlformats.org/officeDocument/2006/relationships/hyperlink" Target="http://www.sec.gov/cgi-bin/browse-edgar?action=getcompany&amp;CIK=00015245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3560</Characters>
  <CharactersWithSpaces>4143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