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1"/>
          <w:szCs w:val="11"/>
          <w:b w:val="1"/>
          <w:bCs w:val="1"/>
          <w:color w:val="auto"/>
        </w:rPr>
        <w:t>As filed with the U.S. Securities and Exchange Commission on December 2, 2025</w:t>
      </w:r>
    </w:p>
    <w:p>
      <w:pPr>
        <w:spacing w:after="0" w:line="52" w:lineRule="exact"/>
        <w:rPr>
          <w:sz w:val="24"/>
          <w:szCs w:val="24"/>
          <w:color w:val="auto"/>
        </w:rPr>
      </w:pPr>
    </w:p>
    <w:p>
      <w:pPr>
        <w:jc w:val="right"/>
        <w:spacing w:after="0"/>
        <w:rPr>
          <w:sz w:val="20"/>
          <w:szCs w:val="20"/>
          <w:color w:val="auto"/>
        </w:rPr>
      </w:pPr>
      <w:r>
        <w:rPr>
          <w:rFonts w:ascii="Arial" w:cs="Arial" w:eastAsia="Arial" w:hAnsi="Arial"/>
          <w:sz w:val="11"/>
          <w:szCs w:val="11"/>
          <w:b w:val="1"/>
          <w:bCs w:val="1"/>
          <w:color w:val="auto"/>
        </w:rPr>
        <w:t>Registration No. 333-290583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2986405</wp:posOffset>
            </wp:positionH>
            <wp:positionV relativeFrom="paragraph">
              <wp:posOffset>98425</wp:posOffset>
            </wp:positionV>
            <wp:extent cx="12014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1420" cy="698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2986405</wp:posOffset>
            </wp:positionH>
            <wp:positionV relativeFrom="paragraph">
              <wp:posOffset>98425</wp:posOffset>
            </wp:positionV>
            <wp:extent cx="12014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1420" cy="698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WEALTHFRONT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09" w:lineRule="exact"/>
        <w:rPr>
          <w:sz w:val="24"/>
          <w:szCs w:val="24"/>
          <w:color w:val="auto"/>
        </w:rPr>
      </w:pPr>
    </w:p>
    <w:tbl>
      <w:tblPr>
        <w:tblLayout w:type="fixed"/>
        <w:tblInd w:w="1060" w:type="dxa"/>
        <w:tblCellMar>
          <w:top w:w="0" w:type="dxa"/>
          <w:left w:w="0" w:type="dxa"/>
          <w:bottom w:w="0" w:type="dxa"/>
          <w:right w:w="0" w:type="dxa"/>
        </w:tblCellMar>
      </w:tblPr>
      <w:tr>
        <w:trPr>
          <w:trHeight w:val="187"/>
        </w:trPr>
        <w:tc>
          <w:tcPr>
            <w:tcW w:w="1760" w:type="dxa"/>
            <w:vAlign w:val="bottom"/>
          </w:tcPr>
          <w:p>
            <w:pPr>
              <w:jc w:val="center"/>
              <w:ind w:right="43"/>
              <w:spacing w:after="0"/>
              <w:rPr>
                <w:sz w:val="20"/>
                <w:szCs w:val="20"/>
                <w:color w:val="auto"/>
              </w:rPr>
            </w:pPr>
            <w:r>
              <w:rPr>
                <w:rFonts w:ascii="Arial" w:cs="Arial" w:eastAsia="Arial" w:hAnsi="Arial"/>
                <w:sz w:val="14"/>
                <w:szCs w:val="14"/>
                <w:b w:val="1"/>
                <w:bCs w:val="1"/>
                <w:color w:val="auto"/>
              </w:rPr>
              <w:t>Delaware</w:t>
            </w:r>
          </w:p>
        </w:tc>
        <w:tc>
          <w:tcPr>
            <w:tcW w:w="5680" w:type="dxa"/>
            <w:vAlign w:val="bottom"/>
          </w:tcPr>
          <w:p>
            <w:pPr>
              <w:jc w:val="center"/>
              <w:spacing w:after="0"/>
              <w:rPr>
                <w:sz w:val="20"/>
                <w:szCs w:val="20"/>
                <w:color w:val="auto"/>
              </w:rPr>
            </w:pPr>
            <w:r>
              <w:rPr>
                <w:rFonts w:ascii="Arial" w:cs="Arial" w:eastAsia="Arial" w:hAnsi="Arial"/>
                <w:sz w:val="14"/>
                <w:szCs w:val="14"/>
                <w:b w:val="1"/>
                <w:bCs w:val="1"/>
                <w:color w:val="auto"/>
              </w:rPr>
              <w:t>6199</w:t>
            </w:r>
          </w:p>
        </w:tc>
        <w:tc>
          <w:tcPr>
            <w:tcW w:w="1660" w:type="dxa"/>
            <w:vAlign w:val="bottom"/>
          </w:tcPr>
          <w:p>
            <w:pPr>
              <w:jc w:val="right"/>
              <w:ind w:right="323"/>
              <w:spacing w:after="0"/>
              <w:rPr>
                <w:sz w:val="20"/>
                <w:szCs w:val="20"/>
                <w:color w:val="auto"/>
              </w:rPr>
            </w:pPr>
            <w:r>
              <w:rPr>
                <w:rFonts w:ascii="Arial" w:cs="Arial" w:eastAsia="Arial" w:hAnsi="Arial"/>
                <w:sz w:val="14"/>
                <w:szCs w:val="14"/>
                <w:b w:val="1"/>
                <w:bCs w:val="1"/>
                <w:color w:val="auto"/>
              </w:rPr>
              <w:t>20-8280144</w:t>
            </w:r>
          </w:p>
        </w:tc>
      </w:tr>
      <w:tr>
        <w:trPr>
          <w:trHeight w:val="116"/>
        </w:trPr>
        <w:tc>
          <w:tcPr>
            <w:tcW w:w="1760" w:type="dxa"/>
            <w:vAlign w:val="bottom"/>
          </w:tcPr>
          <w:p>
            <w:pPr>
              <w:jc w:val="center"/>
              <w:ind w:right="43"/>
              <w:spacing w:after="0" w:line="116" w:lineRule="exact"/>
              <w:rPr>
                <w:sz w:val="20"/>
                <w:szCs w:val="20"/>
                <w:color w:val="auto"/>
              </w:rPr>
            </w:pPr>
            <w:r>
              <w:rPr>
                <w:rFonts w:ascii="Arial" w:cs="Arial" w:eastAsia="Arial" w:hAnsi="Arial"/>
                <w:sz w:val="11"/>
                <w:szCs w:val="11"/>
                <w:b w:val="1"/>
                <w:bCs w:val="1"/>
                <w:color w:val="auto"/>
              </w:rPr>
              <w:t>(State or other jurisdiction of</w:t>
            </w:r>
          </w:p>
        </w:tc>
        <w:tc>
          <w:tcPr>
            <w:tcW w:w="56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(Primary Standard Industrial</w:t>
            </w:r>
          </w:p>
        </w:tc>
        <w:tc>
          <w:tcPr>
            <w:tcW w:w="1660" w:type="dxa"/>
            <w:vAlign w:val="bottom"/>
          </w:tcPr>
          <w:p>
            <w:pPr>
              <w:jc w:val="center"/>
              <w:ind w:left="103"/>
              <w:spacing w:after="0" w:line="116" w:lineRule="exact"/>
              <w:rPr>
                <w:sz w:val="20"/>
                <w:szCs w:val="20"/>
                <w:color w:val="auto"/>
              </w:rPr>
            </w:pPr>
            <w:r>
              <w:rPr>
                <w:rFonts w:ascii="Arial" w:cs="Arial" w:eastAsia="Arial" w:hAnsi="Arial"/>
                <w:sz w:val="11"/>
                <w:szCs w:val="11"/>
                <w:b w:val="1"/>
                <w:bCs w:val="1"/>
                <w:color w:val="auto"/>
              </w:rPr>
              <w:t>(I.R.S. Employer</w:t>
            </w:r>
          </w:p>
        </w:tc>
      </w:tr>
      <w:tr>
        <w:trPr>
          <w:trHeight w:val="153"/>
        </w:trPr>
        <w:tc>
          <w:tcPr>
            <w:tcW w:w="1760" w:type="dxa"/>
            <w:vAlign w:val="bottom"/>
          </w:tcPr>
          <w:p>
            <w:pPr>
              <w:jc w:val="center"/>
              <w:ind w:right="63"/>
              <w:spacing w:after="0"/>
              <w:rPr>
                <w:sz w:val="20"/>
                <w:szCs w:val="20"/>
                <w:color w:val="auto"/>
              </w:rPr>
            </w:pPr>
            <w:r>
              <w:rPr>
                <w:rFonts w:ascii="Arial" w:cs="Arial" w:eastAsia="Arial" w:hAnsi="Arial"/>
                <w:sz w:val="11"/>
                <w:szCs w:val="11"/>
                <w:b w:val="1"/>
                <w:bCs w:val="1"/>
                <w:color w:val="auto"/>
              </w:rPr>
              <w:t>incorporation or organization)</w:t>
            </w: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Classification Code Number)</w:t>
            </w:r>
          </w:p>
        </w:tc>
        <w:tc>
          <w:tcPr>
            <w:tcW w:w="1660" w:type="dxa"/>
            <w:vAlign w:val="bottom"/>
          </w:tcPr>
          <w:p>
            <w:pPr>
              <w:jc w:val="center"/>
              <w:ind w:left="83"/>
              <w:spacing w:after="0"/>
              <w:rPr>
                <w:sz w:val="20"/>
                <w:szCs w:val="20"/>
                <w:color w:val="auto"/>
              </w:rPr>
            </w:pPr>
            <w:r>
              <w:rPr>
                <w:rFonts w:ascii="Arial" w:cs="Arial" w:eastAsia="Arial" w:hAnsi="Arial"/>
                <w:sz w:val="11"/>
                <w:szCs w:val="11"/>
                <w:b w:val="1"/>
                <w:bCs w:val="1"/>
                <w:color w:val="auto"/>
              </w:rPr>
              <w:t>Identification Number)</w:t>
            </w:r>
          </w:p>
        </w:tc>
      </w:tr>
      <w:tr>
        <w:trPr>
          <w:trHeight w:val="278"/>
        </w:trPr>
        <w:tc>
          <w:tcPr>
            <w:tcW w:w="1760" w:type="dxa"/>
            <w:vAlign w:val="bottom"/>
          </w:tcPr>
          <w:p>
            <w:pPr>
              <w:spacing w:after="0"/>
              <w:rPr>
                <w:sz w:val="24"/>
                <w:szCs w:val="24"/>
                <w:color w:val="auto"/>
              </w:rPr>
            </w:pP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261 Hamilton Avenue</w:t>
            </w:r>
          </w:p>
        </w:tc>
        <w:tc>
          <w:tcPr>
            <w:tcW w:w="1660" w:type="dxa"/>
            <w:vAlign w:val="bottom"/>
          </w:tcPr>
          <w:p>
            <w:pPr>
              <w:spacing w:after="0"/>
              <w:rPr>
                <w:sz w:val="24"/>
                <w:szCs w:val="24"/>
                <w:color w:val="auto"/>
              </w:rPr>
            </w:pPr>
          </w:p>
        </w:tc>
      </w:tr>
      <w:tr>
        <w:trPr>
          <w:trHeight w:val="137"/>
        </w:trPr>
        <w:tc>
          <w:tcPr>
            <w:tcW w:w="1760" w:type="dxa"/>
            <w:vAlign w:val="bottom"/>
          </w:tcPr>
          <w:p>
            <w:pPr>
              <w:spacing w:after="0"/>
              <w:rPr>
                <w:sz w:val="11"/>
                <w:szCs w:val="11"/>
                <w:color w:val="auto"/>
              </w:rPr>
            </w:pP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Palo Alto, California 94301</w:t>
            </w:r>
          </w:p>
        </w:tc>
        <w:tc>
          <w:tcPr>
            <w:tcW w:w="1660" w:type="dxa"/>
            <w:vAlign w:val="bottom"/>
          </w:tcPr>
          <w:p>
            <w:pPr>
              <w:spacing w:after="0"/>
              <w:rPr>
                <w:sz w:val="11"/>
                <w:szCs w:val="11"/>
                <w:color w:val="auto"/>
              </w:rPr>
            </w:pPr>
          </w:p>
        </w:tc>
      </w:tr>
      <w:tr>
        <w:trPr>
          <w:trHeight w:val="128"/>
        </w:trPr>
        <w:tc>
          <w:tcPr>
            <w:tcW w:w="1760" w:type="dxa"/>
            <w:vAlign w:val="bottom"/>
          </w:tcPr>
          <w:p>
            <w:pPr>
              <w:spacing w:after="0"/>
              <w:rPr>
                <w:sz w:val="11"/>
                <w:szCs w:val="11"/>
                <w:color w:val="auto"/>
              </w:rPr>
            </w:pP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(844) 995-8437</w:t>
            </w:r>
          </w:p>
        </w:tc>
        <w:tc>
          <w:tcPr>
            <w:tcW w:w="1660" w:type="dxa"/>
            <w:vAlign w:val="bottom"/>
          </w:tcPr>
          <w:p>
            <w:pPr>
              <w:spacing w:after="0"/>
              <w:rPr>
                <w:sz w:val="11"/>
                <w:szCs w:val="11"/>
                <w:color w:val="auto"/>
              </w:rPr>
            </w:pPr>
          </w:p>
        </w:tc>
      </w:tr>
      <w:tr>
        <w:trPr>
          <w:trHeight w:val="135"/>
        </w:trPr>
        <w:tc>
          <w:tcPr>
            <w:tcW w:w="1760" w:type="dxa"/>
            <w:vAlign w:val="bottom"/>
          </w:tcPr>
          <w:p>
            <w:pPr>
              <w:spacing w:after="0"/>
              <w:rPr>
                <w:sz w:val="11"/>
                <w:szCs w:val="11"/>
                <w:color w:val="auto"/>
              </w:rPr>
            </w:pPr>
          </w:p>
        </w:tc>
        <w:tc>
          <w:tcPr>
            <w:tcW w:w="5680" w:type="dxa"/>
            <w:vAlign w:val="bottom"/>
          </w:tcPr>
          <w:p>
            <w:pPr>
              <w:jc w:val="center"/>
              <w:spacing w:after="0"/>
              <w:rPr>
                <w:sz w:val="20"/>
                <w:szCs w:val="20"/>
                <w:color w:val="auto"/>
              </w:rPr>
            </w:pPr>
            <w:r>
              <w:rPr>
                <w:rFonts w:ascii="Arial" w:cs="Arial" w:eastAsia="Arial" w:hAnsi="Arial"/>
                <w:sz w:val="10"/>
                <w:szCs w:val="10"/>
                <w:b w:val="1"/>
                <w:bCs w:val="1"/>
                <w:color w:val="auto"/>
                <w:w w:val="97"/>
              </w:rPr>
              <w:t>(Address, including zip code, and telephone number, including area code, of registrant’s principal executive offices)</w:t>
            </w:r>
          </w:p>
        </w:tc>
        <w:tc>
          <w:tcPr>
            <w:tcW w:w="1660" w:type="dxa"/>
            <w:vAlign w:val="bottom"/>
          </w:tcPr>
          <w:p>
            <w:pPr>
              <w:spacing w:after="0"/>
              <w:rPr>
                <w:sz w:val="11"/>
                <w:szCs w:val="11"/>
                <w:color w:val="auto"/>
              </w:rPr>
            </w:pPr>
          </w:p>
        </w:tc>
      </w:tr>
      <w:tr>
        <w:trPr>
          <w:trHeight w:val="210"/>
        </w:trPr>
        <w:tc>
          <w:tcPr>
            <w:tcW w:w="1760" w:type="dxa"/>
            <w:vAlign w:val="bottom"/>
          </w:tcPr>
          <w:p>
            <w:pPr>
              <w:spacing w:after="0"/>
              <w:rPr>
                <w:sz w:val="18"/>
                <w:szCs w:val="18"/>
                <w:color w:val="auto"/>
              </w:rPr>
            </w:pP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David Fortunato</w:t>
            </w:r>
          </w:p>
        </w:tc>
        <w:tc>
          <w:tcPr>
            <w:tcW w:w="1660" w:type="dxa"/>
            <w:vAlign w:val="bottom"/>
          </w:tcPr>
          <w:p>
            <w:pPr>
              <w:spacing w:after="0"/>
              <w:rPr>
                <w:sz w:val="18"/>
                <w:szCs w:val="18"/>
                <w:color w:val="auto"/>
              </w:rPr>
            </w:pPr>
          </w:p>
        </w:tc>
      </w:tr>
      <w:tr>
        <w:trPr>
          <w:trHeight w:val="126"/>
        </w:trPr>
        <w:tc>
          <w:tcPr>
            <w:tcW w:w="1760" w:type="dxa"/>
            <w:vAlign w:val="bottom"/>
          </w:tcPr>
          <w:p>
            <w:pPr>
              <w:spacing w:after="0"/>
              <w:rPr>
                <w:sz w:val="10"/>
                <w:szCs w:val="10"/>
                <w:color w:val="auto"/>
              </w:rPr>
            </w:pP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Chief Executive Officer and President</w:t>
            </w:r>
          </w:p>
        </w:tc>
        <w:tc>
          <w:tcPr>
            <w:tcW w:w="1660" w:type="dxa"/>
            <w:vAlign w:val="bottom"/>
          </w:tcPr>
          <w:p>
            <w:pPr>
              <w:spacing w:after="0"/>
              <w:rPr>
                <w:sz w:val="10"/>
                <w:szCs w:val="10"/>
                <w:color w:val="auto"/>
              </w:rPr>
            </w:pPr>
          </w:p>
        </w:tc>
      </w:tr>
      <w:tr>
        <w:trPr>
          <w:trHeight w:val="137"/>
        </w:trPr>
        <w:tc>
          <w:tcPr>
            <w:tcW w:w="1760" w:type="dxa"/>
            <w:vAlign w:val="bottom"/>
          </w:tcPr>
          <w:p>
            <w:pPr>
              <w:spacing w:after="0"/>
              <w:rPr>
                <w:sz w:val="11"/>
                <w:szCs w:val="11"/>
                <w:color w:val="auto"/>
              </w:rPr>
            </w:pP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Wealthfront Corporation</w:t>
            </w:r>
          </w:p>
        </w:tc>
        <w:tc>
          <w:tcPr>
            <w:tcW w:w="1660" w:type="dxa"/>
            <w:vAlign w:val="bottom"/>
          </w:tcPr>
          <w:p>
            <w:pPr>
              <w:spacing w:after="0"/>
              <w:rPr>
                <w:sz w:val="11"/>
                <w:szCs w:val="11"/>
                <w:color w:val="auto"/>
              </w:rPr>
            </w:pPr>
          </w:p>
        </w:tc>
      </w:tr>
      <w:tr>
        <w:trPr>
          <w:trHeight w:val="137"/>
        </w:trPr>
        <w:tc>
          <w:tcPr>
            <w:tcW w:w="1760" w:type="dxa"/>
            <w:vAlign w:val="bottom"/>
          </w:tcPr>
          <w:p>
            <w:pPr>
              <w:spacing w:after="0"/>
              <w:rPr>
                <w:sz w:val="11"/>
                <w:szCs w:val="11"/>
                <w:color w:val="auto"/>
              </w:rPr>
            </w:pP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261 Hamilton Avenue</w:t>
            </w:r>
          </w:p>
        </w:tc>
        <w:tc>
          <w:tcPr>
            <w:tcW w:w="1660" w:type="dxa"/>
            <w:vAlign w:val="bottom"/>
          </w:tcPr>
          <w:p>
            <w:pPr>
              <w:spacing w:after="0"/>
              <w:rPr>
                <w:sz w:val="11"/>
                <w:szCs w:val="11"/>
                <w:color w:val="auto"/>
              </w:rPr>
            </w:pPr>
          </w:p>
        </w:tc>
      </w:tr>
      <w:tr>
        <w:trPr>
          <w:trHeight w:val="137"/>
        </w:trPr>
        <w:tc>
          <w:tcPr>
            <w:tcW w:w="1760" w:type="dxa"/>
            <w:vAlign w:val="bottom"/>
          </w:tcPr>
          <w:p>
            <w:pPr>
              <w:spacing w:after="0"/>
              <w:rPr>
                <w:sz w:val="11"/>
                <w:szCs w:val="11"/>
                <w:color w:val="auto"/>
              </w:rPr>
            </w:pP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Palo Alto, California 94301</w:t>
            </w:r>
          </w:p>
        </w:tc>
        <w:tc>
          <w:tcPr>
            <w:tcW w:w="1660" w:type="dxa"/>
            <w:vAlign w:val="bottom"/>
          </w:tcPr>
          <w:p>
            <w:pPr>
              <w:spacing w:after="0"/>
              <w:rPr>
                <w:sz w:val="11"/>
                <w:szCs w:val="11"/>
                <w:color w:val="auto"/>
              </w:rPr>
            </w:pPr>
          </w:p>
        </w:tc>
      </w:tr>
      <w:tr>
        <w:trPr>
          <w:trHeight w:val="118"/>
        </w:trPr>
        <w:tc>
          <w:tcPr>
            <w:tcW w:w="1760" w:type="dxa"/>
            <w:vAlign w:val="bottom"/>
          </w:tcPr>
          <w:p>
            <w:pPr>
              <w:spacing w:after="0"/>
              <w:rPr>
                <w:sz w:val="10"/>
                <w:szCs w:val="10"/>
                <w:color w:val="auto"/>
              </w:rPr>
            </w:pPr>
          </w:p>
        </w:tc>
        <w:tc>
          <w:tcPr>
            <w:tcW w:w="568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rPr>
              <w:t>(844) 995-8437</w:t>
            </w:r>
          </w:p>
        </w:tc>
        <w:tc>
          <w:tcPr>
            <w:tcW w:w="1660" w:type="dxa"/>
            <w:vAlign w:val="bottom"/>
          </w:tcPr>
          <w:p>
            <w:pPr>
              <w:spacing w:after="0"/>
              <w:rPr>
                <w:sz w:val="10"/>
                <w:szCs w:val="10"/>
                <w:color w:val="auto"/>
              </w:rPr>
            </w:pPr>
          </w:p>
        </w:tc>
      </w:tr>
      <w:tr>
        <w:trPr>
          <w:trHeight w:val="135"/>
        </w:trPr>
        <w:tc>
          <w:tcPr>
            <w:tcW w:w="1760" w:type="dxa"/>
            <w:vAlign w:val="bottom"/>
          </w:tcPr>
          <w:p>
            <w:pPr>
              <w:spacing w:after="0"/>
              <w:rPr>
                <w:sz w:val="11"/>
                <w:szCs w:val="11"/>
                <w:color w:val="auto"/>
              </w:rPr>
            </w:pPr>
          </w:p>
        </w:tc>
        <w:tc>
          <w:tcPr>
            <w:tcW w:w="5680" w:type="dxa"/>
            <w:vAlign w:val="bottom"/>
          </w:tcPr>
          <w:p>
            <w:pPr>
              <w:jc w:val="center"/>
              <w:spacing w:after="0"/>
              <w:rPr>
                <w:sz w:val="20"/>
                <w:szCs w:val="20"/>
                <w:color w:val="auto"/>
              </w:rPr>
            </w:pPr>
            <w:r>
              <w:rPr>
                <w:rFonts w:ascii="Arial" w:cs="Arial" w:eastAsia="Arial" w:hAnsi="Arial"/>
                <w:sz w:val="10"/>
                <w:szCs w:val="10"/>
                <w:b w:val="1"/>
                <w:bCs w:val="1"/>
                <w:color w:val="auto"/>
                <w:w w:val="97"/>
              </w:rPr>
              <w:t>(Name, address, including zip code, and telephone number, including area code, of agent for service)</w:t>
            </w:r>
          </w:p>
        </w:tc>
        <w:tc>
          <w:tcPr>
            <w:tcW w:w="1660" w:type="dxa"/>
            <w:vAlign w:val="bottom"/>
          </w:tcPr>
          <w:p>
            <w:pPr>
              <w:spacing w:after="0"/>
              <w:rPr>
                <w:sz w:val="11"/>
                <w:szCs w:val="11"/>
                <w:color w:val="auto"/>
              </w:rPr>
            </w:pPr>
          </w:p>
        </w:tc>
      </w:tr>
      <w:tr>
        <w:trPr>
          <w:trHeight w:val="252"/>
        </w:trPr>
        <w:tc>
          <w:tcPr>
            <w:tcW w:w="1760" w:type="dxa"/>
            <w:vAlign w:val="bottom"/>
          </w:tcPr>
          <w:p>
            <w:pPr>
              <w:jc w:val="center"/>
              <w:ind w:right="43"/>
              <w:spacing w:after="0"/>
              <w:rPr>
                <w:sz w:val="20"/>
                <w:szCs w:val="20"/>
                <w:color w:val="auto"/>
              </w:rPr>
            </w:pPr>
            <w:r>
              <w:rPr>
                <w:rFonts w:ascii="Arial" w:cs="Arial" w:eastAsia="Arial" w:hAnsi="Arial"/>
                <w:sz w:val="11"/>
                <w:szCs w:val="11"/>
                <w:b w:val="1"/>
                <w:bCs w:val="1"/>
                <w:color w:val="auto"/>
              </w:rPr>
              <w:t>Michael A. Brown</w:t>
            </w: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Lauren Lin</w:t>
            </w:r>
          </w:p>
        </w:tc>
        <w:tc>
          <w:tcPr>
            <w:tcW w:w="1660" w:type="dxa"/>
            <w:vAlign w:val="bottom"/>
          </w:tcPr>
          <w:p>
            <w:pPr>
              <w:jc w:val="center"/>
              <w:ind w:left="83"/>
              <w:spacing w:after="0"/>
              <w:rPr>
                <w:sz w:val="20"/>
                <w:szCs w:val="20"/>
                <w:color w:val="auto"/>
              </w:rPr>
            </w:pPr>
            <w:r>
              <w:rPr>
                <w:rFonts w:ascii="Arial" w:cs="Arial" w:eastAsia="Arial" w:hAnsi="Arial"/>
                <w:sz w:val="11"/>
                <w:szCs w:val="11"/>
                <w:b w:val="1"/>
                <w:bCs w:val="1"/>
                <w:color w:val="auto"/>
              </w:rPr>
              <w:t>Richard A. Kline</w:t>
            </w:r>
          </w:p>
        </w:tc>
      </w:tr>
      <w:tr>
        <w:trPr>
          <w:trHeight w:val="137"/>
        </w:trPr>
        <w:tc>
          <w:tcPr>
            <w:tcW w:w="1760" w:type="dxa"/>
            <w:vAlign w:val="bottom"/>
          </w:tcPr>
          <w:p>
            <w:pPr>
              <w:jc w:val="center"/>
              <w:ind w:right="43"/>
              <w:spacing w:after="0"/>
              <w:rPr>
                <w:sz w:val="20"/>
                <w:szCs w:val="20"/>
                <w:color w:val="auto"/>
              </w:rPr>
            </w:pPr>
            <w:r>
              <w:rPr>
                <w:rFonts w:ascii="Arial" w:cs="Arial" w:eastAsia="Arial" w:hAnsi="Arial"/>
                <w:sz w:val="11"/>
                <w:szCs w:val="11"/>
                <w:b w:val="1"/>
                <w:bCs w:val="1"/>
                <w:color w:val="auto"/>
              </w:rPr>
              <w:t>Ran D. Ben-Tzur</w:t>
            </w: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Chief Legal Officer</w:t>
            </w:r>
          </w:p>
        </w:tc>
        <w:tc>
          <w:tcPr>
            <w:tcW w:w="1660" w:type="dxa"/>
            <w:vAlign w:val="bottom"/>
          </w:tcPr>
          <w:p>
            <w:pPr>
              <w:jc w:val="center"/>
              <w:ind w:left="83"/>
              <w:spacing w:after="0"/>
              <w:rPr>
                <w:sz w:val="20"/>
                <w:szCs w:val="20"/>
                <w:color w:val="auto"/>
              </w:rPr>
            </w:pPr>
            <w:r>
              <w:rPr>
                <w:rFonts w:ascii="Arial" w:cs="Arial" w:eastAsia="Arial" w:hAnsi="Arial"/>
                <w:sz w:val="11"/>
                <w:szCs w:val="11"/>
                <w:b w:val="1"/>
                <w:bCs w:val="1"/>
                <w:color w:val="auto"/>
              </w:rPr>
              <w:t>Sarah B. Axtell</w:t>
            </w:r>
          </w:p>
        </w:tc>
      </w:tr>
      <w:tr>
        <w:trPr>
          <w:trHeight w:val="137"/>
        </w:trPr>
        <w:tc>
          <w:tcPr>
            <w:tcW w:w="1760" w:type="dxa"/>
            <w:vAlign w:val="bottom"/>
          </w:tcPr>
          <w:p>
            <w:pPr>
              <w:jc w:val="center"/>
              <w:ind w:right="43"/>
              <w:spacing w:after="0"/>
              <w:rPr>
                <w:sz w:val="20"/>
                <w:szCs w:val="20"/>
                <w:color w:val="auto"/>
              </w:rPr>
            </w:pPr>
            <w:r>
              <w:rPr>
                <w:rFonts w:ascii="Arial" w:cs="Arial" w:eastAsia="Arial" w:hAnsi="Arial"/>
                <w:sz w:val="11"/>
                <w:szCs w:val="11"/>
                <w:b w:val="1"/>
                <w:bCs w:val="1"/>
                <w:color w:val="auto"/>
              </w:rPr>
              <w:t>Ari Haber</w:t>
            </w: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Wealthfront Corporation</w:t>
            </w:r>
          </w:p>
        </w:tc>
        <w:tc>
          <w:tcPr>
            <w:tcW w:w="1660" w:type="dxa"/>
            <w:vAlign w:val="bottom"/>
          </w:tcPr>
          <w:p>
            <w:pPr>
              <w:jc w:val="center"/>
              <w:ind w:left="103"/>
              <w:spacing w:after="0"/>
              <w:rPr>
                <w:sz w:val="20"/>
                <w:szCs w:val="20"/>
                <w:color w:val="auto"/>
              </w:rPr>
            </w:pPr>
            <w:r>
              <w:rPr>
                <w:rFonts w:ascii="Arial" w:cs="Arial" w:eastAsia="Arial" w:hAnsi="Arial"/>
                <w:sz w:val="11"/>
                <w:szCs w:val="11"/>
                <w:b w:val="1"/>
                <w:bCs w:val="1"/>
                <w:color w:val="auto"/>
              </w:rPr>
              <w:t>Zuzanna V. Gruca</w:t>
            </w:r>
          </w:p>
        </w:tc>
      </w:tr>
      <w:tr>
        <w:trPr>
          <w:trHeight w:val="137"/>
        </w:trPr>
        <w:tc>
          <w:tcPr>
            <w:tcW w:w="1760" w:type="dxa"/>
            <w:vAlign w:val="bottom"/>
          </w:tcPr>
          <w:p>
            <w:pPr>
              <w:jc w:val="center"/>
              <w:ind w:right="43"/>
              <w:spacing w:after="0"/>
              <w:rPr>
                <w:sz w:val="20"/>
                <w:szCs w:val="20"/>
                <w:color w:val="auto"/>
              </w:rPr>
            </w:pPr>
            <w:r>
              <w:rPr>
                <w:rFonts w:ascii="Arial" w:cs="Arial" w:eastAsia="Arial" w:hAnsi="Arial"/>
                <w:sz w:val="11"/>
                <w:szCs w:val="11"/>
                <w:b w:val="1"/>
                <w:bCs w:val="1"/>
                <w:color w:val="auto"/>
              </w:rPr>
              <w:t>Chelsea Anderson</w:t>
            </w: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261 Hamilton Avenue</w:t>
            </w:r>
          </w:p>
        </w:tc>
        <w:tc>
          <w:tcPr>
            <w:tcW w:w="1660" w:type="dxa"/>
            <w:vAlign w:val="bottom"/>
          </w:tcPr>
          <w:p>
            <w:pPr>
              <w:jc w:val="center"/>
              <w:ind w:left="83"/>
              <w:spacing w:after="0"/>
              <w:rPr>
                <w:sz w:val="20"/>
                <w:szCs w:val="20"/>
                <w:color w:val="auto"/>
              </w:rPr>
            </w:pPr>
            <w:r>
              <w:rPr>
                <w:rFonts w:ascii="Arial" w:cs="Arial" w:eastAsia="Arial" w:hAnsi="Arial"/>
                <w:sz w:val="11"/>
                <w:szCs w:val="11"/>
                <w:b w:val="1"/>
                <w:bCs w:val="1"/>
                <w:color w:val="auto"/>
              </w:rPr>
              <w:t>Latham &amp; Watkins LLP</w:t>
            </w:r>
          </w:p>
        </w:tc>
      </w:tr>
      <w:tr>
        <w:trPr>
          <w:trHeight w:val="137"/>
        </w:trPr>
        <w:tc>
          <w:tcPr>
            <w:tcW w:w="1760" w:type="dxa"/>
            <w:vAlign w:val="bottom"/>
          </w:tcPr>
          <w:p>
            <w:pPr>
              <w:jc w:val="center"/>
              <w:ind w:right="43"/>
              <w:spacing w:after="0"/>
              <w:rPr>
                <w:sz w:val="20"/>
                <w:szCs w:val="20"/>
                <w:color w:val="auto"/>
              </w:rPr>
            </w:pPr>
            <w:r>
              <w:rPr>
                <w:rFonts w:ascii="Arial" w:cs="Arial" w:eastAsia="Arial" w:hAnsi="Arial"/>
                <w:sz w:val="11"/>
                <w:szCs w:val="11"/>
                <w:b w:val="1"/>
                <w:bCs w:val="1"/>
                <w:color w:val="auto"/>
              </w:rPr>
              <w:t>Fenwick &amp; West LLP</w:t>
            </w: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Palo Alto, California 94301</w:t>
            </w:r>
          </w:p>
        </w:tc>
        <w:tc>
          <w:tcPr>
            <w:tcW w:w="1660" w:type="dxa"/>
            <w:vAlign w:val="bottom"/>
          </w:tcPr>
          <w:p>
            <w:pPr>
              <w:jc w:val="center"/>
              <w:ind w:left="83"/>
              <w:spacing w:after="0"/>
              <w:rPr>
                <w:sz w:val="20"/>
                <w:szCs w:val="20"/>
                <w:color w:val="auto"/>
              </w:rPr>
            </w:pPr>
            <w:r>
              <w:rPr>
                <w:rFonts w:ascii="Arial" w:cs="Arial" w:eastAsia="Arial" w:hAnsi="Arial"/>
                <w:sz w:val="11"/>
                <w:szCs w:val="11"/>
                <w:b w:val="1"/>
                <w:bCs w:val="1"/>
                <w:color w:val="auto"/>
              </w:rPr>
              <w:t>140 Scott Drive</w:t>
            </w:r>
          </w:p>
        </w:tc>
      </w:tr>
      <w:tr>
        <w:trPr>
          <w:trHeight w:val="126"/>
        </w:trPr>
        <w:tc>
          <w:tcPr>
            <w:tcW w:w="1760" w:type="dxa"/>
            <w:vAlign w:val="bottom"/>
          </w:tcPr>
          <w:p>
            <w:pPr>
              <w:jc w:val="center"/>
              <w:ind w:right="63"/>
              <w:spacing w:after="0"/>
              <w:rPr>
                <w:sz w:val="20"/>
                <w:szCs w:val="20"/>
                <w:color w:val="auto"/>
              </w:rPr>
            </w:pPr>
            <w:r>
              <w:rPr>
                <w:rFonts w:ascii="Arial" w:cs="Arial" w:eastAsia="Arial" w:hAnsi="Arial"/>
                <w:sz w:val="11"/>
                <w:szCs w:val="11"/>
                <w:b w:val="1"/>
                <w:bCs w:val="1"/>
                <w:color w:val="auto"/>
              </w:rPr>
              <w:t>730 Arizona Avenue, 1st Floor</w:t>
            </w:r>
          </w:p>
        </w:tc>
        <w:tc>
          <w:tcPr>
            <w:tcW w:w="5680" w:type="dxa"/>
            <w:vAlign w:val="bottom"/>
          </w:tcPr>
          <w:p>
            <w:pPr>
              <w:jc w:val="center"/>
              <w:spacing w:after="0"/>
              <w:rPr>
                <w:sz w:val="20"/>
                <w:szCs w:val="20"/>
                <w:color w:val="auto"/>
              </w:rPr>
            </w:pPr>
            <w:r>
              <w:rPr>
                <w:rFonts w:ascii="Arial" w:cs="Arial" w:eastAsia="Arial" w:hAnsi="Arial"/>
                <w:sz w:val="11"/>
                <w:szCs w:val="11"/>
                <w:b w:val="1"/>
                <w:bCs w:val="1"/>
                <w:color w:val="auto"/>
              </w:rPr>
              <w:t>(844) 995-8437</w:t>
            </w:r>
          </w:p>
        </w:tc>
        <w:tc>
          <w:tcPr>
            <w:tcW w:w="1660" w:type="dxa"/>
            <w:vAlign w:val="bottom"/>
          </w:tcPr>
          <w:p>
            <w:pPr>
              <w:jc w:val="center"/>
              <w:ind w:left="83"/>
              <w:spacing w:after="0"/>
              <w:rPr>
                <w:sz w:val="20"/>
                <w:szCs w:val="20"/>
                <w:color w:val="auto"/>
              </w:rPr>
            </w:pPr>
            <w:r>
              <w:rPr>
                <w:rFonts w:ascii="Arial" w:cs="Arial" w:eastAsia="Arial" w:hAnsi="Arial"/>
                <w:sz w:val="11"/>
                <w:szCs w:val="11"/>
                <w:b w:val="1"/>
                <w:bCs w:val="1"/>
                <w:color w:val="auto"/>
              </w:rPr>
              <w:t>Menlo Park, California 94025</w:t>
            </w:r>
          </w:p>
        </w:tc>
      </w:tr>
      <w:tr>
        <w:trPr>
          <w:trHeight w:val="137"/>
        </w:trPr>
        <w:tc>
          <w:tcPr>
            <w:tcW w:w="1760" w:type="dxa"/>
            <w:vAlign w:val="bottom"/>
          </w:tcPr>
          <w:p>
            <w:pPr>
              <w:jc w:val="center"/>
              <w:ind w:right="63"/>
              <w:spacing w:after="0"/>
              <w:rPr>
                <w:sz w:val="20"/>
                <w:szCs w:val="20"/>
                <w:color w:val="auto"/>
              </w:rPr>
            </w:pPr>
            <w:r>
              <w:rPr>
                <w:rFonts w:ascii="Arial" w:cs="Arial" w:eastAsia="Arial" w:hAnsi="Arial"/>
                <w:sz w:val="11"/>
                <w:szCs w:val="11"/>
                <w:b w:val="1"/>
                <w:bCs w:val="1"/>
                <w:color w:val="auto"/>
              </w:rPr>
              <w:t>Santa Monica, California 90401</w:t>
            </w:r>
          </w:p>
        </w:tc>
        <w:tc>
          <w:tcPr>
            <w:tcW w:w="5680" w:type="dxa"/>
            <w:vAlign w:val="bottom"/>
          </w:tcPr>
          <w:p>
            <w:pPr>
              <w:spacing w:after="0"/>
              <w:rPr>
                <w:sz w:val="11"/>
                <w:szCs w:val="11"/>
                <w:color w:val="auto"/>
              </w:rPr>
            </w:pPr>
          </w:p>
        </w:tc>
        <w:tc>
          <w:tcPr>
            <w:tcW w:w="1660" w:type="dxa"/>
            <w:vAlign w:val="bottom"/>
          </w:tcPr>
          <w:p>
            <w:pPr>
              <w:jc w:val="right"/>
              <w:ind w:right="323"/>
              <w:spacing w:after="0"/>
              <w:rPr>
                <w:sz w:val="20"/>
                <w:szCs w:val="20"/>
                <w:color w:val="auto"/>
              </w:rPr>
            </w:pPr>
            <w:r>
              <w:rPr>
                <w:rFonts w:ascii="Arial" w:cs="Arial" w:eastAsia="Arial" w:hAnsi="Arial"/>
                <w:sz w:val="11"/>
                <w:szCs w:val="11"/>
                <w:b w:val="1"/>
                <w:bCs w:val="1"/>
                <w:color w:val="auto"/>
              </w:rPr>
              <w:t>(650) 328-4600</w:t>
            </w:r>
          </w:p>
        </w:tc>
      </w:tr>
      <w:tr>
        <w:trPr>
          <w:trHeight w:val="153"/>
        </w:trPr>
        <w:tc>
          <w:tcPr>
            <w:tcW w:w="1760" w:type="dxa"/>
            <w:vAlign w:val="bottom"/>
          </w:tcPr>
          <w:p>
            <w:pPr>
              <w:jc w:val="center"/>
              <w:ind w:right="63"/>
              <w:spacing w:after="0"/>
              <w:rPr>
                <w:sz w:val="20"/>
                <w:szCs w:val="20"/>
                <w:color w:val="auto"/>
              </w:rPr>
            </w:pPr>
            <w:r>
              <w:rPr>
                <w:rFonts w:ascii="Arial" w:cs="Arial" w:eastAsia="Arial" w:hAnsi="Arial"/>
                <w:sz w:val="11"/>
                <w:szCs w:val="11"/>
                <w:b w:val="1"/>
                <w:bCs w:val="1"/>
                <w:color w:val="auto"/>
              </w:rPr>
              <w:t>(310) 434-5400</w:t>
            </w:r>
          </w:p>
        </w:tc>
        <w:tc>
          <w:tcPr>
            <w:tcW w:w="568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spacing w:after="0" w:line="14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Approximate date of commencement of proposed sale to the public: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As soon as practicable after the effective date of this registration statement.</w:t>
      </w:r>
    </w:p>
    <w:p>
      <w:pPr>
        <w:spacing w:after="0" w:line="58"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1"/>
          <w:szCs w:val="11"/>
          <w:color w:val="auto"/>
        </w:rPr>
        <w:t>☐</w:t>
      </w:r>
    </w:p>
    <w:p>
      <w:pPr>
        <w:spacing w:after="0" w:line="121" w:lineRule="exact"/>
        <w:rPr>
          <w:sz w:val="24"/>
          <w:szCs w:val="24"/>
          <w:color w:val="auto"/>
        </w:rPr>
      </w:pPr>
    </w:p>
    <w:p>
      <w:pPr>
        <w:ind w:right="180"/>
        <w:spacing w:after="0" w:line="144"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0" w:lineRule="exact"/>
        <w:rPr>
          <w:sz w:val="24"/>
          <w:szCs w:val="24"/>
          <w:color w:val="auto"/>
        </w:rPr>
      </w:pPr>
    </w:p>
    <w:p>
      <w:pPr>
        <w:ind w:right="140"/>
        <w:spacing w:after="0" w:line="149"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0" w:lineRule="exact"/>
        <w:rPr>
          <w:sz w:val="24"/>
          <w:szCs w:val="24"/>
          <w:color w:val="auto"/>
        </w:rPr>
      </w:pPr>
    </w:p>
    <w:p>
      <w:pPr>
        <w:ind w:right="120"/>
        <w:spacing w:after="0" w:line="144"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0" w:lineRule="exact"/>
        <w:rPr>
          <w:sz w:val="24"/>
          <w:szCs w:val="24"/>
          <w:color w:val="auto"/>
        </w:rPr>
      </w:pPr>
    </w:p>
    <w:p>
      <w:pPr>
        <w:ind w:right="100"/>
        <w:spacing w:after="0" w:line="299"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4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98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5280" w:type="dxa"/>
            <w:vAlign w:val="bottom"/>
          </w:tcPr>
          <w:p>
            <w:pPr>
              <w:ind w:left="3560"/>
              <w:spacing w:after="0"/>
              <w:rPr>
                <w:sz w:val="20"/>
                <w:szCs w:val="20"/>
                <w:color w:val="auto"/>
              </w:rPr>
            </w:pPr>
            <w:r>
              <w:rPr>
                <w:rFonts w:ascii="Arial" w:cs="Arial" w:eastAsia="Arial" w:hAnsi="Arial"/>
                <w:sz w:val="11"/>
                <w:szCs w:val="11"/>
                <w:color w:val="auto"/>
              </w:rPr>
              <w:t>Accelerated filer</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89"/>
        </w:trPr>
        <w:tc>
          <w:tcPr>
            <w:tcW w:w="1400" w:type="dxa"/>
            <w:vAlign w:val="bottom"/>
          </w:tcPr>
          <w:p>
            <w:pPr>
              <w:spacing w:after="0"/>
              <w:rPr>
                <w:sz w:val="20"/>
                <w:szCs w:val="20"/>
                <w:color w:val="auto"/>
              </w:rPr>
            </w:pPr>
            <w:r>
              <w:rPr>
                <w:rFonts w:ascii="Arial" w:cs="Arial" w:eastAsia="Arial" w:hAnsi="Arial"/>
                <w:sz w:val="11"/>
                <w:szCs w:val="11"/>
                <w:color w:val="auto"/>
              </w:rPr>
              <w:t>Non-accelerated filer</w:t>
            </w:r>
          </w:p>
        </w:tc>
        <w:tc>
          <w:tcPr>
            <w:tcW w:w="398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5280" w:type="dxa"/>
            <w:vAlign w:val="bottom"/>
          </w:tcPr>
          <w:p>
            <w:pPr>
              <w:ind w:left="3560"/>
              <w:spacing w:after="0"/>
              <w:rPr>
                <w:sz w:val="20"/>
                <w:szCs w:val="20"/>
                <w:color w:val="auto"/>
              </w:rPr>
            </w:pPr>
            <w:r>
              <w:rPr>
                <w:rFonts w:ascii="Arial" w:cs="Arial" w:eastAsia="Arial" w:hAnsi="Arial"/>
                <w:sz w:val="11"/>
                <w:szCs w:val="11"/>
                <w:color w:val="auto"/>
              </w:rPr>
              <w:t>Smaller reporting company</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89"/>
        </w:trPr>
        <w:tc>
          <w:tcPr>
            <w:tcW w:w="1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80" w:type="dxa"/>
            <w:vAlign w:val="bottom"/>
          </w:tcPr>
          <w:p>
            <w:pPr>
              <w:ind w:left="3560"/>
              <w:spacing w:after="0"/>
              <w:rPr>
                <w:sz w:val="20"/>
                <w:szCs w:val="20"/>
                <w:color w:val="auto"/>
              </w:rPr>
            </w:pPr>
            <w:r>
              <w:rPr>
                <w:rFonts w:ascii="Arial" w:cs="Arial" w:eastAsia="Arial" w:hAnsi="Arial"/>
                <w:sz w:val="11"/>
                <w:szCs w:val="11"/>
                <w:color w:val="auto"/>
              </w:rPr>
              <w:t>Emerging growth company</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8" w:lineRule="exact"/>
        <w:rPr>
          <w:sz w:val="24"/>
          <w:szCs w:val="24"/>
          <w:color w:val="auto"/>
        </w:rPr>
      </w:pPr>
    </w:p>
    <w:p>
      <w:pPr>
        <w:ind w:right="220"/>
        <w:spacing w:after="0" w:line="144"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18" w:lineRule="exact"/>
        <w:rPr>
          <w:sz w:val="24"/>
          <w:szCs w:val="24"/>
          <w:color w:val="auto"/>
        </w:rPr>
      </w:pPr>
    </w:p>
    <w:p>
      <w:pPr>
        <w:jc w:val="both"/>
        <w:spacing w:after="0" w:line="284"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280"/>
          </w:cols>
          <w:pgMar w:left="300" w:top="533" w:right="319" w:bottom="1440" w:gutter="0" w:footer="0" w:header="0"/>
        </w:sectPr>
      </w:pPr>
    </w:p>
    <w:bookmarkStart w:id="1" w:name="page2"/>
    <w:bookmarkEnd w:id="1"/>
    <w:p>
      <w:pPr>
        <w:jc w:val="both"/>
        <w:spacing w:after="0" w:line="274" w:lineRule="auto"/>
        <w:rPr>
          <w:sz w:val="20"/>
          <w:szCs w:val="20"/>
          <w:color w:val="auto"/>
        </w:rPr>
      </w:pPr>
      <w:r>
        <w:rPr>
          <w:rFonts w:ascii="Arial" w:cs="Arial" w:eastAsia="Arial" w:hAnsi="Arial"/>
          <w:sz w:val="14"/>
          <w:szCs w:val="14"/>
          <w:b w:val="1"/>
          <w:bCs w:val="1"/>
          <w:color w:val="DE1A1E"/>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these securities and we and the selling stockholders are not soliciting offers to buy these securities in any jurisdiction where the offer or sale is not permitted.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DE1A1E"/>
        </w:rPr>
        <w:t>Subject to Completion. Dated December 2, 2025.</w:t>
      </w:r>
    </w:p>
    <w:p>
      <w:pPr>
        <w:spacing w:after="0" w:line="89"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34,615,384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11430</wp:posOffset>
            </wp:positionV>
            <wp:extent cx="3844925" cy="473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4925" cy="47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Wealthfront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45720</wp:posOffset>
            </wp:positionV>
            <wp:extent cx="12547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4760" cy="6985"/>
                    </a:xfrm>
                    <a:prstGeom prst="rect">
                      <a:avLst/>
                    </a:prstGeom>
                    <a:noFill/>
                  </pic:spPr>
                </pic:pic>
              </a:graphicData>
            </a:graphic>
          </wp:anchor>
        </w:drawing>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This is the initial public offering of shares of common stock of Wealthfront Corporation. We are offering 21,468,038 shares of our common stock and the selling stockholders identified in this prospectus are offering 13,147,346 shares of our common stock in this offering. We will not receive any proceeds from the sale of shares of our common stock by any of the selling stockholders.</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Prior to this offering, there has been no public market for our common stock. It is currently estimated that the initial public offering price per share of our common stock will be between $12.00 and $14.00. We have applied to list our common stock on The Nasdaq Stock Market LLC (“Nasdaq”) under the symbol “WLTH.” This offering is contingent upon final approval of our listing of our common stock on Nasdaq.</w:t>
      </w:r>
    </w:p>
    <w:p>
      <w:pPr>
        <w:spacing w:after="0" w:line="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See the section titled “</w:t>
      </w:r>
      <w:r>
        <w:rPr>
          <w:rFonts w:ascii="Arial" w:cs="Arial" w:eastAsia="Arial" w:hAnsi="Arial"/>
          <w:sz w:val="14"/>
          <w:szCs w:val="14"/>
          <w:b w:val="1"/>
          <w:bCs w:val="1"/>
          <w:i w:val="1"/>
          <w:iCs w:val="1"/>
          <w:u w:val="single" w:color="auto"/>
          <w:color w:val="0000FF"/>
        </w:rPr>
        <w:t>Risk Factors</w:t>
      </w:r>
      <w:r>
        <w:rPr>
          <w:rFonts w:ascii="Arial" w:cs="Arial" w:eastAsia="Arial" w:hAnsi="Arial"/>
          <w:sz w:val="14"/>
          <w:szCs w:val="14"/>
          <w:b w:val="1"/>
          <w:bCs w:val="1"/>
          <w:i w:val="1"/>
          <w:iCs w:val="1"/>
          <w:color w:val="auto"/>
        </w:rPr>
        <w:t xml:space="preserve">” beginning on page </w:t>
      </w:r>
      <w:r>
        <w:rPr>
          <w:rFonts w:ascii="Arial" w:cs="Arial" w:eastAsia="Arial" w:hAnsi="Arial"/>
          <w:sz w:val="14"/>
          <w:szCs w:val="14"/>
          <w:b w:val="1"/>
          <w:bCs w:val="1"/>
          <w:i w:val="1"/>
          <w:iCs w:val="1"/>
          <w:u w:val="single" w:color="auto"/>
          <w:color w:val="0000FF"/>
        </w:rPr>
        <w:t>41</w:t>
      </w:r>
      <w:r>
        <w:rPr>
          <w:rFonts w:ascii="Arial" w:cs="Arial" w:eastAsia="Arial" w:hAnsi="Arial"/>
          <w:sz w:val="14"/>
          <w:szCs w:val="14"/>
          <w:b w:val="1"/>
          <w:bCs w:val="1"/>
          <w:i w:val="1"/>
          <w:iCs w:val="1"/>
          <w:color w:val="auto"/>
        </w:rPr>
        <w:t xml:space="preserve">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52705</wp:posOffset>
            </wp:positionV>
            <wp:extent cx="12547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4760" cy="6985"/>
                    </a:xfrm>
                    <a:prstGeom prst="rect">
                      <a:avLst/>
                    </a:prstGeom>
                    <a:noFill/>
                  </pic:spPr>
                </pic:pic>
              </a:graphicData>
            </a:graphic>
          </wp:anchor>
        </w:drawing>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45720</wp:posOffset>
            </wp:positionV>
            <wp:extent cx="12547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4760" cy="698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20" w:type="dxa"/>
            <w:vAlign w:val="bottom"/>
            <w:vMerge w:val="restart"/>
          </w:tcPr>
          <w:p>
            <w:pPr>
              <w:ind w:left="20"/>
              <w:spacing w:after="0"/>
              <w:rPr>
                <w:sz w:val="20"/>
                <w:szCs w:val="20"/>
                <w:color w:val="auto"/>
              </w:rPr>
            </w:pPr>
            <w:r>
              <w:rPr>
                <w:rFonts w:ascii="Arial" w:cs="Arial" w:eastAsia="Arial" w:hAnsi="Arial"/>
                <w:sz w:val="14"/>
                <w:szCs w:val="14"/>
                <w:color w:val="auto"/>
              </w:rPr>
              <w:t>Initial public offering price</w:t>
            </w:r>
          </w:p>
        </w:tc>
        <w:tc>
          <w:tcPr>
            <w:tcW w:w="1380" w:type="dxa"/>
            <w:vAlign w:val="bottom"/>
            <w:gridSpan w:val="2"/>
          </w:tcPr>
          <w:p>
            <w:pPr>
              <w:ind w:left="380"/>
              <w:spacing w:after="0"/>
              <w:rPr>
                <w:sz w:val="20"/>
                <w:szCs w:val="20"/>
                <w:color w:val="auto"/>
              </w:rPr>
            </w:pPr>
            <w:r>
              <w:rPr>
                <w:rFonts w:ascii="Arial" w:cs="Arial" w:eastAsia="Arial" w:hAnsi="Arial"/>
                <w:sz w:val="11"/>
                <w:szCs w:val="11"/>
                <w:b w:val="1"/>
                <w:bCs w:val="1"/>
                <w:color w:val="auto"/>
              </w:rPr>
              <w:t>Per Share</w:t>
            </w:r>
          </w:p>
        </w:tc>
        <w:tc>
          <w:tcPr>
            <w:tcW w:w="1280" w:type="dxa"/>
            <w:vAlign w:val="bottom"/>
          </w:tcPr>
          <w:p>
            <w:pPr>
              <w:jc w:val="right"/>
              <w:ind w:right="45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5"/>
        </w:trPr>
        <w:tc>
          <w:tcPr>
            <w:tcW w:w="8620" w:type="dxa"/>
            <w:vAlign w:val="bottom"/>
            <w:vMerge w:val="continue"/>
          </w:tcPr>
          <w:p>
            <w:pPr>
              <w:spacing w:after="0"/>
              <w:rPr>
                <w:sz w:val="14"/>
                <w:szCs w:val="14"/>
                <w:color w:val="auto"/>
              </w:rPr>
            </w:pPr>
          </w:p>
        </w:tc>
        <w:tc>
          <w:tcPr>
            <w:tcW w:w="1300" w:type="dxa"/>
            <w:vAlign w:val="bottom"/>
            <w:tcBorders>
              <w:top w:val="single" w:sz="8" w:color="auto"/>
            </w:tcBorders>
          </w:tcPr>
          <w:p>
            <w:pPr>
              <w:jc w:val="right"/>
              <w:ind w:right="113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tcBorders>
              <w:top w:val="single" w:sz="8" w:color="auto"/>
            </w:tcBorders>
          </w:tcPr>
          <w:p>
            <w:pPr>
              <w:jc w:val="right"/>
              <w:ind w:right="1133"/>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79"/>
        </w:trPr>
        <w:tc>
          <w:tcPr>
            <w:tcW w:w="8620" w:type="dxa"/>
            <w:vAlign w:val="bottom"/>
          </w:tcPr>
          <w:p>
            <w:pPr>
              <w:ind w:left="20"/>
              <w:spacing w:after="0" w:line="179"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8"/>
                <w:szCs w:val="18"/>
                <w:color w:val="auto"/>
                <w:vertAlign w:val="superscript"/>
              </w:rPr>
              <w:t>(1)</w:t>
            </w:r>
          </w:p>
        </w:tc>
        <w:tc>
          <w:tcPr>
            <w:tcW w:w="1300" w:type="dxa"/>
            <w:vAlign w:val="bottom"/>
          </w:tcPr>
          <w:p>
            <w:pPr>
              <w:jc w:val="right"/>
              <w:ind w:right="113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80" w:type="dxa"/>
            <w:vAlign w:val="bottom"/>
          </w:tcPr>
          <w:p>
            <w:pPr>
              <w:jc w:val="right"/>
              <w:ind w:right="1133"/>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79"/>
        </w:trPr>
        <w:tc>
          <w:tcPr>
            <w:tcW w:w="8620" w:type="dxa"/>
            <w:vAlign w:val="bottom"/>
          </w:tcPr>
          <w:p>
            <w:pPr>
              <w:ind w:left="20"/>
              <w:spacing w:after="0"/>
              <w:rPr>
                <w:sz w:val="20"/>
                <w:szCs w:val="20"/>
                <w:color w:val="auto"/>
              </w:rPr>
            </w:pPr>
            <w:r>
              <w:rPr>
                <w:rFonts w:ascii="Arial" w:cs="Arial" w:eastAsia="Arial" w:hAnsi="Arial"/>
                <w:sz w:val="14"/>
                <w:szCs w:val="14"/>
                <w:color w:val="auto"/>
              </w:rPr>
              <w:t>Proceeds, before expenses, to Wealthfront Corporation</w:t>
            </w:r>
          </w:p>
        </w:tc>
        <w:tc>
          <w:tcPr>
            <w:tcW w:w="1300" w:type="dxa"/>
            <w:vAlign w:val="bottom"/>
          </w:tcPr>
          <w:p>
            <w:pPr>
              <w:jc w:val="right"/>
              <w:ind w:right="113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80" w:type="dxa"/>
            <w:vAlign w:val="bottom"/>
          </w:tcPr>
          <w:p>
            <w:pPr>
              <w:jc w:val="right"/>
              <w:ind w:right="1133"/>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85"/>
        </w:trPr>
        <w:tc>
          <w:tcPr>
            <w:tcW w:w="8620" w:type="dxa"/>
            <w:vAlign w:val="bottom"/>
          </w:tcPr>
          <w:p>
            <w:pPr>
              <w:ind w:left="20"/>
              <w:spacing w:after="0"/>
              <w:rPr>
                <w:sz w:val="20"/>
                <w:szCs w:val="20"/>
                <w:color w:val="auto"/>
              </w:rPr>
            </w:pPr>
            <w:r>
              <w:rPr>
                <w:rFonts w:ascii="Arial" w:cs="Arial" w:eastAsia="Arial" w:hAnsi="Arial"/>
                <w:sz w:val="14"/>
                <w:szCs w:val="14"/>
                <w:color w:val="auto"/>
              </w:rPr>
              <w:t>Proceeds, before expenses, to the selling stockholders</w:t>
            </w:r>
          </w:p>
        </w:tc>
        <w:tc>
          <w:tcPr>
            <w:tcW w:w="1300" w:type="dxa"/>
            <w:vAlign w:val="bottom"/>
          </w:tcPr>
          <w:p>
            <w:pPr>
              <w:jc w:val="right"/>
              <w:ind w:right="113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80" w:type="dxa"/>
            <w:vAlign w:val="bottom"/>
          </w:tcPr>
          <w:p>
            <w:pPr>
              <w:jc w:val="right"/>
              <w:ind w:right="1133"/>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Arial" w:cs="Arial" w:eastAsia="Arial" w:hAnsi="Arial"/>
                <w:sz w:val="13"/>
                <w:szCs w:val="13"/>
                <w:color w:val="auto"/>
              </w:rPr>
              <w:t>______________</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620" w:type="dxa"/>
            <w:vAlign w:val="bottom"/>
          </w:tcPr>
          <w:p>
            <w:pPr>
              <w:spacing w:after="0"/>
              <w:rPr>
                <w:sz w:val="20"/>
                <w:szCs w:val="20"/>
                <w:color w:val="auto"/>
              </w:rPr>
            </w:pPr>
            <w:r>
              <w:rPr>
                <w:rFonts w:ascii="Arial" w:cs="Arial" w:eastAsia="Arial" w:hAnsi="Arial"/>
                <w:sz w:val="13"/>
                <w:szCs w:val="13"/>
                <w:color w:val="auto"/>
              </w:rPr>
              <w:t>(1)  See the section titled “Underwriting (Conflicts of Interest)” for additional information regarding compensation payable to the underwriters.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To the extent that the underwriters sell more than 34,615,384 shares of common stock, the underwriters have the option for a period of 30 days from the date of this prospectus to purchase up to an additional 5,192,308 shares of common stock from us at the initial public offering price less underwriting discounts and commissions.</w:t>
      </w:r>
    </w:p>
    <w:p>
      <w:pPr>
        <w:jc w:val="both"/>
        <w:spacing w:after="0" w:line="257" w:lineRule="auto"/>
        <w:rPr>
          <w:sz w:val="20"/>
          <w:szCs w:val="20"/>
          <w:color w:val="auto"/>
        </w:rPr>
      </w:pPr>
      <w:r>
        <w:rPr>
          <w:rFonts w:ascii="Arial" w:cs="Arial" w:eastAsia="Arial" w:hAnsi="Arial"/>
          <w:sz w:val="14"/>
          <w:szCs w:val="14"/>
          <w:color w:val="auto"/>
        </w:rPr>
        <w:t>Certain funds and accounts managed by BlackRock, Inc. and Wellington Management (the “Cornerstone Investors”) have, severally and not jointly, indicated an interest in purchasing up to an aggregate of $150.0 million in shares of our common stock in this offering at the initial public offering price and on the same terms and conditions as the other purchasers in this offering. The shares of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The underwriters will receive the same underwriting discount on any shares purchased by the Cornerstone Investors as they will from the other shares sold to the public in this offering.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gridSpan w:val="2"/>
          </w:tcPr>
          <w:p>
            <w:pPr>
              <w:spacing w:after="0"/>
              <w:rPr>
                <w:sz w:val="20"/>
                <w:szCs w:val="20"/>
                <w:color w:val="auto"/>
              </w:rPr>
            </w:pPr>
            <w:r>
              <w:rPr>
                <w:rFonts w:ascii="Arial" w:cs="Arial" w:eastAsia="Arial" w:hAnsi="Arial"/>
                <w:sz w:val="14"/>
                <w:szCs w:val="14"/>
                <w:color w:val="auto"/>
                <w:w w:val="99"/>
              </w:rPr>
              <w:t>The underwriters expect to deliver the shares of common stock against payment in New York, New York on</w:t>
            </w:r>
          </w:p>
        </w:tc>
        <w:tc>
          <w:tcPr>
            <w:tcW w:w="800" w:type="dxa"/>
            <w:vAlign w:val="bottom"/>
          </w:tcPr>
          <w:p>
            <w:pPr>
              <w:jc w:val="right"/>
              <w:spacing w:after="0"/>
              <w:rPr>
                <w:sz w:val="20"/>
                <w:szCs w:val="20"/>
                <w:color w:val="auto"/>
              </w:rPr>
            </w:pPr>
            <w:r>
              <w:rPr>
                <w:rFonts w:ascii="Arial" w:cs="Arial" w:eastAsia="Arial" w:hAnsi="Arial"/>
                <w:sz w:val="14"/>
                <w:szCs w:val="14"/>
                <w:color w:val="auto"/>
              </w:rPr>
              <w:t>, 2025.</w:t>
            </w:r>
          </w:p>
        </w:tc>
      </w:tr>
      <w:tr>
        <w:trPr>
          <w:trHeight w:val="103"/>
        </w:trPr>
        <w:tc>
          <w:tcPr>
            <w:tcW w:w="46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r>
    </w:tbl>
    <w:p>
      <w:pPr>
        <w:spacing w:after="0" w:line="147" w:lineRule="exact"/>
        <w:rPr>
          <w:sz w:val="20"/>
          <w:szCs w:val="20"/>
          <w:color w:val="auto"/>
        </w:rPr>
      </w:pPr>
    </w:p>
    <w:p>
      <w:pPr>
        <w:sectPr>
          <w:pgSz w:w="11900" w:h="16838" w:orient="portrait"/>
          <w:cols w:equalWidth="0" w:num="1">
            <w:col w:w="11280"/>
          </w:cols>
          <w:pgMar w:left="300" w:top="566" w:right="31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J.P. Morgan</w:t>
      </w:r>
    </w:p>
    <w:p>
      <w:pPr>
        <w:spacing w:after="0" w:line="134" w:lineRule="exact"/>
        <w:rPr>
          <w:sz w:val="20"/>
          <w:szCs w:val="20"/>
          <w:color w:val="auto"/>
        </w:rPr>
      </w:pPr>
    </w:p>
    <w:p>
      <w:pPr>
        <w:sectPr>
          <w:pgSz w:w="11900" w:h="16838" w:orient="portrait"/>
          <w:cols w:equalWidth="0" w:num="2">
            <w:col w:w="9620" w:space="720"/>
            <w:col w:w="940"/>
          </w:cols>
          <w:pgMar w:left="300" w:top="566" w:right="31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Wells Fargo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RBC Capital Markets</w:t>
      </w:r>
    </w:p>
    <w:p>
      <w:pPr>
        <w:spacing w:after="0" w:line="137" w:lineRule="exact"/>
        <w:rPr>
          <w:sz w:val="20"/>
          <w:szCs w:val="20"/>
          <w:color w:val="auto"/>
        </w:rPr>
      </w:pPr>
    </w:p>
    <w:p>
      <w:pPr>
        <w:sectPr>
          <w:pgSz w:w="11900" w:h="16838" w:orient="portrait"/>
          <w:cols w:equalWidth="0" w:num="3">
            <w:col w:w="4100" w:space="720"/>
            <w:col w:w="4220" w:space="720"/>
            <w:col w:w="1520"/>
          </w:cols>
          <w:pgMar w:left="300" w:top="566" w:right="31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Citizens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Keefe, Bruyette &amp; Woods</w:t>
      </w:r>
    </w:p>
    <w:p>
      <w:pPr>
        <w:ind w:left="700"/>
        <w:spacing w:after="0"/>
        <w:rPr>
          <w:sz w:val="20"/>
          <w:szCs w:val="20"/>
          <w:color w:val="auto"/>
        </w:rPr>
      </w:pPr>
      <w:r>
        <w:rPr>
          <w:rFonts w:ascii="Arial" w:cs="Arial" w:eastAsia="Arial" w:hAnsi="Arial"/>
          <w:sz w:val="13"/>
          <w:szCs w:val="13"/>
          <w:i w:val="1"/>
          <w:iCs w:val="1"/>
          <w:color w:val="auto"/>
        </w:rPr>
        <w:t>A Stifel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KeyBanc Capital Markets</w:t>
      </w:r>
    </w:p>
    <w:p>
      <w:pPr>
        <w:spacing w:after="0" w:line="259" w:lineRule="exact"/>
        <w:rPr>
          <w:sz w:val="20"/>
          <w:szCs w:val="20"/>
          <w:color w:val="auto"/>
        </w:rPr>
      </w:pPr>
    </w:p>
    <w:p>
      <w:pPr>
        <w:sectPr>
          <w:pgSz w:w="11900" w:h="16838" w:orient="portrait"/>
          <w:cols w:equalWidth="0" w:num="3">
            <w:col w:w="4080" w:space="720"/>
            <w:col w:w="4080" w:space="720"/>
            <w:col w:w="1680"/>
          </w:cols>
          <w:pgMar w:left="300" w:top="566" w:right="319" w:bottom="1440" w:gutter="0" w:footer="0" w:header="0"/>
          <w:type w:val="continuous"/>
        </w:sectPr>
      </w:pPr>
    </w:p>
    <w:p>
      <w:pPr>
        <w:ind w:left="4640"/>
        <w:spacing w:after="0"/>
        <w:rPr>
          <w:sz w:val="20"/>
          <w:szCs w:val="20"/>
          <w:color w:val="auto"/>
        </w:rPr>
      </w:pPr>
      <w:r>
        <w:rPr>
          <w:rFonts w:ascii="Arial" w:cs="Arial" w:eastAsia="Arial" w:hAnsi="Arial"/>
          <w:sz w:val="13"/>
          <w:szCs w:val="13"/>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2025.</w:t>
      </w:r>
    </w:p>
    <w:p>
      <w:pPr>
        <w:sectPr>
          <w:pgSz w:w="11900" w:h="16838" w:orient="portrait"/>
          <w:cols w:equalWidth="0" w:num="2">
            <w:col w:w="5720" w:space="500"/>
            <w:col w:w="5060"/>
          </w:cols>
          <w:pgMar w:left="300" w:top="566" w:right="31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1080770</wp:posOffset>
            </wp:positionH>
            <wp:positionV relativeFrom="page">
              <wp:posOffset>288925</wp:posOffset>
            </wp:positionV>
            <wp:extent cx="5393690" cy="6982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393690" cy="6982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1080770</wp:posOffset>
            </wp:positionH>
            <wp:positionV relativeFrom="page">
              <wp:posOffset>288925</wp:posOffset>
            </wp:positionV>
            <wp:extent cx="5393690" cy="6982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93690" cy="6982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1080770</wp:posOffset>
            </wp:positionH>
            <wp:positionV relativeFrom="page">
              <wp:posOffset>288925</wp:posOffset>
            </wp:positionV>
            <wp:extent cx="5393690" cy="6982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93690" cy="6982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476250</wp:posOffset>
            </wp:positionV>
            <wp:extent cx="5346700" cy="691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46700" cy="6915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1120775</wp:posOffset>
            </wp:positionH>
            <wp:positionV relativeFrom="page">
              <wp:posOffset>355600</wp:posOffset>
            </wp:positionV>
            <wp:extent cx="5313680" cy="6882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13680" cy="688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355600</wp:posOffset>
            </wp:positionV>
            <wp:extent cx="5346700" cy="691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6700" cy="6915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1120775</wp:posOffset>
            </wp:positionH>
            <wp:positionV relativeFrom="page">
              <wp:posOffset>302260</wp:posOffset>
            </wp:positionV>
            <wp:extent cx="5313680" cy="6882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313680" cy="688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TABLE OF CONTENTS</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1"/>
                <w:szCs w:val="11"/>
                <w:b w:val="1"/>
                <w:bCs w:val="1"/>
                <w:color w:val="auto"/>
              </w:rPr>
              <w:t>Page</w:t>
            </w:r>
          </w:p>
        </w:tc>
      </w:tr>
      <w:tr>
        <w:trPr>
          <w:trHeight w:val="138"/>
        </w:trPr>
        <w:tc>
          <w:tcPr>
            <w:tcW w:w="20" w:type="dxa"/>
            <w:vAlign w:val="bottom"/>
          </w:tcPr>
          <w:p>
            <w:pPr>
              <w:spacing w:after="0"/>
              <w:rPr>
                <w:sz w:val="11"/>
                <w:szCs w:val="11"/>
                <w:color w:val="auto"/>
              </w:rPr>
            </w:pPr>
          </w:p>
        </w:tc>
        <w:tc>
          <w:tcPr>
            <w:tcW w:w="10420" w:type="dxa"/>
            <w:vAlign w:val="bottom"/>
            <w:gridSpan w:val="24"/>
          </w:tcPr>
          <w:p>
            <w:pPr>
              <w:spacing w:after="0" w:line="138" w:lineRule="exact"/>
              <w:rPr>
                <w:sz w:val="20"/>
                <w:szCs w:val="20"/>
                <w:color w:val="auto"/>
              </w:rPr>
            </w:pPr>
            <w:r>
              <w:rPr>
                <w:rFonts w:ascii="Arial" w:cs="Arial" w:eastAsia="Arial" w:hAnsi="Arial"/>
                <w:sz w:val="14"/>
                <w:szCs w:val="14"/>
                <w:color w:val="0000FF"/>
              </w:rPr>
              <w:t>LETTER FROM DAVID FORTUNATO, CHIEF EXECUTIVE OFFICER</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jc w:val="right"/>
              <w:spacing w:after="0" w:line="138" w:lineRule="exact"/>
              <w:rPr>
                <w:sz w:val="20"/>
                <w:szCs w:val="20"/>
                <w:color w:val="auto"/>
              </w:rPr>
            </w:pPr>
            <w:r>
              <w:rPr>
                <w:rFonts w:ascii="Arial" w:cs="Arial" w:eastAsia="Arial" w:hAnsi="Arial"/>
                <w:sz w:val="14"/>
                <w:szCs w:val="14"/>
                <w:color w:val="0000FF"/>
              </w:rPr>
              <w:t>iii</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18"/>
          </w:tcPr>
          <w:p>
            <w:pPr>
              <w:spacing w:after="0" w:line="159" w:lineRule="exact"/>
              <w:rPr>
                <w:sz w:val="20"/>
                <w:szCs w:val="20"/>
                <w:color w:val="auto"/>
              </w:rPr>
            </w:pPr>
            <w:r>
              <w:rPr>
                <w:rFonts w:ascii="Arial" w:cs="Arial" w:eastAsia="Arial" w:hAnsi="Arial"/>
                <w:sz w:val="14"/>
                <w:szCs w:val="14"/>
                <w:color w:val="0000FF"/>
              </w:rPr>
              <w:t>SELECTED DEFINED TERMS</w:t>
            </w:r>
          </w:p>
        </w:tc>
        <w:tc>
          <w:tcPr>
            <w:tcW w:w="6120" w:type="dxa"/>
            <w:vAlign w:val="bottom"/>
            <w:gridSpan w:val="6"/>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0000FF"/>
                <w:w w:val="98"/>
              </w:rPr>
              <w:t>vi</w:t>
            </w:r>
          </w:p>
        </w:tc>
      </w:tr>
      <w:tr>
        <w:trPr>
          <w:trHeight w:val="159"/>
        </w:trPr>
        <w:tc>
          <w:tcPr>
            <w:tcW w:w="20" w:type="dxa"/>
            <w:vAlign w:val="bottom"/>
          </w:tcPr>
          <w:p>
            <w:pPr>
              <w:spacing w:after="0"/>
              <w:rPr>
                <w:sz w:val="13"/>
                <w:szCs w:val="13"/>
                <w:color w:val="auto"/>
              </w:rPr>
            </w:pPr>
          </w:p>
        </w:tc>
        <w:tc>
          <w:tcPr>
            <w:tcW w:w="1720" w:type="dxa"/>
            <w:vAlign w:val="bottom"/>
            <w:tcBorders>
              <w:top w:val="single" w:sz="8" w:color="0000FF"/>
            </w:tcBorders>
            <w:gridSpan w:val="7"/>
          </w:tcPr>
          <w:p>
            <w:pPr>
              <w:spacing w:after="0" w:line="159" w:lineRule="exact"/>
              <w:rPr>
                <w:sz w:val="20"/>
                <w:szCs w:val="20"/>
                <w:color w:val="auto"/>
              </w:rPr>
            </w:pPr>
            <w:r>
              <w:rPr>
                <w:rFonts w:ascii="Arial" w:cs="Arial" w:eastAsia="Arial" w:hAnsi="Arial"/>
                <w:sz w:val="14"/>
                <w:szCs w:val="14"/>
                <w:color w:val="0000FF"/>
                <w:w w:val="98"/>
              </w:rPr>
              <w:t>PROSPECTUS SUMMARY</w:t>
            </w: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c>
          <w:tcPr>
            <w:tcW w:w="120" w:type="dxa"/>
            <w:vAlign w:val="bottom"/>
            <w:tcBorders>
              <w:top w:val="single" w:sz="8" w:color="0000FF"/>
            </w:tcBorders>
            <w:gridSpan w:val="2"/>
          </w:tcPr>
          <w:p>
            <w:pPr>
              <w:jc w:val="right"/>
              <w:spacing w:after="0" w:line="159" w:lineRule="exact"/>
              <w:rPr>
                <w:sz w:val="20"/>
                <w:szCs w:val="20"/>
                <w:color w:val="auto"/>
              </w:rPr>
            </w:pPr>
            <w:r>
              <w:rPr>
                <w:rFonts w:ascii="Arial" w:cs="Arial" w:eastAsia="Arial" w:hAnsi="Arial"/>
                <w:sz w:val="14"/>
                <w:szCs w:val="14"/>
                <w:color w:val="0000FF"/>
              </w:rPr>
              <w:t>1</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720" w:type="dxa"/>
            <w:vAlign w:val="bottom"/>
            <w:gridSpan w:val="7"/>
          </w:tcPr>
          <w:p>
            <w:pPr>
              <w:spacing w:after="0" w:line="159" w:lineRule="exact"/>
              <w:rPr>
                <w:sz w:val="20"/>
                <w:szCs w:val="20"/>
                <w:color w:val="auto"/>
              </w:rPr>
            </w:pPr>
            <w:r>
              <w:rPr>
                <w:rFonts w:ascii="Arial" w:cs="Arial" w:eastAsia="Arial" w:hAnsi="Arial"/>
                <w:sz w:val="14"/>
                <w:szCs w:val="14"/>
                <w:color w:val="0000FF"/>
              </w:rPr>
              <w:t>RISK FACTORS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41</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420" w:type="dxa"/>
            <w:vAlign w:val="bottom"/>
            <w:gridSpan w:val="24"/>
          </w:tcPr>
          <w:p>
            <w:pPr>
              <w:spacing w:after="0" w:line="159" w:lineRule="exact"/>
              <w:rPr>
                <w:sz w:val="20"/>
                <w:szCs w:val="20"/>
                <w:color w:val="auto"/>
              </w:rPr>
            </w:pPr>
            <w:r>
              <w:rPr>
                <w:rFonts w:ascii="Arial" w:cs="Arial" w:eastAsia="Arial" w:hAnsi="Arial"/>
                <w:sz w:val="14"/>
                <w:szCs w:val="14"/>
                <w:color w:val="0000FF"/>
              </w:rPr>
              <w:t>SPECIAL NOTE REGARDING FORWARD-LOOKING STATEMENTS</w:t>
            </w: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96</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18"/>
          </w:tcPr>
          <w:p>
            <w:pPr>
              <w:spacing w:after="0" w:line="159" w:lineRule="exact"/>
              <w:rPr>
                <w:sz w:val="20"/>
                <w:szCs w:val="20"/>
                <w:color w:val="auto"/>
              </w:rPr>
            </w:pPr>
            <w:r>
              <w:rPr>
                <w:rFonts w:ascii="Arial" w:cs="Arial" w:eastAsia="Arial" w:hAnsi="Arial"/>
                <w:sz w:val="14"/>
                <w:szCs w:val="14"/>
                <w:color w:val="0000FF"/>
              </w:rPr>
              <w:t>INDUSTRY AND MARKET DATA</w:t>
            </w:r>
          </w:p>
        </w:tc>
        <w:tc>
          <w:tcPr>
            <w:tcW w:w="6120" w:type="dxa"/>
            <w:vAlign w:val="bottom"/>
            <w:gridSpan w:val="6"/>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98</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gridSpan w:val="8"/>
          </w:tcPr>
          <w:p>
            <w:pPr>
              <w:spacing w:after="0" w:line="159" w:lineRule="exact"/>
              <w:rPr>
                <w:sz w:val="20"/>
                <w:szCs w:val="20"/>
                <w:color w:val="auto"/>
              </w:rPr>
            </w:pPr>
            <w:r>
              <w:rPr>
                <w:rFonts w:ascii="Arial" w:cs="Arial" w:eastAsia="Arial" w:hAnsi="Arial"/>
                <w:sz w:val="14"/>
                <w:szCs w:val="14"/>
                <w:color w:val="0000FF"/>
              </w:rPr>
              <w:t>USE OF PROCEEDS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99</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gridSpan w:val="6"/>
          </w:tcPr>
          <w:p>
            <w:pPr>
              <w:spacing w:after="0" w:line="159" w:lineRule="exact"/>
              <w:rPr>
                <w:sz w:val="20"/>
                <w:szCs w:val="20"/>
                <w:color w:val="auto"/>
              </w:rPr>
            </w:pPr>
            <w:r>
              <w:rPr>
                <w:rFonts w:ascii="Arial" w:cs="Arial" w:eastAsia="Arial" w:hAnsi="Arial"/>
                <w:sz w:val="14"/>
                <w:szCs w:val="14"/>
                <w:color w:val="0000FF"/>
              </w:rPr>
              <w:t>DIVIDEND POLICY</w:t>
            </w:r>
          </w:p>
        </w:tc>
        <w:tc>
          <w:tcPr>
            <w:tcW w:w="4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100</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gridSpan w:val="3"/>
          </w:tcPr>
          <w:p>
            <w:pPr>
              <w:spacing w:after="0" w:line="159" w:lineRule="exact"/>
              <w:rPr>
                <w:sz w:val="20"/>
                <w:szCs w:val="20"/>
                <w:color w:val="auto"/>
              </w:rPr>
            </w:pPr>
            <w:r>
              <w:rPr>
                <w:rFonts w:ascii="Arial" w:cs="Arial" w:eastAsia="Arial" w:hAnsi="Arial"/>
                <w:sz w:val="14"/>
                <w:szCs w:val="14"/>
                <w:color w:val="0000FF"/>
                <w:w w:val="96"/>
              </w:rPr>
              <w:t>CAPITALIZATION</w:t>
            </w:r>
          </w:p>
        </w:tc>
        <w:tc>
          <w:tcPr>
            <w:tcW w:w="100" w:type="dxa"/>
            <w:vAlign w:val="bottom"/>
            <w:gridSpan w:val="2"/>
          </w:tcPr>
          <w:p>
            <w:pPr>
              <w:spacing w:after="0"/>
              <w:rPr>
                <w:sz w:val="13"/>
                <w:szCs w:val="13"/>
                <w:color w:val="auto"/>
              </w:rPr>
            </w:pPr>
          </w:p>
        </w:tc>
        <w:tc>
          <w:tcPr>
            <w:tcW w:w="5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101</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line="159" w:lineRule="exact"/>
              <w:rPr>
                <w:sz w:val="20"/>
                <w:szCs w:val="20"/>
                <w:color w:val="auto"/>
              </w:rPr>
            </w:pPr>
            <w:r>
              <w:rPr>
                <w:rFonts w:ascii="Arial" w:cs="Arial" w:eastAsia="Arial" w:hAnsi="Arial"/>
                <w:sz w:val="14"/>
                <w:szCs w:val="14"/>
                <w:color w:val="0000FF"/>
                <w:w w:val="91"/>
              </w:rPr>
              <w:t>DILUTION</w:t>
            </w:r>
          </w:p>
        </w:tc>
        <w:tc>
          <w:tcPr>
            <w:tcW w:w="480" w:type="dxa"/>
            <w:vAlign w:val="bottom"/>
            <w:gridSpan w:val="2"/>
          </w:tcPr>
          <w:p>
            <w:pPr>
              <w:spacing w:after="0"/>
              <w:rPr>
                <w:sz w:val="13"/>
                <w:szCs w:val="13"/>
                <w:color w:val="auto"/>
              </w:rPr>
            </w:pPr>
          </w:p>
        </w:tc>
        <w:tc>
          <w:tcPr>
            <w:tcW w:w="64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105</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420" w:type="dxa"/>
            <w:vAlign w:val="bottom"/>
            <w:gridSpan w:val="24"/>
          </w:tcPr>
          <w:p>
            <w:pPr>
              <w:spacing w:after="0" w:line="15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110</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gridSpan w:val="8"/>
          </w:tcPr>
          <w:p>
            <w:pPr>
              <w:spacing w:after="0" w:line="159" w:lineRule="exact"/>
              <w:rPr>
                <w:sz w:val="20"/>
                <w:szCs w:val="20"/>
                <w:color w:val="auto"/>
              </w:rPr>
            </w:pPr>
            <w:r>
              <w:rPr>
                <w:rFonts w:ascii="Arial" w:cs="Arial" w:eastAsia="Arial" w:hAnsi="Arial"/>
                <w:sz w:val="14"/>
                <w:szCs w:val="14"/>
                <w:color w:val="0000FF"/>
              </w:rPr>
              <w:t>BUSINESS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149</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gridSpan w:val="8"/>
          </w:tcPr>
          <w:p>
            <w:pPr>
              <w:spacing w:after="0" w:line="159" w:lineRule="exact"/>
              <w:rPr>
                <w:sz w:val="20"/>
                <w:szCs w:val="20"/>
                <w:color w:val="auto"/>
              </w:rPr>
            </w:pPr>
            <w:r>
              <w:rPr>
                <w:rFonts w:ascii="Arial" w:cs="Arial" w:eastAsia="Arial" w:hAnsi="Arial"/>
                <w:sz w:val="14"/>
                <w:szCs w:val="14"/>
                <w:color w:val="0000FF"/>
              </w:rPr>
              <w:t>MANAGEMENT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190</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gridSpan w:val="10"/>
          </w:tcPr>
          <w:p>
            <w:pPr>
              <w:spacing w:after="0" w:line="159" w:lineRule="exact"/>
              <w:rPr>
                <w:sz w:val="20"/>
                <w:szCs w:val="20"/>
                <w:color w:val="auto"/>
              </w:rPr>
            </w:pPr>
            <w:r>
              <w:rPr>
                <w:rFonts w:ascii="Arial" w:cs="Arial" w:eastAsia="Arial" w:hAnsi="Arial"/>
                <w:sz w:val="14"/>
                <w:szCs w:val="14"/>
                <w:color w:val="0000FF"/>
                <w:w w:val="98"/>
              </w:rPr>
              <w:t>EXECUTIVE COMPENSATION</w:t>
            </w:r>
          </w:p>
        </w:tc>
        <w:tc>
          <w:tcPr>
            <w:tcW w:w="8460" w:type="dxa"/>
            <w:vAlign w:val="bottom"/>
            <w:gridSpan w:val="14"/>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201</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420" w:type="dxa"/>
            <w:vAlign w:val="bottom"/>
            <w:gridSpan w:val="24"/>
          </w:tcPr>
          <w:p>
            <w:pPr>
              <w:spacing w:after="0" w:line="159" w:lineRule="exact"/>
              <w:rPr>
                <w:sz w:val="20"/>
                <w:szCs w:val="20"/>
                <w:color w:val="auto"/>
              </w:rPr>
            </w:pPr>
            <w:r>
              <w:rPr>
                <w:rFonts w:ascii="Arial" w:cs="Arial" w:eastAsia="Arial" w:hAnsi="Arial"/>
                <w:sz w:val="14"/>
                <w:szCs w:val="14"/>
                <w:color w:val="0000FF"/>
              </w:rPr>
              <w:t>CERTAIN RELATIONSHIPS AND RELATED PARTY TRANSACTIONS</w:t>
            </w: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217</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180" w:type="dxa"/>
            <w:vAlign w:val="bottom"/>
            <w:gridSpan w:val="8"/>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19"/>
          </w:tcPr>
          <w:p>
            <w:pPr>
              <w:spacing w:after="0" w:line="159" w:lineRule="exact"/>
              <w:rPr>
                <w:sz w:val="20"/>
                <w:szCs w:val="20"/>
                <w:color w:val="auto"/>
              </w:rPr>
            </w:pPr>
            <w:r>
              <w:rPr>
                <w:rFonts w:ascii="Arial" w:cs="Arial" w:eastAsia="Arial" w:hAnsi="Arial"/>
                <w:sz w:val="14"/>
                <w:szCs w:val="14"/>
                <w:color w:val="0000FF"/>
              </w:rPr>
              <w:t>PRINCIPAL AND SELLING STOCKHOLDERS</w:t>
            </w:r>
          </w:p>
        </w:tc>
        <w:tc>
          <w:tcPr>
            <w:tcW w:w="6040" w:type="dxa"/>
            <w:vAlign w:val="bottom"/>
            <w:gridSpan w:val="5"/>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220</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180" w:type="dxa"/>
            <w:vAlign w:val="bottom"/>
            <w:gridSpan w:val="8"/>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880" w:type="dxa"/>
            <w:vAlign w:val="bottom"/>
            <w:gridSpan w:val="14"/>
          </w:tcPr>
          <w:p>
            <w:pPr>
              <w:spacing w:after="0" w:line="159" w:lineRule="exact"/>
              <w:rPr>
                <w:sz w:val="20"/>
                <w:szCs w:val="20"/>
                <w:color w:val="auto"/>
              </w:rPr>
            </w:pPr>
            <w:r>
              <w:rPr>
                <w:rFonts w:ascii="Arial" w:cs="Arial" w:eastAsia="Arial" w:hAnsi="Arial"/>
                <w:sz w:val="14"/>
                <w:szCs w:val="14"/>
                <w:color w:val="0000FF"/>
              </w:rPr>
              <w:t>DESCRIPTION OF CAPITAL STOCK</w:t>
            </w:r>
          </w:p>
        </w:tc>
        <w:tc>
          <w:tcPr>
            <w:tcW w:w="7540" w:type="dxa"/>
            <w:vAlign w:val="bottom"/>
            <w:gridSpan w:val="10"/>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228</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180" w:type="dxa"/>
            <w:vAlign w:val="bottom"/>
            <w:gridSpan w:val="8"/>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gridSpan w:val="13"/>
          </w:tcPr>
          <w:p>
            <w:pPr>
              <w:spacing w:after="0" w:line="159" w:lineRule="exact"/>
              <w:rPr>
                <w:sz w:val="20"/>
                <w:szCs w:val="20"/>
                <w:color w:val="auto"/>
              </w:rPr>
            </w:pPr>
            <w:r>
              <w:rPr>
                <w:rFonts w:ascii="Arial" w:cs="Arial" w:eastAsia="Arial" w:hAnsi="Arial"/>
                <w:sz w:val="14"/>
                <w:szCs w:val="14"/>
                <w:color w:val="0000FF"/>
                <w:w w:val="99"/>
              </w:rPr>
              <w:t>SHARES ELIGIBLE FOR FUTURE SALE</w:t>
            </w:r>
          </w:p>
        </w:tc>
        <w:tc>
          <w:tcPr>
            <w:tcW w:w="7840" w:type="dxa"/>
            <w:vAlign w:val="bottom"/>
            <w:gridSpan w:val="11"/>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235</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440" w:type="dxa"/>
            <w:vAlign w:val="bottom"/>
            <w:gridSpan w:val="9"/>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7340" w:type="dxa"/>
            <w:vAlign w:val="bottom"/>
            <w:gridSpan w:val="23"/>
          </w:tcPr>
          <w:p>
            <w:pPr>
              <w:spacing w:after="0" w:line="159" w:lineRule="exact"/>
              <w:rPr>
                <w:sz w:val="20"/>
                <w:szCs w:val="20"/>
                <w:color w:val="auto"/>
              </w:rPr>
            </w:pPr>
            <w:r>
              <w:rPr>
                <w:rFonts w:ascii="Arial" w:cs="Arial" w:eastAsia="Arial" w:hAnsi="Arial"/>
                <w:sz w:val="14"/>
                <w:szCs w:val="14"/>
                <w:color w:val="0000FF"/>
                <w:w w:val="99"/>
              </w:rPr>
              <w:t>MATERIAL U.S. FEDERAL INCOME TAX CONSEQUENCES FOR NON-U.S. HOLDERS OF OUR COMMON STOCK</w:t>
            </w: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239</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60" w:type="dxa"/>
            <w:vAlign w:val="bottom"/>
            <w:gridSpan w:val="11"/>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gridSpan w:val="15"/>
          </w:tcPr>
          <w:p>
            <w:pPr>
              <w:spacing w:after="0" w:line="159" w:lineRule="exact"/>
              <w:rPr>
                <w:sz w:val="20"/>
                <w:szCs w:val="20"/>
                <w:color w:val="auto"/>
              </w:rPr>
            </w:pPr>
            <w:r>
              <w:rPr>
                <w:rFonts w:ascii="Arial" w:cs="Arial" w:eastAsia="Arial" w:hAnsi="Arial"/>
                <w:sz w:val="14"/>
                <w:szCs w:val="14"/>
                <w:color w:val="0000FF"/>
                <w:w w:val="99"/>
              </w:rPr>
              <w:t>UNDERWRITING (CONFLICTS OF INTEREST)</w:t>
            </w:r>
          </w:p>
        </w:tc>
        <w:tc>
          <w:tcPr>
            <w:tcW w:w="4340" w:type="dxa"/>
            <w:vAlign w:val="bottom"/>
            <w:gridSpan w:val="8"/>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244</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gridSpan w:val="8"/>
          </w:tcPr>
          <w:p>
            <w:pPr>
              <w:spacing w:after="0" w:line="159" w:lineRule="exact"/>
              <w:rPr>
                <w:sz w:val="20"/>
                <w:szCs w:val="20"/>
                <w:color w:val="auto"/>
              </w:rPr>
            </w:pPr>
            <w:r>
              <w:rPr>
                <w:rFonts w:ascii="Arial" w:cs="Arial" w:eastAsia="Arial" w:hAnsi="Arial"/>
                <w:sz w:val="14"/>
                <w:szCs w:val="14"/>
                <w:color w:val="0000FF"/>
              </w:rPr>
              <w:t>LEGAL MATTERS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254</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4"/>
          </w:tcPr>
          <w:p>
            <w:pPr>
              <w:spacing w:after="0" w:line="159" w:lineRule="exact"/>
              <w:rPr>
                <w:sz w:val="20"/>
                <w:szCs w:val="20"/>
                <w:color w:val="auto"/>
              </w:rPr>
            </w:pPr>
            <w:r>
              <w:rPr>
                <w:rFonts w:ascii="Arial" w:cs="Arial" w:eastAsia="Arial" w:hAnsi="Arial"/>
                <w:sz w:val="14"/>
                <w:szCs w:val="14"/>
                <w:color w:val="0000FF"/>
              </w:rPr>
              <w:t>EXPERTS</w:t>
            </w:r>
          </w:p>
        </w:tc>
        <w:tc>
          <w:tcPr>
            <w:tcW w:w="620" w:type="dxa"/>
            <w:vAlign w:val="bottom"/>
            <w:gridSpan w:val="4"/>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254</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2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gridSpan w:val="16"/>
          </w:tcPr>
          <w:p>
            <w:pPr>
              <w:spacing w:after="0" w:line="159" w:lineRule="exact"/>
              <w:rPr>
                <w:sz w:val="20"/>
                <w:szCs w:val="20"/>
                <w:color w:val="auto"/>
              </w:rPr>
            </w:pPr>
            <w:r>
              <w:rPr>
                <w:rFonts w:ascii="Arial" w:cs="Arial" w:eastAsia="Arial" w:hAnsi="Arial"/>
                <w:sz w:val="14"/>
                <w:szCs w:val="14"/>
                <w:color w:val="0000FF"/>
                <w:w w:val="99"/>
              </w:rPr>
              <w:t>WHERE YOU CAN FIND ADDITIONAL INFORMATION</w:t>
            </w:r>
          </w:p>
        </w:tc>
        <w:tc>
          <w:tcPr>
            <w:tcW w:w="6960" w:type="dxa"/>
            <w:vAlign w:val="bottom"/>
            <w:gridSpan w:val="8"/>
          </w:tcPr>
          <w:p>
            <w:pPr>
              <w:spacing w:after="0"/>
              <w:rPr>
                <w:sz w:val="13"/>
                <w:szCs w:val="13"/>
                <w:color w:val="auto"/>
              </w:rPr>
            </w:pPr>
          </w:p>
        </w:tc>
        <w:tc>
          <w:tcPr>
            <w:tcW w:w="840" w:type="dxa"/>
            <w:vAlign w:val="bottom"/>
            <w:gridSpan w:val="5"/>
          </w:tcPr>
          <w:p>
            <w:pPr>
              <w:jc w:val="right"/>
              <w:spacing w:after="0" w:line="159" w:lineRule="exact"/>
              <w:rPr>
                <w:sz w:val="20"/>
                <w:szCs w:val="20"/>
                <w:color w:val="auto"/>
              </w:rPr>
            </w:pPr>
            <w:r>
              <w:rPr>
                <w:rFonts w:ascii="Arial" w:cs="Arial" w:eastAsia="Arial" w:hAnsi="Arial"/>
                <w:sz w:val="14"/>
                <w:szCs w:val="14"/>
                <w:color w:val="0000FF"/>
              </w:rPr>
              <w:t>254</w:t>
            </w:r>
          </w:p>
        </w:tc>
      </w:tr>
      <w:tr>
        <w:trPr>
          <w:trHeight w:val="20"/>
        </w:trPr>
        <w:tc>
          <w:tcPr>
            <w:tcW w:w="20" w:type="dxa"/>
            <w:vAlign w:val="bottom"/>
          </w:tcPr>
          <w:p>
            <w:pPr>
              <w:spacing w:after="0" w:line="20" w:lineRule="exact"/>
              <w:rPr>
                <w:sz w:val="1"/>
                <w:szCs w:val="1"/>
                <w:color w:val="auto"/>
              </w:rPr>
            </w:pPr>
          </w:p>
        </w:tc>
        <w:tc>
          <w:tcPr>
            <w:tcW w:w="3460" w:type="dxa"/>
            <w:vAlign w:val="bottom"/>
            <w:gridSpan w:val="1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420" w:type="dxa"/>
            <w:vAlign w:val="bottom"/>
            <w:gridSpan w:val="24"/>
          </w:tcPr>
          <w:p>
            <w:pPr>
              <w:spacing w:after="0" w:line="159" w:lineRule="exact"/>
              <w:rPr>
                <w:sz w:val="20"/>
                <w:szCs w:val="20"/>
                <w:color w:val="auto"/>
              </w:rPr>
            </w:pPr>
            <w:r>
              <w:rPr>
                <w:rFonts w:ascii="Arial" w:cs="Arial" w:eastAsia="Arial" w:hAnsi="Arial"/>
                <w:sz w:val="14"/>
                <w:szCs w:val="14"/>
                <w:color w:val="0000FF"/>
              </w:rPr>
              <w:t>INDEX TO CONSOLIDATED FINANCIAL STATEMENTS</w:t>
            </w:r>
          </w:p>
        </w:tc>
        <w:tc>
          <w:tcPr>
            <w:tcW w:w="640" w:type="dxa"/>
            <w:vAlign w:val="bottom"/>
          </w:tcPr>
          <w:p>
            <w:pPr>
              <w:spacing w:after="0"/>
              <w:rPr>
                <w:sz w:val="13"/>
                <w:szCs w:val="13"/>
                <w:color w:val="auto"/>
              </w:rPr>
            </w:pPr>
          </w:p>
        </w:tc>
        <w:tc>
          <w:tcPr>
            <w:tcW w:w="200" w:type="dxa"/>
            <w:vAlign w:val="bottom"/>
            <w:gridSpan w:val="4"/>
          </w:tcPr>
          <w:p>
            <w:pPr>
              <w:jc w:val="right"/>
              <w:spacing w:after="0" w:line="159" w:lineRule="exact"/>
              <w:rPr>
                <w:sz w:val="20"/>
                <w:szCs w:val="20"/>
                <w:color w:val="auto"/>
              </w:rPr>
            </w:pPr>
            <w:r>
              <w:rPr>
                <w:rFonts w:ascii="Arial" w:cs="Arial" w:eastAsia="Arial" w:hAnsi="Arial"/>
                <w:sz w:val="14"/>
                <w:szCs w:val="14"/>
                <w:color w:val="0000FF"/>
                <w:w w:val="85"/>
              </w:rPr>
              <w:t>F-1</w:t>
            </w:r>
          </w:p>
        </w:tc>
      </w:tr>
      <w:tr>
        <w:trPr>
          <w:trHeight w:val="274"/>
        </w:trPr>
        <w:tc>
          <w:tcPr>
            <w:tcW w:w="20" w:type="dxa"/>
            <w:vAlign w:val="bottom"/>
          </w:tcPr>
          <w:p>
            <w:pPr>
              <w:spacing w:after="0"/>
              <w:rPr>
                <w:sz w:val="23"/>
                <w:szCs w:val="23"/>
                <w:color w:val="auto"/>
              </w:rPr>
            </w:pPr>
          </w:p>
        </w:tc>
        <w:tc>
          <w:tcPr>
            <w:tcW w:w="1760" w:type="dxa"/>
            <w:vAlign w:val="bottom"/>
            <w:tcBorders>
              <w:top w:val="single" w:sz="8" w:color="0000FF"/>
            </w:tcBorders>
            <w:gridSpan w:val="8"/>
          </w:tcPr>
          <w:p>
            <w:pPr>
              <w:spacing w:after="0"/>
              <w:rPr>
                <w:sz w:val="23"/>
                <w:szCs w:val="23"/>
                <w:color w:val="auto"/>
              </w:rPr>
            </w:pPr>
          </w:p>
        </w:tc>
        <w:tc>
          <w:tcPr>
            <w:tcW w:w="1760" w:type="dxa"/>
            <w:vAlign w:val="bottom"/>
            <w:tcBorders>
              <w:top w:val="single" w:sz="8" w:color="0000FF"/>
            </w:tcBorders>
            <w:gridSpan w:val="9"/>
          </w:tcPr>
          <w:p>
            <w:pPr>
              <w:spacing w:after="0"/>
              <w:rPr>
                <w:sz w:val="23"/>
                <w:szCs w:val="23"/>
                <w:color w:val="auto"/>
              </w:rPr>
            </w:pPr>
          </w:p>
        </w:tc>
        <w:tc>
          <w:tcPr>
            <w:tcW w:w="920" w:type="dxa"/>
            <w:vAlign w:val="bottom"/>
            <w:gridSpan w:val="3"/>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4240" w:type="dxa"/>
            <w:vAlign w:val="bottom"/>
            <w:gridSpan w:val="4"/>
          </w:tcPr>
          <w:p>
            <w:pPr>
              <w:spacing w:after="0"/>
              <w:rPr>
                <w:sz w:val="23"/>
                <w:szCs w:val="23"/>
                <w:color w:val="auto"/>
              </w:rPr>
            </w:pPr>
          </w:p>
        </w:tc>
        <w:tc>
          <w:tcPr>
            <w:tcW w:w="180" w:type="dxa"/>
            <w:vAlign w:val="bottom"/>
            <w:tcBorders>
              <w:top w:val="single" w:sz="8" w:color="0000FF"/>
            </w:tcBorders>
            <w:gridSpan w:val="3"/>
          </w:tcPr>
          <w:p>
            <w:pPr>
              <w:spacing w:after="0"/>
              <w:rPr>
                <w:sz w:val="23"/>
                <w:szCs w:val="23"/>
                <w:color w:val="auto"/>
              </w:rPr>
            </w:pPr>
          </w:p>
        </w:tc>
        <w:tc>
          <w:tcPr>
            <w:tcW w:w="20" w:type="dxa"/>
            <w:vAlign w:val="bottom"/>
          </w:tcPr>
          <w:p>
            <w:pPr>
              <w:spacing w:after="0"/>
              <w:rPr>
                <w:sz w:val="23"/>
                <w:szCs w:val="23"/>
                <w:color w:val="auto"/>
              </w:rPr>
            </w:pPr>
          </w:p>
        </w:tc>
      </w:tr>
      <w:tr>
        <w:trPr>
          <w:trHeight w:val="305"/>
        </w:trPr>
        <w:tc>
          <w:tcPr>
            <w:tcW w:w="1780" w:type="dxa"/>
            <w:vAlign w:val="bottom"/>
            <w:gridSpan w:val="9"/>
          </w:tcPr>
          <w:p>
            <w:pPr>
              <w:spacing w:after="0"/>
              <w:rPr>
                <w:sz w:val="20"/>
                <w:szCs w:val="20"/>
                <w:color w:val="auto"/>
              </w:rPr>
            </w:pPr>
            <w:r>
              <w:rPr>
                <w:rFonts w:ascii="Arial" w:cs="Arial" w:eastAsia="Arial" w:hAnsi="Arial"/>
                <w:sz w:val="14"/>
                <w:szCs w:val="14"/>
                <w:b w:val="1"/>
                <w:bCs w:val="1"/>
                <w:color w:val="auto"/>
              </w:rPr>
              <w:t>Through and including</w:t>
            </w:r>
          </w:p>
        </w:tc>
        <w:tc>
          <w:tcPr>
            <w:tcW w:w="9500" w:type="dxa"/>
            <w:vAlign w:val="bottom"/>
            <w:gridSpan w:val="21"/>
          </w:tcPr>
          <w:p>
            <w:pPr>
              <w:jc w:val="right"/>
              <w:spacing w:after="0"/>
              <w:rPr>
                <w:sz w:val="20"/>
                <w:szCs w:val="20"/>
                <w:color w:val="auto"/>
              </w:rPr>
            </w:pPr>
            <w:r>
              <w:rPr>
                <w:rFonts w:ascii="Arial" w:cs="Arial" w:eastAsia="Arial" w:hAnsi="Arial"/>
                <w:sz w:val="14"/>
                <w:szCs w:val="14"/>
                <w:b w:val="1"/>
                <w:bCs w:val="1"/>
                <w:color w:val="auto"/>
              </w:rPr>
              <w:t>, 2025 (the 25th day after the date of this prospectus), all dealers effecting transactions in these securities, whether or not participating in this</w:t>
            </w:r>
          </w:p>
        </w:tc>
      </w:tr>
    </w:tbl>
    <w:p>
      <w:pPr>
        <w:jc w:val="both"/>
        <w:spacing w:after="0" w:line="277" w:lineRule="auto"/>
        <w:rPr>
          <w:sz w:val="20"/>
          <w:szCs w:val="20"/>
          <w:color w:val="auto"/>
        </w:rPr>
      </w:pPr>
      <w:r>
        <w:rPr>
          <w:rFonts w:ascii="Arial" w:cs="Arial" w:eastAsia="Arial" w:hAnsi="Arial"/>
          <w:sz w:val="14"/>
          <w:szCs w:val="14"/>
          <w:b w:val="1"/>
          <w:bCs w:val="1"/>
          <w:color w:val="auto"/>
        </w:rPr>
        <w:t>offering, may be required to deliver a prospectus. This is in addition to a dealer’s obligation to deliver a prospectus when acting as an underwriter and with respect to an unsold allotment or subscription.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Neither we, the selling stockholders, nor the underwriters have authorized anyone to provide any information or to make any representations other than those contained in this prospectus or in any free writing prospectuses filed with the Securities and Exchange Commission. Neither we, the selling stockholders, nor any of the underwriters take any responsibility for, and can provide no assurance as to the reliability of, any other information that others may give you. This prospectus is an offer to sell only the shares offered hereby, but only under circumstances and in jurisdictions where it is lawful to do so. We and the selling stockholders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shares of common stock. Our business, operating results, financial condition, and future growth prospects may have changed since that date.</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investors outside the United States: Neither we, the selling stockholders, nor any of the underwriters have taken any action that would permit this offering or possession or distribution of this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80"/>
          </w:cols>
          <w:pgMar w:left="300" w:top="1260" w:right="31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4"/>
          <w:szCs w:val="14"/>
          <w:color w:val="auto"/>
        </w:rPr>
        <w:t>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indicated, the terms “Wealthfront,” the “company,” “we,” “us,” and “our” refer to Wealthfront Corporation and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280"/>
          </w:cols>
          <w:pgMar w:left="300" w:top="1260" w:right="31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1080770</wp:posOffset>
            </wp:positionH>
            <wp:positionV relativeFrom="page">
              <wp:posOffset>288925</wp:posOffset>
            </wp:positionV>
            <wp:extent cx="5393690" cy="6982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93690" cy="6982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288925</wp:posOffset>
            </wp:positionV>
            <wp:extent cx="5346700" cy="691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6700" cy="6915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288925</wp:posOffset>
            </wp:positionV>
            <wp:extent cx="5346700" cy="691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6700" cy="6915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SELECT DEFINED TERMS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are abbreviations, acronyms, and definitions of certain terms used in this prospectus: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“APY” stands for annual percentage yield. APY is the actual rate of return on an account over a year, taking into account the effect of compounding interest.</w:t>
      </w:r>
    </w:p>
    <w:p>
      <w:pPr>
        <w:spacing w:after="0" w:line="133" w:lineRule="exact"/>
        <w:rPr>
          <w:sz w:val="20"/>
          <w:szCs w:val="20"/>
          <w:color w:val="auto"/>
        </w:rPr>
      </w:pPr>
    </w:p>
    <w:p>
      <w:pPr>
        <w:jc w:val="both"/>
        <w:ind w:left="260"/>
        <w:spacing w:after="0" w:line="286" w:lineRule="auto"/>
        <w:rPr>
          <w:sz w:val="20"/>
          <w:szCs w:val="20"/>
          <w:color w:val="auto"/>
        </w:rPr>
      </w:pPr>
      <w:r>
        <w:rPr>
          <w:rFonts w:ascii="Arial" w:cs="Arial" w:eastAsia="Arial" w:hAnsi="Arial"/>
          <w:sz w:val="14"/>
          <w:szCs w:val="14"/>
          <w:color w:val="auto"/>
        </w:rPr>
        <w:t>“Cash Account” means the brokerage account that our clients open and maintain at our subsidiary, Wealthfront Brokerage LLC, that provides clients access to our cash management services, including our cash sweep program.</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“Client retention rate” is calculated as (x) 1 minus (y) the number of churned clients in the period divided by funded clients at the end of the immediately preceding period.</w:t>
      </w:r>
    </w:p>
    <w:p>
      <w:pPr>
        <w:spacing w:after="0" w:line="133" w:lineRule="exact"/>
        <w:rPr>
          <w:sz w:val="20"/>
          <w:szCs w:val="20"/>
          <w:color w:val="auto"/>
        </w:rPr>
      </w:pPr>
    </w:p>
    <w:p>
      <w:pPr>
        <w:jc w:val="both"/>
        <w:ind w:left="260"/>
        <w:spacing w:after="0" w:line="286" w:lineRule="auto"/>
        <w:rPr>
          <w:sz w:val="20"/>
          <w:szCs w:val="20"/>
          <w:color w:val="auto"/>
        </w:rPr>
      </w:pPr>
      <w:r>
        <w:rPr>
          <w:rFonts w:ascii="Arial" w:cs="Arial" w:eastAsia="Arial" w:hAnsi="Arial"/>
          <w:sz w:val="14"/>
          <w:szCs w:val="14"/>
          <w:color w:val="auto"/>
        </w:rPr>
        <w:t>“Churned client” means a previously funded client that ended the period with a zero balance across all accounts for the 45 consecutive calendar days ending as of the measurement date.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“Digital natives” mean individuals born after 1980 (i.e., Millennials, Gen Z, and later generations).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“Global Financial Crisis” or “GFC” means the global financial crisis of 2007 to 2009.</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“Gross margin” means the percentage of revenue remaining after covering direct costs of delivering our platform, products and services, as reflected in cost of revenue.</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“ETF” stands for exchange-traded fund.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“FDIC” stands for Federal Deposit Insurance Corporation.</w:t>
      </w:r>
    </w:p>
    <w:p>
      <w:pPr>
        <w:spacing w:after="0" w:line="133" w:lineRule="exact"/>
        <w:rPr>
          <w:sz w:val="20"/>
          <w:szCs w:val="20"/>
          <w:color w:val="auto"/>
        </w:rPr>
      </w:pPr>
    </w:p>
    <w:p>
      <w:pPr>
        <w:jc w:val="both"/>
        <w:ind w:left="260"/>
        <w:spacing w:after="0" w:line="268" w:lineRule="auto"/>
        <w:rPr>
          <w:sz w:val="20"/>
          <w:szCs w:val="20"/>
          <w:color w:val="auto"/>
        </w:rPr>
      </w:pPr>
      <w:r>
        <w:rPr>
          <w:rFonts w:ascii="Arial" w:cs="Arial" w:eastAsia="Arial" w:hAnsi="Arial"/>
          <w:sz w:val="14"/>
          <w:szCs w:val="14"/>
          <w:color w:val="auto"/>
        </w:rPr>
        <w:t>“Funded clients” means clients with balances greater than zero or that have been greater than zero on at least one occasion during the 45 consecutive calendar days ending as of the measurement date. Funded clients include clients with a zero balance across all accounts as of the measurement date if they had greater than zero balances in at least one account within the 45 calendar days prior to the measurement date. Individuals who share funded joint accounts are each considered to be a separate funded client.</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“Net-of-fee returns” means the investment return that a client earns net of any fees we charge.</w:t>
      </w:r>
    </w:p>
    <w:p>
      <w:pPr>
        <w:spacing w:after="0" w:line="133" w:lineRule="exact"/>
        <w:rPr>
          <w:sz w:val="20"/>
          <w:szCs w:val="20"/>
          <w:color w:val="auto"/>
        </w:rPr>
      </w:pPr>
    </w:p>
    <w:p>
      <w:pPr>
        <w:jc w:val="both"/>
        <w:ind w:left="260"/>
        <w:spacing w:after="0" w:line="286" w:lineRule="auto"/>
        <w:rPr>
          <w:sz w:val="20"/>
          <w:szCs w:val="20"/>
          <w:color w:val="auto"/>
        </w:rPr>
      </w:pPr>
      <w:r>
        <w:rPr>
          <w:rFonts w:ascii="Arial" w:cs="Arial" w:eastAsia="Arial" w:hAnsi="Arial"/>
          <w:sz w:val="14"/>
          <w:szCs w:val="14"/>
          <w:color w:val="auto"/>
        </w:rPr>
        <w:t>“Net deposits” means the value of all assets our clients have placed into products on our platform, net of withdrawals, over a defined period of time. We exclude changes in value attributable to financial market movements from this metric.</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income margin” means the percentage of total revenue remaining as net income after the deduction of all expenses, taxes, and interest.</w:t>
      </w:r>
    </w:p>
    <w:p>
      <w:pPr>
        <w:spacing w:after="0" w:line="133" w:lineRule="exact"/>
        <w:rPr>
          <w:sz w:val="20"/>
          <w:szCs w:val="20"/>
          <w:color w:val="auto"/>
        </w:rPr>
      </w:pPr>
    </w:p>
    <w:p>
      <w:pPr>
        <w:jc w:val="both"/>
        <w:ind w:left="260"/>
        <w:spacing w:after="0" w:line="286" w:lineRule="auto"/>
        <w:rPr>
          <w:sz w:val="20"/>
          <w:szCs w:val="20"/>
          <w:color w:val="auto"/>
        </w:rPr>
      </w:pPr>
      <w:r>
        <w:rPr>
          <w:rFonts w:ascii="Arial" w:cs="Arial" w:eastAsia="Arial" w:hAnsi="Arial"/>
          <w:sz w:val="14"/>
          <w:szCs w:val="14"/>
          <w:color w:val="auto"/>
        </w:rPr>
        <w:t>“Net revenue retention” is calculated by dividing total revenue in the current period from all funded clients that existed at the beginning of the period, by total revenue from those same clients in the prior period, inclusive of any clients that have churned. Revenue from new clients acquired during the period is excluded from this calculation.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“Platform assets” means the total value of financial assets held by clients in their accounts as of a stated date on our platform.</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“Program banks” means FDIC-insured banks to which we sweep our clients’ Cash Account assets, which are disclosed on our website and subject to change from time to time.</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“Program deposits” means clients’ cash that is swept to program banks.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“SIPC” stands for Securities Investor Protection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w:t>
      </w:r>
    </w:p>
    <w:p>
      <w:pPr>
        <w:sectPr>
          <w:pgSz w:w="11900" w:h="16838" w:orient="portrait"/>
          <w:cols w:equalWidth="0" w:num="1">
            <w:col w:w="11280"/>
          </w:cols>
          <w:pgMar w:left="300" w:top="126" w:right="31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1054100</wp:posOffset>
            </wp:positionH>
            <wp:positionV relativeFrom="page">
              <wp:posOffset>288925</wp:posOffset>
            </wp:positionV>
            <wp:extent cx="5447030" cy="70491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47030" cy="704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658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465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PROSPECTUS SUMMARY</w:t>
      </w:r>
    </w:p>
    <w:p>
      <w:pPr>
        <w:spacing w:after="0" w:line="135"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i w:val="1"/>
          <w:iCs w:val="1"/>
          <w:color w:val="auto"/>
        </w:rPr>
        <w:t>The following summary highlights selected information that is presented in greater detail elsewhere in this prospectus. This summary does not contain all of the information you should consider before investing in our common stock. This summary contains forward-looking statements that involve risks and uncertainties. You should carefully read this prospectus in its entirety before investing in our common stock, including the sections titled “Risk Factors,” “Management’s Discussion and Analysis of Financial Condition and Results of Operations,” “Special Note Regarding Forward-Looking Statements,” and our consolidated financial statements and the accompanying notes included elsewhere in this prospectus. Our fiscal year end is January 31, and our fiscal quarters end on April 30, July 31, October 31, and January 31. Our fiscal years ended January 31, 2024 and 2025 are referred to herein as fiscal 2024 and fiscal 2025, respectively.</w:t>
      </w:r>
    </w:p>
    <w:p>
      <w:pPr>
        <w:spacing w:after="0" w:line="99"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Company Overview</w:t>
      </w:r>
    </w:p>
    <w:p>
      <w:pPr>
        <w:spacing w:after="0" w:line="133"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We’re a different kind of FinTech. We are a technology company that built a financial solutions platform for “digital natives,” defined as those born after 1980 (i.e., Millennials, Gen Z, and later generations). Our platform is designed to address the needs of the wealth builders within these generations. We have differentiated, trusted relationships with our clients due to our unique and fundamentally aligned incentives. Simply put, we succeed because our clients succeed.</w:t>
      </w:r>
    </w:p>
    <w:p>
      <w:pPr>
        <w:spacing w:after="0" w:line="91" w:lineRule="exact"/>
        <w:rPr>
          <w:sz w:val="20"/>
          <w:szCs w:val="20"/>
          <w:color w:val="auto"/>
        </w:rPr>
      </w:pPr>
    </w:p>
    <w:p>
      <w:pPr>
        <w:jc w:val="both"/>
        <w:ind w:left="520"/>
        <w:spacing w:after="0" w:line="242" w:lineRule="auto"/>
        <w:rPr>
          <w:sz w:val="20"/>
          <w:szCs w:val="20"/>
          <w:color w:val="auto"/>
        </w:rPr>
      </w:pPr>
      <w:r>
        <w:rPr>
          <w:rFonts w:ascii="Arial" w:cs="Arial" w:eastAsia="Arial" w:hAnsi="Arial"/>
          <w:sz w:val="14"/>
          <w:szCs w:val="14"/>
          <w:color w:val="auto"/>
        </w:rPr>
        <w:t>We were among the first digital-only financial solutions platforms,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and we pioneered using automation to offer low-cost diversified portfolios. We built our platform using software to deliver our solutions quickly, conveniently, and at low cost. These principles align with the preferences of digital natives, who use digital platforms for the vast majority of their everyday services ranging from entertainment and commerce to food delivery and ride sharing. Our technology-driven financial solutions help clients turn savings into long-term wealth. Our broad suite of products, including cash management, investment advisory, borrowing and lending, and financial planning solutions, address the diverse financial needs of our clients regardless of the economic environment.</w:t>
      </w:r>
    </w:p>
    <w:p>
      <w:pPr>
        <w:spacing w:after="0" w:line="109" w:lineRule="exact"/>
        <w:rPr>
          <w:sz w:val="20"/>
          <w:szCs w:val="20"/>
          <w:color w:val="auto"/>
        </w:rPr>
      </w:pPr>
    </w:p>
    <w:p>
      <w:pPr>
        <w:jc w:val="both"/>
        <w:ind w:left="520"/>
        <w:spacing w:after="0" w:line="243" w:lineRule="auto"/>
        <w:rPr>
          <w:sz w:val="20"/>
          <w:szCs w:val="20"/>
          <w:color w:val="auto"/>
        </w:rPr>
      </w:pPr>
      <w:r>
        <w:rPr>
          <w:rFonts w:ascii="Arial" w:cs="Arial" w:eastAsia="Arial" w:hAnsi="Arial"/>
          <w:sz w:val="14"/>
          <w:szCs w:val="14"/>
          <w:color w:val="auto"/>
        </w:rPr>
        <w:t>We believe the opportunity we are pursuing is unique and massive.</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Digital natives are entering the prime wealth accumulation phase of their lives and are expected to be the wealthiest generations ever. According to a study we commissioned from Oxford Economics, the wealth of digital natives is estimated to grow at an annual rate of 11.3% from $12 trillion in 2022 to $140 trillion in 2045. During the Global Financial Crisis (“GFC”), digital natives lost trust in traditional financial institutions which they blamed for high unemployment and an economic downturn. Meanwhile, they embraced and became increasingly empowered by technology through intuitive, mobile, and software-focused experiences. This backdrop created an opportunity for Wealthfront to disrupt traditional brick-and-mortar, in-person, and high-cost financial product experiences.</w:t>
      </w:r>
    </w:p>
    <w:p>
      <w:pPr>
        <w:spacing w:after="0" w:line="111"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Our clients are primarily digital-native high earners who prioritize savings and wealth accumulation. Since inception, our platform assets have grown in-line with the wealth accumulation of these generations. As of July 31, 2025, we had over 1.3 million funded clients, and $88.2 billion in platform assets. Digital natives typically have large liquid savings with long time horizons ahead, and they are undeterred by corrections and bear markets. Clients typically come to Wealthfront seeking a specific solution and, as our trust-based relationship deepens, we gain insights into their evolving needs, in many cases through the data associated with third-party financial accounts they link to our financial planning software. Client engagement and feedback drive our product-led growth strategy and business flywheel. This continuous feedback loop constantly optimizes our platform for our clients’ evolving needs, fueling our historical organic growth. Over the past two fiscal years, over 50% of new clients were referred by</w:t>
      </w:r>
    </w:p>
    <w:p>
      <w:pPr>
        <w:spacing w:after="0" w:line="186" w:lineRule="exact"/>
        <w:rPr>
          <w:sz w:val="20"/>
          <w:szCs w:val="20"/>
          <w:color w:val="auto"/>
        </w:rPr>
      </w:pPr>
    </w:p>
    <w:p>
      <w:pPr>
        <w:ind w:left="600" w:hanging="77"/>
        <w:spacing w:after="0"/>
        <w:tabs>
          <w:tab w:leader="none" w:pos="600"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Based on multiple industry sources, we are commonly cited as being one of the first platforms to provide algorithmic investment services.</w:t>
      </w:r>
    </w:p>
    <w:p>
      <w:pPr>
        <w:ind w:left="520"/>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See the section titled “—Our Opportunity” for additional information regarding our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760"/>
          </w:cols>
          <w:pgMar w:left="300" w:top="209" w:right="8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565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456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existing clients and our annual client retention rate was approximately 95% for each of fiscal 2024 and fiscal 2025.</w:t>
      </w:r>
    </w:p>
    <w:p>
      <w:pPr>
        <w:spacing w:after="0" w:line="133"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are led by a technically proficient management team, including our CEO, who served as our CTO for many years. We built our products on a proprietary technology infrastructure. We have a strong, somewhat contrarian preference for building over buying or partnering. This allows us to automate to an extent not seen in the industry. Automation not only allows us to launch and iterate products faster, lower costs to clients, and offer a better overall client experience, but also lowers our cost of support. Automation is a core principle underpinning everything we do—the way we design our products, organize our company, and foster employee culture.</w:t>
      </w:r>
    </w:p>
    <w:p>
      <w:pPr>
        <w:spacing w:after="0" w:line="98"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Our cost structure and our organic growth are business model advantages, and have enabled us to achieve our historic profitability, which allows us to further invest in our platform. Reinvesting in our platform drives further automation and powers the continuous cycle of our flywheel.</w:t>
      </w:r>
    </w:p>
    <w:p>
      <w:pPr>
        <w:spacing w:after="0" w:line="98"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 xml:space="preserve">We seek to make money with, </w:t>
      </w:r>
      <w:r>
        <w:rPr>
          <w:rFonts w:ascii="Arial" w:cs="Arial" w:eastAsia="Arial" w:hAnsi="Arial"/>
          <w:sz w:val="14"/>
          <w:szCs w:val="14"/>
          <w:i w:val="1"/>
          <w:iCs w:val="1"/>
          <w:color w:val="auto"/>
        </w:rPr>
        <w:t>not from</w:t>
      </w:r>
      <w:r>
        <w:rPr>
          <w:rFonts w:ascii="Arial" w:cs="Arial" w:eastAsia="Arial" w:hAnsi="Arial"/>
          <w:sz w:val="14"/>
          <w:szCs w:val="14"/>
          <w:color w:val="auto"/>
        </w:rPr>
        <w:t>, our clients along their wealth accumulation journey. The alignment of incentives helps retain clients and drives more predictability in our business, as our clients trust us with an increasing amount of their wealth and adopt more than one product.</w:t>
      </w:r>
    </w:p>
    <w:p>
      <w:pPr>
        <w:spacing w:after="0" w:line="79" w:lineRule="exact"/>
        <w:rPr>
          <w:sz w:val="20"/>
          <w:szCs w:val="20"/>
          <w:color w:val="auto"/>
        </w:rPr>
      </w:pPr>
    </w:p>
    <w:p>
      <w:pPr>
        <w:jc w:val="both"/>
        <w:ind w:left="520"/>
        <w:spacing w:after="0" w:line="253" w:lineRule="auto"/>
        <w:rPr>
          <w:sz w:val="20"/>
          <w:szCs w:val="20"/>
          <w:color w:val="auto"/>
        </w:rPr>
      </w:pPr>
      <w:r>
        <w:rPr>
          <w:rFonts w:ascii="Arial" w:cs="Arial" w:eastAsia="Arial" w:hAnsi="Arial"/>
          <w:sz w:val="14"/>
          <w:szCs w:val="14"/>
          <w:color w:val="auto"/>
        </w:rPr>
        <w:t>Since inception, we have experienced significant growth. We rapidly scaled our number of clients and platform assets, all while sustaining high retention rates. Our platform assets increased from $57.6 billion as of January 31, 2024 to $80.2 billion as of January 31, 2025, representing 39% year-over-year growth, and from $71.4 billion as of July 31, 2024 to $88.2 billion as of July 31, 2025, representing 24% year-over-year growth. We generated total revenue of $216.7 million in fiscal 2024 and $308.9 million in fiscal 2025, representing year-over-year growth of 43%, and $145.9 million for the six months ended July 31, 2024 and $175.6 million for the six months ended July 31, 2025, representing 20% year-over-year growth. We generated net income of $77.0 million in fiscal 2024 and $194.4 million in fiscal 2025, representing a net income margin of 36% and 63%, respectively, and net income of $132.3 million for the six months ended July 31, 2024 and $60.7 million for the six months ended July 31, 2025, representing a net income margin of 91% and 35%, respectively. Net income for fiscal 2025 included a total tax benefit for the year of $55.2 million due to the one-time deferred tax benefit of $80.2 million, resulting primarily from the release of the full valuation allowance on our historical net deferred tax assets. Net income for the six months ended July 31, 2024 included a total tax benefit for the period of $54.0 million due to a deferred tax benefit of $70.8 million, resulting primarily from the release of the valuation allowance on our historical net deferred tax assets. Our Adjusted EBITDA (as defined below) was $103.0 million in fiscal 2024 and $142.7 million in fiscal 2025, representing an Adjusted EBITDA margin of 48% and 46%, respectively, and Adjusted EBITDA was $71.2 million for the six months ended July 31, 2024 and $82.7 million for the six months ended July 31, 2025, representing an Adjusted EBITDA margin of 49% and 47%, respectively. See the section titled “Management’s Discussion and Analysis of Financial Condition and Results of Operations—Non-GAAP Financial Measures” for information regarding our use of Adjusted EBITDA and Adjusted EBITDA margin, and a reconciliation of each non-GAAP financial measure to the most directly comparable financial measure presented in accordance with GAAP.</w:t>
      </w:r>
    </w:p>
    <w:p>
      <w:pPr>
        <w:spacing w:after="0" w:line="103"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Industry Background</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Introduction</w:t>
      </w:r>
    </w:p>
    <w:p>
      <w:pPr>
        <w:spacing w:after="0" w:line="131"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The financial services industry has predominantly focused on the needs, preferences, and behaviors of older generations which has helped propel them into becoming the wealthiest generations ever. However, we believe that the rapidly growing wealth of digital-native generations presents a challenge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760"/>
          </w:cols>
          <w:pgMar w:left="300" w:top="209" w:right="8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725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472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the traditional financial platforms due to their notably different preferences and financial priorities than the preceding generations. Digital natives, who are poised to overtake Baby Boomers and Gen X to become the largest and wealthiest generations of all time, are not sufficiently served by legacy platforms.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Industry Conditions Before the Global Financial Crisis of 2007-2009</w:t>
      </w:r>
    </w:p>
    <w:p>
      <w:pPr>
        <w:spacing w:after="0" w:line="131"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For decades, most incumbent financial providers have focused on older generations of clients in the wealth preservation phase of their lives. Their products were inaccessible for the population of younger consumers in the wealth accumulation phase of their lives due to high account minimums or inadequately addressed needs due to poor software user experiences. Additionally, incumbent platforms operate business models that prioritize personalized investment management services to clients who prefer relationships with a dedicated, often in-person financial advisor or team. Previous generations view human advisors as a necessity, both as a means to manage investment portfolios, and as relationship managers to dutifully steward them through varying market environments.</w:t>
      </w:r>
    </w:p>
    <w:p>
      <w:pPr>
        <w:spacing w:after="0" w:line="98"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believe this model of financial management is ill-suited to meet the needs of emerging generations who are currently in, or are entering, the wealth accumulation stages of their financial lives. Legacy personal relationship-based platforms were built to serve the needs of older generations, with a particular set of preferences and goals. As the demand for new financial solutions increased with the emergence of digital-native generations, institutions have failed to innovate. Incumbent financial institutions are simply not designed to support newer generations in their wealth accumulation journeys.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Paradigm Shift in the Financial Services Industry</w:t>
      </w:r>
    </w:p>
    <w:p>
      <w:pPr>
        <w:spacing w:after="0" w:line="13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believe that the GFC caused a paradigm shift. Through the economic turmoil of that time, a new generation of investors witnessed the severe economic hardships that were created largely as a result of the incumbent financial system. The new generation that grew up in a post-GFC world witnessed the impact of a failing system on their family and friends, from loss of wealth to housing instability. The GFC became the catalyst that drove younger generations to demand new products, services, and companies, all built on the key principle that they felt was sorely lacking in the incumbent system: trust.</w:t>
      </w:r>
    </w:p>
    <w:p>
      <w:pPr>
        <w:spacing w:after="0" w:line="96"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The rapid advance of innovation in internet-based technology platforms in the post-GFC world had dramatic implications across the global economy. From media to transportation, education to manufacturing, and hospitality to healthcare, software and digitization disrupted legacy industries profoundly and rapidly, solving many of the key pain points that historically restrained their growth, particularly among younger consumers. Like these other industries, financial services experienced its own technology-driven evolution. One critical innovation during this time was creation of automated investing solutions (colloquially known as “robo-advisory” services), through which software is deployed to manage investment portfolios of clients, without the need of a human advisor. Automated investing lowered barriers to entry for a new generation of consumers while also solving the key pain point in the legacy system—lack of trust—by removing the potential issues that arise from relying on human advice.</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Distinct Preferences of Emerging Generations</w:t>
      </w:r>
    </w:p>
    <w:p>
      <w:pPr>
        <w:spacing w:after="0" w:line="131"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Digital natives are less trusting of traditional financial providers than previous generations, driven by a concern over lack of transparency and a post-GFC unease that these institutions do not put their clients first. According to Capgemini Research Institute, an in-house think-tank for the global consulting firm, 81% of younger investors are likely to leave their parents’ financial advisors after inheriting their parents’ wealth, and younger generations are more likely to use digital advisory services compared to older generations. Technology has allowed new financial providers to create platforms that close the perception gap with younger investors, which has increasingly both captured market share from incumbent institutions and contributed to the growth of the market itself.</w:t>
      </w:r>
    </w:p>
    <w:p>
      <w:pPr>
        <w:spacing w:after="0" w:line="98"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Digital natives prioritize seamless digital and mobile experiences over in-person interactions and expect personal financial management to be no different. Distinct from their parents, digital-native generations prefer to conduct their commercial activities exclusively through digital channels. According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760"/>
          </w:cols>
          <w:pgMar w:left="300" w:top="209" w:right="8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404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40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Investopedia’s 2023 Robo-Advisor Consumer Survey, 86% of people who use a digital advisor are in their 20s to 40s, compared to 14% who are in their 50s to 70s, reflecting a notable shift in preferences between generations. Technological advancement has empowered a new generation of consumers to truly own their financial decisions without the need for personal interaction with an advisor.</w:t>
      </w:r>
    </w:p>
    <w:p>
      <w:pPr>
        <w:spacing w:after="0" w:line="9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Financial self-sufficiency by digital natives is fueled both by technology and by the internet-driven proliferation of financial knowledge. Equipped with this financial knowledge, younger generations expect to earn more from their assets relative to the fees they pay. The industry average advisory fee of 1% of assets under management per year is difficult to justify without a very significant increase in after-tax returns.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Incumbent Financial Institutions and the Innovator’s Dilemma</w:t>
      </w:r>
    </w:p>
    <w:p>
      <w:pPr>
        <w:spacing w:after="0" w:line="131"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Incumbent financial institutions justifiably focus on serving their older, wealthy clients because they are the most profitable for those firms. However, the need to serve these clients with high-touch business models makes it very difficult for them to create low-cost self-service financial products for digital natives because that could cannibalize their existing successful businesses. This is classically known as an “innovator’s dilemma.” For example, banks are heavily reliant on fees (e.g., overdraft fees, ATM fees, advisory fees) to economically justify their branch networks. Just as Blockbuster’s reliance on late fees and physical stores made it resistant to the simpler, more convenient, and lower-cost streaming model, traditional banks’ reliance on unpopular fees and branches makes them vulnerable to branchless, low-fee digital challengers.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Digital Natives Wealth Opportunity</w:t>
      </w:r>
    </w:p>
    <w:p>
      <w:pPr>
        <w:spacing w:after="0" w:line="131"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define digital natives as the generations born after 1980. This definition encompasses a wide range of the consumer population—approximately 190 million people in the United States, according to 2023 data from the U.S. Census Bureau. Digital natives are in the prime wealth accumulation phase of their lives, and are projected to be the wealthiest generation in history. Their wealth is projected to grow from $ 12 trillion in 2022 to $140 trillion by 2045. Similar to earlier generations, a majority of the wealth will be held by less than half of these generations—those who are likely to be higher earning knowledge workers and who are net savers focused on wealth accumulation.</w:t>
      </w:r>
    </w:p>
    <w:p>
      <w:pPr>
        <w:spacing w:after="0" w:line="98"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expect digital natives will primarily accumulate wealth through earnings growth as they advance in their careers. While the median household net worth in 2022 was approximately $39,000 for those under the age of 35, median household net worth was approximately $135,600 for those between the ages of 35 and 44, according to the Federal Reserve. Further, the median household net worth of 55 to 64 year olds—the age Millennials will be in 2045—was approximately $365,000 in 2022, demonstrating the wealth potential of digital natives. Tech-enabled platforms are best positioned to take advantage of this unprecedented growth trajectory.</w:t>
      </w:r>
    </w:p>
    <w:p>
      <w:pPr>
        <w:spacing w:after="0" w:line="96"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Our Opportunity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Digital Natives Are in the Wealth Accumulation Phase of Their Lives</w:t>
      </w:r>
    </w:p>
    <w:p>
      <w:pPr>
        <w:spacing w:after="0" w:line="13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By targeting digital-native generations, we have the opportunity to serve a large market that, in 2024, represented $16 trillion, or approximately 10% of the U.S. household wealth according to the Federal Reserve. According to the Federal Reserve, the share of household wealth held by the top 20% of earners in a generation has steadily increased from approximately 60% in 1989 to consistently over 70% since 2014. Our clients tend to be knowledge workers at the higher end of the earnings scale within their generation and therefore we estimate that the size of our serviceable market was over $11 trillion at the end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760"/>
          </w:cols>
          <w:pgMar w:left="300" w:top="209" w:right="8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3884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388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Furthermore, according to Oxford Economics, digital native households’ net wealth is expected to grow by more than 11% annually over the next two decades, reaching $140 trillion in 2045. Wealthfront is purpose built to grow with digital natives during this period of unprecedented wealth accumulation.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Digital Natives Are Prioritizing Saving Earlier in Life and at a Higher Rate</w:t>
      </w:r>
    </w:p>
    <w:p>
      <w:pPr>
        <w:spacing w:after="0" w:line="13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Digital natives have demonstrated a stronger savings trend compared to previous generations. According to Oxford Economics, digital natives’ savings rate over the past decade exceeded the national average by 4.9 percentage points, compared to the 2.5 percentage point difference for Baby Boomers during the equivalent 10-year span of their lives. Their projections indicate that digital natives will further outpace the national average savings rate as they enter their highest earning years, peaking at a 14 percentage point difference around age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760"/>
          </w:cols>
          <w:pgMar w:left="300" w:top="209" w:right="8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687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568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This prioritization of savings has resulted in wealth generation for digital natives that has exceeded that of preceding generations. Millennials and Gen Z are accumulating wealth at a faster pace than Baby Boomers and Gen X, starting at around the age of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This unprecedented focus on savings and long-term wealth accumulation has enabled digital-native generations to eclipse preceding generations in terms of inflation-adjusted household wealth at an average age of 34. We expect this gap to grow larger as tech-enabled financial solutions help digital natives better understand and achieve their financial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760"/>
          </w:cols>
          <w:pgMar w:left="300" w:top="209" w:right="8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459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545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Strategic Focus on These Generations Has Allowed Us to Grow with Our Clients</w:t>
      </w:r>
    </w:p>
    <w:p>
      <w:pPr>
        <w:spacing w:after="0" w:line="13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growth has closely tracked the financial maturation of digital natives, reflecting the resonance of our platform with their evolving needs. We have optimized our product, development, brand, and service model to exceed the expectations of these generations. Since inception, platform assets have grown in parallel with the overall net worth of digital-native generations, demonstrating our fundamental alignment with their financial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Platform Expansion Will Continue to Grow Our Opportunity with Digital Natives</w:t>
      </w:r>
    </w:p>
    <w:p>
      <w:pPr>
        <w:spacing w:after="0" w:line="131"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According to a 2024 U.S. consumer research study published by FIS, a financial technology company, 42% of Millennials report that they hold their funds in traditional bank checking accounts, rather than placing their hard-earned wealth into higher yielding products that can help build their wealth. Through our compelling suite of products and services—offered via our core client base’s preferred digital and mobile channels—Wealthfront has been able to successfully attract assets that were previously held at traditional banks. In fiscal 2025, clients transferred over $40 billion of assets via ACH to Wealthfront, a 34% increase from the prior year. The majority of these assets, funding both cash management and investment advisory products, were transferred from accounts at U.S. banks, highlighting the appeal of our platform over legacy alternatives.</w:t>
      </w:r>
    </w:p>
    <w:p>
      <w:pPr>
        <w:spacing w:after="0" w:line="10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We will deepen our engagement with digital natives by offering new products tailored to their current and future needs. As a product-led, technology-driven platform, our strategic goal is to continue to expand our product suite to offer compelling solutions to our clients at each stage of their financial and personal lives. Among the products we contemplate developing over time are mortgage products and credit and investment products.</w:t>
      </w:r>
    </w:p>
    <w:p>
      <w:pPr>
        <w:spacing w:after="0" w:line="91"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Our Clients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built Wealthfront to evolve with our clients.</w:t>
      </w:r>
    </w:p>
    <w:p>
      <w:pPr>
        <w:spacing w:after="0" w:line="133"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clients are primarily digital-native wealth builders who started saving early in life and at a high rate. They are focused on long-term investing principles, even during periods of market volatility. We support our clients through every stage of life, from early career to major life milestones. Our products and offerings evolve with their needs, offering increasingly sophisticated financial solutions over time, such that our clients don’t feel the need to leave our platform. For each of fiscal 2024 and fiscal 2025,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760"/>
          </w:cols>
          <w:pgMar w:left="300" w:top="209" w:right="8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3990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8515" cy="399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right="820"/>
        <w:spacing w:after="0" w:line="438" w:lineRule="auto"/>
        <w:rPr>
          <w:sz w:val="20"/>
          <w:szCs w:val="20"/>
          <w:color w:val="auto"/>
        </w:rPr>
      </w:pPr>
      <w:r>
        <w:rPr>
          <w:rFonts w:ascii="Arial" w:cs="Arial" w:eastAsia="Arial" w:hAnsi="Arial"/>
          <w:sz w:val="14"/>
          <w:szCs w:val="14"/>
          <w:color w:val="auto"/>
        </w:rPr>
        <w:t xml:space="preserve">annual client retention rate was approximately 95% and our annual net revenue retention was greater than 120% for each of the last eleven fiscal years. </w:t>
      </w:r>
      <w:r>
        <w:rPr>
          <w:rFonts w:ascii="Arial" w:cs="Arial" w:eastAsia="Arial" w:hAnsi="Arial"/>
          <w:sz w:val="14"/>
          <w:szCs w:val="14"/>
          <w:b w:val="1"/>
          <w:bCs w:val="1"/>
          <w:i w:val="1"/>
          <w:iCs w:val="1"/>
          <w:color w:val="auto"/>
        </w:rPr>
        <w:t>Our Clients Are High Earning Net Savers and Wealth Builders</w:t>
      </w:r>
    </w:p>
    <w:p>
      <w:pPr>
        <w:spacing w:after="0" w:line="1"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As of July 31, 2025, we had over 1.3 million funded clients who on average reported earning approximately $165,000 per year. This compares to the average earnings of U.S. employees of nearly $65,000 per year reported by the U.S. Bureau of Labor Statistics as of July 2025.</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Clients Are in the Wealth Accumulation Phase of Their Lives</w:t>
      </w:r>
    </w:p>
    <w:p>
      <w:pPr>
        <w:spacing w:after="0" w:line="131"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As of July 31, 2025, approximately 77% of our individual funded clients were born after 1980 and the average age of our individual funded clients was approximately 38 years old.</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Gen Z has increasingly contributed to more of our client base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760"/>
          </w:cols>
          <w:pgMar w:left="300" w:top="209" w:right="8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480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548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Since 2022, the average age of clients with cash management accounts has declined with each annual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Our clients are approaching their peak earning years and have decades of upcoming financial decisions to make, such as buying homes, saving for their children’s college tuitions, or planning for retirement.</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Clients Embrace New Technology and Digital Platforms</w:t>
      </w:r>
    </w:p>
    <w:p>
      <w:pPr>
        <w:spacing w:after="0" w:line="13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clients have different preferences than previous generations. They are predisposed to a “there’s an app for that” mindset, and expect to be able to access any service seamlessly through digital or mobile channels. They have these same expectations for consumer financial services, and look to solve their needs with technology as their first choice. Accordingly, we are well positioned to capture the growth of their wealth over the long term.</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Clients Have Long-Term Investing Mindsets, Even During Periods of Market Volatility</w:t>
      </w:r>
    </w:p>
    <w:p>
      <w:pPr>
        <w:spacing w:after="0" w:line="13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During periods of challenging equity markets, our clients typically increase their contributions to our platform. Even in times of negative investment performance, we do not typically see net withdrawals from investing accounts. By adopting Wealthfront, our clients have opted into a passive investment strategy and, thus, adverse market performance does not result in client attrition.</w:t>
      </w:r>
    </w:p>
    <w:p>
      <w:pPr>
        <w:spacing w:after="0" w:line="91"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Throughout our history, we have successfully navigated diverse periods of economic uncertainty. This encompasses five equity market corrections, two of which resulted in sustained bear markets, including:</w:t>
      </w:r>
    </w:p>
    <w:p>
      <w:pPr>
        <w:spacing w:after="0" w:line="79" w:lineRule="exact"/>
        <w:rPr>
          <w:sz w:val="20"/>
          <w:szCs w:val="20"/>
          <w:color w:val="auto"/>
        </w:rPr>
      </w:pPr>
    </w:p>
    <w:p>
      <w:pPr>
        <w:ind w:left="1020" w:hanging="24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2015, doubts about the growth and health of the Chinese economy triggered fears of a potential global economic slowdown;</w:t>
      </w:r>
    </w:p>
    <w:p>
      <w:pPr>
        <w:spacing w:after="0" w:line="133" w:lineRule="exact"/>
        <w:rPr>
          <w:rFonts w:ascii="Arial" w:cs="Arial" w:eastAsia="Arial" w:hAnsi="Arial"/>
          <w:sz w:val="14"/>
          <w:szCs w:val="14"/>
          <w:color w:val="auto"/>
        </w:rPr>
      </w:pPr>
    </w:p>
    <w:p>
      <w:pPr>
        <w:jc w:val="both"/>
        <w:ind w:left="1020" w:hanging="245"/>
        <w:spacing w:after="0" w:line="268" w:lineRule="auto"/>
        <w:tabs>
          <w:tab w:leader="none" w:pos="1016"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2018, the market experienced a correction and subsequent bear market when rising interest rates and fears of escalating trade tensions between the United States and other countries led to concerns about economic growth, leading to a decline in the S&amp;P 500 of approximately 20% from September to December 2018;</w:t>
      </w:r>
    </w:p>
    <w:p>
      <w:pPr>
        <w:spacing w:after="0" w:line="91" w:lineRule="exact"/>
        <w:rPr>
          <w:rFonts w:ascii="Arial" w:cs="Arial" w:eastAsia="Arial" w:hAnsi="Arial"/>
          <w:sz w:val="14"/>
          <w:szCs w:val="14"/>
          <w:color w:val="auto"/>
        </w:rPr>
      </w:pPr>
    </w:p>
    <w:p>
      <w:pPr>
        <w:ind w:left="1020" w:hanging="24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March 2020, the declaration of a global pandemic resulted in widespread economic shutdowns and an approximately 30% drop in the S&amp;P 500;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760"/>
          </w:cols>
          <w:pgMar w:left="300" w:top="209" w:right="8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351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35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20" w:hanging="245"/>
        <w:spacing w:after="0" w:line="286" w:lineRule="auto"/>
        <w:tabs>
          <w:tab w:leader="none" w:pos="101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2025, the announcement of tariffs and the potential for a trade war, higher-than-anticipated inflation data, and a sharp repricing of interest rate expectations led to an approximate 10% decline in the S&amp;P 500.</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also effectively managed multiple periods of interest rate volatility, including:</w:t>
      </w:r>
    </w:p>
    <w:p>
      <w:pPr>
        <w:spacing w:after="0" w:line="133" w:lineRule="exact"/>
        <w:rPr>
          <w:sz w:val="20"/>
          <w:szCs w:val="20"/>
          <w:color w:val="auto"/>
        </w:rPr>
      </w:pPr>
    </w:p>
    <w:p>
      <w:pPr>
        <w:ind w:left="1020" w:hanging="245"/>
        <w:spacing w:after="0" w:line="286" w:lineRule="auto"/>
        <w:tabs>
          <w:tab w:leader="none" w:pos="10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2013, comments from the then-Federal Reserve Chairman, Ben Bernanke, regarding the potential tapering of asset purchases led to a sharp rise in interest rates, causing market volatility as investors reassessed the implications for future monetary policy;</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4"/>
        </w:numPr>
        <w:rPr>
          <w:rFonts w:ascii="Arial" w:cs="Arial" w:eastAsia="Arial" w:hAnsi="Arial"/>
          <w:sz w:val="14"/>
          <w:szCs w:val="14"/>
          <w:color w:val="auto"/>
        </w:rPr>
      </w:pPr>
      <w:r>
        <w:rPr>
          <w:rFonts w:ascii="Arial" w:cs="Arial" w:eastAsia="Arial" w:hAnsi="Arial"/>
          <w:sz w:val="14"/>
          <w:szCs w:val="14"/>
          <w:color w:val="auto"/>
        </w:rPr>
        <w:t>Between 2015 and 2018, the Federal Reserve’s gradual increases in interest rates, intended to normalize monetary policy in the wake of the financial crisis, created fluctuations in bond yields and equities as investors adjusted to higher borrowing costs;</w:t>
      </w:r>
    </w:p>
    <w:p>
      <w:pPr>
        <w:spacing w:after="0" w:line="78" w:lineRule="exact"/>
        <w:rPr>
          <w:rFonts w:ascii="Arial" w:cs="Arial" w:eastAsia="Arial" w:hAnsi="Arial"/>
          <w:sz w:val="14"/>
          <w:szCs w:val="14"/>
          <w:color w:val="auto"/>
        </w:rPr>
      </w:pPr>
    </w:p>
    <w:p>
      <w:pPr>
        <w:ind w:left="1020" w:hanging="245"/>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March 2020, the Federal Reserve’s emergency rate cuts to combat the economic fallout from the pandemic resulted in substantial interest rate volatility;</w:t>
      </w:r>
    </w:p>
    <w:p>
      <w:pPr>
        <w:spacing w:after="0" w:line="133"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Throughout 2021 and 2022, rising inflation expectations and supply chain disruptions in the wake of the COVID-19 pandemic, led to fears of tighter monetary policy. As the Federal Reserve signaled a shift to combat inflation, interest rate volatility increased as markets anticipated rate hikes; and</w:t>
      </w:r>
    </w:p>
    <w:p>
      <w:pPr>
        <w:spacing w:after="0" w:line="78" w:lineRule="exact"/>
        <w:rPr>
          <w:rFonts w:ascii="Arial" w:cs="Arial" w:eastAsia="Arial" w:hAnsi="Arial"/>
          <w:sz w:val="14"/>
          <w:szCs w:val="14"/>
          <w:color w:val="auto"/>
        </w:rPr>
      </w:pPr>
    </w:p>
    <w:p>
      <w:pPr>
        <w:jc w:val="both"/>
        <w:ind w:left="1020" w:hanging="245"/>
        <w:spacing w:after="0" w:line="268" w:lineRule="auto"/>
        <w:tabs>
          <w:tab w:leader="none" w:pos="1016" w:val="left"/>
        </w:tabs>
        <w:numPr>
          <w:ilvl w:val="0"/>
          <w:numId w:val="4"/>
        </w:numPr>
        <w:rPr>
          <w:rFonts w:ascii="Arial" w:cs="Arial" w:eastAsia="Arial" w:hAnsi="Arial"/>
          <w:sz w:val="14"/>
          <w:szCs w:val="14"/>
          <w:color w:val="auto"/>
        </w:rPr>
      </w:pPr>
      <w:r>
        <w:rPr>
          <w:rFonts w:ascii="Arial" w:cs="Arial" w:eastAsia="Arial" w:hAnsi="Arial"/>
          <w:sz w:val="14"/>
          <w:szCs w:val="14"/>
          <w:color w:val="auto"/>
        </w:rPr>
        <w:t>Beginning in March 2022, as inflation proved much less transitory than initially expected, the Federal Reserve initiated a series of aggressive interest rate hikes to combat surging inflation, reaching levels not seen since 2007. Despite these efforts, inflation remained remarkably stubborn, leading to an extended period of elevated interest rates as the Federal Reserve sought to rein in persistent price increases.</w:t>
      </w:r>
    </w:p>
    <w:p>
      <w:pPr>
        <w:spacing w:after="0" w:line="9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Despite shifting macroeconomic conditions, our cash management and investing assets have demonstrated mostly consistent, continuous growth and have provided a natural hedge, allowing the business to maintain resilience during extraordinary events. This resilience was particularly evident during the market downturn in March 2020 following the onset of the COVID-19 pandemic.</w:t>
      </w:r>
    </w:p>
    <w:p>
      <w:pPr>
        <w:spacing w:after="0" w:line="91"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During this period, the Federal Reserve implemented emergency rate cuts, bringing the Federal Funds rate to 0%, a level last seen during the GFC. Concurrently, the declaration of a global pandemic led to widespread economic shutdowns and an approximately 30% decline in the S&amp;P 500. Shortly thereafter, our cash management assets experienced a sharp but brief decline from $8.3 billion as of February 29, 2020 to $2.4 billion as of April 30, 2022. However, the subsequent zero interest rate policy, along with other fiscal and monetary actions, contributed to a market rebound. Starting in April 2020, our platform assets recovered swiftly as clients made elevated levels of net deposits into investment advisory accounts. This, combined with market appreciation, enabled our platform assets to recover to their previous high watermark in less than 13 months.</w:t>
      </w:r>
    </w:p>
    <w:p>
      <w:pPr>
        <w:spacing w:after="0" w:line="101"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Beginning in March 2022, as inflation proved more persistent and less transitory than the Federal Reserve initially anticipated, the Federal Reserve initiated a series of aggressive interest rate hikes, reaching levels not seen since 2007. This action contributed to the S&amp;P 500 entering a bear market, which caused a decline in our investment advisory assets. Conversely, our cash management assets experienced significant growth during this period from $2.4 billion as of April 30, 2022 to over $46 billion as of July 31, 2025 due to the extended period of elevated interest rates. This growth was further supported by feature enhancements to our cash management accounts, including the addition of program banks, which increased the overall level of pass-through FDIC insurance. These factors allowed cash management assets to remain resilient and grow during the elevated interest rate environment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760"/>
          </w:cols>
          <w:pgMar w:left="300" w:top="209" w:right="8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199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519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2022 and through the financial instability following the failure of Silicon Valley Bank and the collapse of First Republic Bank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Clients Establish Long-Term, Recurring Relationships with Wealthfront</w:t>
      </w:r>
    </w:p>
    <w:p>
      <w:pPr>
        <w:spacing w:after="0" w:line="131"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build long-term relationships with our clients. As of July 31, 2025, more than 17% of clients had recurring or direct deposits. As our clients’ net worth continues to accumulate, we continue to capture a larger portion of their income. For the fiscal quarter ended July 31, 2025, the average monthly recurring deposit amount per client with one or more deposits deemed recurring in that month was over $2,600. This compares to the fiscal quarter ended April 30, 2020, during which the average monthly recurring deposits per client with one or more deposits deemed recurring in that month was $923. The increasing recurring deposits demonstrate the trust clients place in Wealthfront’s platform. The longevity of our client relationships is due to the trust we establish with clients.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Clients Have Evolving Financial Needs</w:t>
      </w:r>
    </w:p>
    <w:p>
      <w:pPr>
        <w:spacing w:after="0" w:line="131" w:lineRule="exact"/>
        <w:rPr>
          <w:sz w:val="20"/>
          <w:szCs w:val="20"/>
          <w:color w:val="auto"/>
        </w:rPr>
      </w:pPr>
    </w:p>
    <w:p>
      <w:pPr>
        <w:jc w:val="both"/>
        <w:ind w:left="520"/>
        <w:spacing w:after="0" w:line="255" w:lineRule="auto"/>
        <w:rPr>
          <w:sz w:val="20"/>
          <w:szCs w:val="20"/>
          <w:color w:val="auto"/>
        </w:rPr>
      </w:pPr>
      <w:r>
        <w:rPr>
          <w:rFonts w:ascii="Arial" w:cs="Arial" w:eastAsia="Arial" w:hAnsi="Arial"/>
          <w:sz w:val="14"/>
          <w:szCs w:val="14"/>
          <w:color w:val="auto"/>
        </w:rPr>
        <w:t xml:space="preserve">We continuously evolve our platform to meet the complex and evolving needs of our clients. Client attrition due to product limitations or a desire for more sophisticated offerings is minimal. As of July 31, 2025, we had over 180,000 clients with at least $100,000 of platform assets and over 10,000 clients with at least $1 million of platform assets. Our clients choose Wealthfront because our digital client experience offers what we believe to be attractive net-of-fee returns and yield on cash as well as fast and free money movement. In addition, our clients have the opportunity to benefit from our automated tax-loss harvesting to achieve tax savings. Drawn to our technology-first platform and trust-driven, transparent low fee structure, these individuals graduate </w:t>
      </w:r>
      <w:r>
        <w:rPr>
          <w:rFonts w:ascii="Arial" w:cs="Arial" w:eastAsia="Arial" w:hAnsi="Arial"/>
          <w:sz w:val="14"/>
          <w:szCs w:val="14"/>
          <w:i w:val="1"/>
          <w:iCs w:val="1"/>
          <w:color w:val="auto"/>
        </w:rPr>
        <w:t>to</w:t>
      </w:r>
      <w:r>
        <w:rPr>
          <w:rFonts w:ascii="Arial" w:cs="Arial" w:eastAsia="Arial" w:hAnsi="Arial"/>
          <w:sz w:val="14"/>
          <w:szCs w:val="14"/>
          <w:color w:val="auto"/>
        </w:rPr>
        <w:t xml:space="preserve"> and actively choose Wealthfront as an aligned financial partner. They prefer direct interaction with financial technology through our digital interface over traditional human advisors, regardless of their personal wealth. For each of the last eleven fiscal years, our annual net revenue retention was greater than 120%, which implies that our largest clients not only continue to stay on Wealthfront but also consistently add to their accounts. In fact, our clients with over $100,000 of platform assets have a higher retention rate than those with less than $100,000 of platform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760"/>
          </w:cols>
          <w:pgMar w:left="300" w:top="209" w:right="8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6990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469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Our Platform</w:t>
      </w:r>
    </w:p>
    <w:p>
      <w:pPr>
        <w:spacing w:after="0" w:line="133"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Wealthfront was purpose built to create a financial solution platform for digital natives. Wealthfront offers a suite of financial products that span a broad risk spectrum, designed to be exclusively delivered through web and mobile channels. Since inception, we have been extremely focused on investing in our technology. Our focus on building our own technology infrastructure enables us to ship new products faster.</w:t>
      </w:r>
    </w:p>
    <w:p>
      <w:pPr>
        <w:spacing w:after="0" w:line="9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We aim to build products that deliver the best possible user experience that digital natives have come to expect when interacting with technology platforms. These products and the user experience they provide are made possible by our proprietary technology infrastructure, industry partners, network of program banks, and a culture of automation that permeates our entire organization. Together, these form the core of the Wealthfront platform.</w:t>
      </w:r>
    </w:p>
    <w:p>
      <w:pPr>
        <w:spacing w:after="0" w:line="91"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Each step of building our platform has been deliberate. We have established a diverse and comprehensive suite of financial products and a framework designed to provide superior client service, underpinned by a commitment to automation. Our product development process is iterative. We constantly build, refine, and deploy new features and products to our client base. We choose to build products which together form a coherent ecosystem of financial products, rather than a supermarket of options. We’re not in a race to recreate all financial products offered by incumbents. Instead, we design solutions to problems experienced by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Diverse Financial Products</w:t>
      </w:r>
    </w:p>
    <w:p>
      <w:pPr>
        <w:spacing w:after="0" w:line="13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products help our clients build long-term wealth on their own terms. We have built a range of cash management, investment advisory, borrowing and lending, and financial planning products to serve the diverse financial needs of our clients. Our products span a broad risk spectrum that addresses the diverse financial needs of our clients throughout economic cycles—ranging from cash management to direct stock investing. Within our suite of investment advisory products, we offer capabilities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760"/>
          </w:cols>
          <w:pgMar w:left="300" w:top="209" w:right="8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146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514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suited for either “delegators” who want fully managed solutions and “do it yourselfers” who want more control over individual financial decisions.</w:t>
      </w:r>
    </w:p>
    <w:p>
      <w:pPr>
        <w:spacing w:after="0" w:line="135" w:lineRule="exact"/>
        <w:rPr>
          <w:sz w:val="20"/>
          <w:szCs w:val="20"/>
          <w:color w:val="auto"/>
        </w:rPr>
      </w:pPr>
    </w:p>
    <w:p>
      <w:pPr>
        <w:ind w:left="1000" w:hanging="225"/>
        <w:spacing w:after="0"/>
        <w:tabs>
          <w:tab w:leader="none" w:pos="100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Cash Management</w:t>
      </w:r>
    </w:p>
    <w:p>
      <w:pPr>
        <w:spacing w:after="0" w:line="131" w:lineRule="exact"/>
        <w:rPr>
          <w:sz w:val="20"/>
          <w:szCs w:val="20"/>
          <w:color w:val="auto"/>
        </w:rPr>
      </w:pPr>
    </w:p>
    <w:p>
      <w:pPr>
        <w:jc w:val="both"/>
        <w:ind w:left="1020"/>
        <w:spacing w:after="0" w:line="224" w:lineRule="auto"/>
        <w:rPr>
          <w:sz w:val="20"/>
          <w:szCs w:val="20"/>
          <w:color w:val="auto"/>
        </w:rPr>
      </w:pPr>
      <w:r>
        <w:rPr>
          <w:rFonts w:ascii="Arial" w:cs="Arial" w:eastAsia="Arial" w:hAnsi="Arial"/>
          <w:sz w:val="14"/>
          <w:szCs w:val="14"/>
          <w:color w:val="auto"/>
        </w:rPr>
        <w:t>The Cash Account is a brokerage account offered by Wealthfront Brokerage LLC that provides clients with access to our cash management services, including our cash sweep program.</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Our Cash Account automatically transfers, or “sweeps,” clients’ cash deposits to a large number of program banks where clients earn interest at an industry-leading APY</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and benefit from the security of pass-through FDIC insurance.</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By sweeping clients’ funds from Wealthfront Brokerage LLC through an intermediary bank</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to multiple program banks, we enable our clients to access up to $8 million in FDIC insurance for individual accounts and $16 million for joint accounts.</w:t>
      </w:r>
      <w:r>
        <w:rPr>
          <w:rFonts w:ascii="Arial" w:cs="Arial" w:eastAsia="Arial" w:hAnsi="Arial"/>
          <w:sz w:val="18"/>
          <w:szCs w:val="18"/>
          <w:color w:val="auto"/>
          <w:vertAlign w:val="superscript"/>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020"/>
        <w:spacing w:after="0" w:line="262" w:lineRule="auto"/>
        <w:rPr>
          <w:sz w:val="20"/>
          <w:szCs w:val="20"/>
          <w:color w:val="auto"/>
        </w:rPr>
      </w:pPr>
      <w:r>
        <w:rPr>
          <w:rFonts w:ascii="Arial" w:cs="Arial" w:eastAsia="Arial" w:hAnsi="Arial"/>
          <w:sz w:val="14"/>
          <w:szCs w:val="14"/>
          <w:color w:val="auto"/>
        </w:rPr>
        <w:t>In addition to interest at an industry-leading APY and no account fees, the Cash Account provides a full array of fee-free, no-strings-attached checking features. Our Cash Account has both checking and savings functionality, allowing clients to maximize their utility with just one account. Our various checking features include: debit cards, account and routing numbers for deposits and withdrawals, direct deposit, bill payment, mobile check deposits, access to over 19,000 free ATMs nationwide, early paycheck access of up to two days by enabling direct deposit, and free wire transfers to clients’ external accounts.</w:t>
      </w:r>
    </w:p>
    <w:p>
      <w:pPr>
        <w:spacing w:after="0" w:line="96" w:lineRule="exact"/>
        <w:rPr>
          <w:sz w:val="20"/>
          <w:szCs w:val="20"/>
          <w:color w:val="auto"/>
        </w:rPr>
      </w:pPr>
    </w:p>
    <w:p>
      <w:pPr>
        <w:jc w:val="both"/>
        <w:ind w:left="1020"/>
        <w:spacing w:after="0" w:line="268" w:lineRule="auto"/>
        <w:rPr>
          <w:sz w:val="20"/>
          <w:szCs w:val="20"/>
          <w:color w:val="auto"/>
        </w:rPr>
      </w:pPr>
      <w:r>
        <w:rPr>
          <w:rFonts w:ascii="Arial" w:cs="Arial" w:eastAsia="Arial" w:hAnsi="Arial"/>
          <w:sz w:val="14"/>
          <w:szCs w:val="14"/>
          <w:color w:val="auto"/>
        </w:rPr>
        <w:t>We also offer some automated features that make it easier to save and invest, including automated savings plans and recurring transfers, cash categories for easy budgeting and customizable saving goals, and the ability for joint account holders to track combined net worth and set shared goals with customized categories. Clients who open a Cash Account will</w:t>
      </w:r>
    </w:p>
    <w:p>
      <w:pPr>
        <w:spacing w:after="0" w:line="172" w:lineRule="exact"/>
        <w:rPr>
          <w:sz w:val="20"/>
          <w:szCs w:val="20"/>
          <w:color w:val="auto"/>
        </w:rPr>
      </w:pPr>
    </w:p>
    <w:p>
      <w:pPr>
        <w:ind w:left="600" w:hanging="77"/>
        <w:spacing w:after="0"/>
        <w:tabs>
          <w:tab w:leader="none" w:pos="60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The Cash Account provides clients access to our cash management services, but does not support self-directed securities trading.</w:t>
      </w:r>
    </w:p>
    <w:p>
      <w:pPr>
        <w:spacing w:after="0" w:line="1" w:lineRule="exact"/>
        <w:rPr>
          <w:sz w:val="20"/>
          <w:szCs w:val="20"/>
          <w:color w:val="auto"/>
        </w:rPr>
      </w:pPr>
    </w:p>
    <w:p>
      <w:pPr>
        <w:ind w:left="780" w:hanging="257"/>
        <w:spacing w:after="0" w:line="223" w:lineRule="auto"/>
        <w:tabs>
          <w:tab w:leader="none" w:pos="618"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spacing w:after="0" w:line="2" w:lineRule="exact"/>
        <w:rPr>
          <w:sz w:val="20"/>
          <w:szCs w:val="20"/>
          <w:color w:val="auto"/>
        </w:rPr>
      </w:pPr>
    </w:p>
    <w:p>
      <w:pPr>
        <w:jc w:val="right"/>
        <w:ind w:left="780" w:hanging="257"/>
        <w:spacing w:after="0" w:line="219" w:lineRule="auto"/>
        <w:tabs>
          <w:tab w:leader="none" w:pos="62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Funds received for deposit in clients’ Cash Accounts are protected initially by SIPC up to $250,000 (plus any excess insurance we have purchased) and, once swept to program banks, by FDIC insurance. Subject to FDIC rules, pass-through FDIC insurance is provided up to $250,000 for all client assets held in the same capacity at each individual</w:t>
      </w:r>
    </w:p>
    <w:p>
      <w:pPr>
        <w:spacing w:after="0" w:line="1" w:lineRule="exact"/>
        <w:rPr>
          <w:sz w:val="20"/>
          <w:szCs w:val="20"/>
          <w:color w:val="auto"/>
        </w:rPr>
      </w:pPr>
    </w:p>
    <w:p>
      <w:pPr>
        <w:ind w:left="780"/>
        <w:spacing w:after="0" w:line="237" w:lineRule="auto"/>
        <w:rPr>
          <w:sz w:val="20"/>
          <w:szCs w:val="20"/>
          <w:color w:val="auto"/>
        </w:rPr>
      </w:pPr>
      <w:r>
        <w:rPr>
          <w:rFonts w:ascii="Arial" w:cs="Arial" w:eastAsia="Arial" w:hAnsi="Arial"/>
          <w:sz w:val="13"/>
          <w:szCs w:val="13"/>
          <w:color w:val="auto"/>
        </w:rPr>
        <w:t>program bank. By placing no more than $250,000 at up to 32 program banks, we can provide clients access to up to $8 million of federal deposit insurance across those 32 banks (i.e., $250,000 times 32) for individual accounts and $16 million of federal deposit insurance for joint accounts (i.e., $500,000 times 32).</w:t>
      </w:r>
    </w:p>
    <w:p>
      <w:pPr>
        <w:ind w:left="600" w:hanging="77"/>
        <w:spacing w:after="0" w:line="204" w:lineRule="auto"/>
        <w:tabs>
          <w:tab w:leader="none" w:pos="60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Wealthfront currently maintains intermediary accounts at Wells Fargo Bank, N.A. (“Wells Fargo”) for this purpose.</w:t>
      </w:r>
    </w:p>
    <w:p>
      <w:pPr>
        <w:spacing w:after="0" w:line="2" w:lineRule="exact"/>
        <w:rPr>
          <w:sz w:val="20"/>
          <w:szCs w:val="20"/>
          <w:color w:val="auto"/>
        </w:rPr>
      </w:pPr>
    </w:p>
    <w:p>
      <w:pPr>
        <w:ind w:left="780" w:hanging="257"/>
        <w:spacing w:after="0" w:line="218" w:lineRule="auto"/>
        <w:tabs>
          <w:tab w:leader="none" w:pos="613"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A full list of our program banks is available on our website and is subject to change from time to time. The information contained on, or that can be accessed through,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760"/>
          </w:cols>
          <w:pgMar w:left="300" w:top="209" w:right="8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318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31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automatically receive the full suite of our cash management services without a separate required opt-in process.</w:t>
      </w:r>
    </w:p>
    <w:p>
      <w:pPr>
        <w:spacing w:after="0" w:line="133" w:lineRule="exact"/>
        <w:rPr>
          <w:sz w:val="20"/>
          <w:szCs w:val="20"/>
          <w:color w:val="auto"/>
        </w:rPr>
      </w:pPr>
    </w:p>
    <w:p>
      <w:pPr>
        <w:jc w:val="both"/>
        <w:ind w:left="1020"/>
        <w:spacing w:after="0" w:line="259" w:lineRule="auto"/>
        <w:rPr>
          <w:sz w:val="20"/>
          <w:szCs w:val="20"/>
          <w:color w:val="auto"/>
        </w:rPr>
      </w:pPr>
      <w:r>
        <w:rPr>
          <w:rFonts w:ascii="Arial" w:cs="Arial" w:eastAsia="Arial" w:hAnsi="Arial"/>
          <w:sz w:val="14"/>
          <w:szCs w:val="14"/>
          <w:color w:val="auto"/>
        </w:rPr>
        <w:t>We deliver these cash management services through arrangements with several vendors, including certain banks. We sweep deposits to the various program banks utilizing automated allocations with the support of R&amp;T Deposit Solutions (“R&amp;T”), which serves as administrator of our cash sweep program. In addition, we offer the above checking features to clients through arrangements with our banking partners, Green Dot Bank (“Green Dot”) and UMB Bank (“UMB”). Green Dot provides clients with a Wealthfront-branded debit card, ATM network access, and mobile check deposit. UMB provides clients with certain ACH capabilities.</w:t>
      </w:r>
    </w:p>
    <w:p>
      <w:pPr>
        <w:spacing w:after="0" w:line="98" w:lineRule="exact"/>
        <w:rPr>
          <w:sz w:val="20"/>
          <w:szCs w:val="20"/>
          <w:color w:val="auto"/>
        </w:rPr>
      </w:pPr>
    </w:p>
    <w:p>
      <w:pPr>
        <w:jc w:val="both"/>
        <w:ind w:left="1020"/>
        <w:spacing w:after="0" w:line="254" w:lineRule="auto"/>
        <w:rPr>
          <w:sz w:val="20"/>
          <w:szCs w:val="20"/>
          <w:color w:val="auto"/>
        </w:rPr>
      </w:pPr>
      <w:r>
        <w:rPr>
          <w:rFonts w:ascii="Arial" w:cs="Arial" w:eastAsia="Arial" w:hAnsi="Arial"/>
          <w:sz w:val="14"/>
          <w:szCs w:val="14"/>
          <w:color w:val="auto"/>
        </w:rPr>
        <w:t>We generate revenue from our Cash Account through fees received for the delivery of cash management services that are a part of our cash sweep program. Each program bank agrees to pay a gross amount on program deposits. This amount is based on a negotiated percentage multiplied by the program deposits at the program bank. A portion of the gross amount is paid to our clients as interest by the program bank for the program deposits, and we receive the remainder as our fee for the cash management services that we deliver to our clients. Cash management revenue also includes a small amount of interchange revenue generated when our clients use the Wealthfront-branded debit card to make purchases. Cash Accounts and debit cards incur various costs, including the fee we pay to R&amp;T for its administrative services, as well as costs incurred by us for money movement, tax reporting, debit card issuance, ATM fees, and various other operational costs. For fiscal 2024, fiscal 2025, and the six months ended July 31, 2025, revenue from our cash management product constituted approximately 71%, 75%, and 76% of our total revenue, respectively. For additional information, see the sections titled “Management’s Discussion and Analysis of Financial Condition and Results of Operations—Components of Results of Operations” and “Management’s Discussion and Analysis of Financial Condition and Results of Operations—The Unique Economics and Compounding Growth Model of Wealthfront—Our Revenue Model.”</w:t>
      </w:r>
    </w:p>
    <w:p>
      <w:pPr>
        <w:spacing w:after="0" w:line="106" w:lineRule="exact"/>
        <w:rPr>
          <w:sz w:val="20"/>
          <w:szCs w:val="20"/>
          <w:color w:val="auto"/>
        </w:rPr>
      </w:pPr>
    </w:p>
    <w:p>
      <w:pPr>
        <w:ind w:left="1000" w:hanging="225"/>
        <w:spacing w:after="0"/>
        <w:tabs>
          <w:tab w:leader="none" w:pos="100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 Advisory</w:t>
      </w:r>
    </w:p>
    <w:p>
      <w:pPr>
        <w:spacing w:after="0" w:line="131" w:lineRule="exact"/>
        <w:rPr>
          <w:sz w:val="20"/>
          <w:szCs w:val="20"/>
          <w:color w:val="auto"/>
        </w:rPr>
      </w:pPr>
    </w:p>
    <w:p>
      <w:pPr>
        <w:jc w:val="both"/>
        <w:ind w:left="1020"/>
        <w:spacing w:after="0" w:line="247" w:lineRule="auto"/>
        <w:rPr>
          <w:sz w:val="20"/>
          <w:szCs w:val="20"/>
          <w:color w:val="auto"/>
        </w:rPr>
      </w:pPr>
      <w:r>
        <w:rPr>
          <w:rFonts w:ascii="Arial" w:cs="Arial" w:eastAsia="Arial" w:hAnsi="Arial"/>
          <w:sz w:val="14"/>
          <w:szCs w:val="14"/>
          <w:color w:val="auto"/>
        </w:rPr>
        <w:t>Our investment advisory products, offered by our subsidiary, Wealthfront Advisers LLC, are primarily premised on the belief that it is extremely difficult to outperform the market. Therefore, we advocate a passive approach to long-term investing. We aim to excel at the three things clients can control to reliably improve their long-term, after-tax returns</w:t>
      </w:r>
      <w:r>
        <w:rPr>
          <w:rFonts w:ascii="Arial" w:cs="Arial" w:eastAsia="Arial" w:hAnsi="Arial"/>
          <w:sz w:val="18"/>
          <w:szCs w:val="18"/>
          <w:color w:val="auto"/>
          <w:vertAlign w:val="superscript"/>
        </w:rPr>
        <w:t>8</w:t>
      </w:r>
      <w:r>
        <w:rPr>
          <w:rFonts w:ascii="Arial" w:cs="Arial" w:eastAsia="Arial" w:hAnsi="Arial"/>
          <w:sz w:val="14"/>
          <w:szCs w:val="14"/>
          <w:color w:val="auto"/>
        </w:rPr>
        <w:t>: fees, taxes, and diversification. Clients benefit from our automated tax-loss harvesting strategies that are applied to our diversified portfolios of index-based ETFs, U.S. Direct Indexing, S&amp;P 500 Direct, and Automated Bond Portfolios. Additionally, we offer clients the ability to invest in automated treasury bond ladders and discover and invest in individual stocks. We receive revenue from our investment advisory products through fees we charge for investment advisory and portfolio management services. Our investment advisory fees are calculated by multiplying our advisory fee, typically 0.25%, by the market value, less fee waivers, of assets held in client accounts. Costs primarily consist of clearing and execution, money movement, tax reporting, client account maintenance, and individual retirement accounts’ custodial expenses. For fiscal 2024, fiscal 2025, and the six months ended July 31, 2025, revenue from our investment advisory products constituted approximately 26%, 24%, and 24% of our total revenue, respectively. For additional information about our investment advisory products, see the sections titled “Management’s Discussion and Analysis of Financial Condition and Results of Operations—Components of Results of Operations” and “Management’s Discussion and Analysis of Financial Condition and Results of Operations—The Unique Economics and Compounding Growth Model of Wealthfront—Our Revenue Model.” Please also see the information and disclaimers included in Wealthfront Adviser LLC’s Form ADV Part 2A Client Brochure.</w:t>
      </w:r>
    </w:p>
    <w:p>
      <w:pPr>
        <w:spacing w:after="0" w:line="203" w:lineRule="exact"/>
        <w:rPr>
          <w:sz w:val="20"/>
          <w:szCs w:val="20"/>
          <w:color w:val="auto"/>
        </w:rPr>
      </w:pPr>
    </w:p>
    <w:p>
      <w:pPr>
        <w:ind w:left="600" w:hanging="77"/>
        <w:spacing w:after="0"/>
        <w:tabs>
          <w:tab w:leader="none" w:pos="6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Based on extensive academic research, including that relating to Modern Portfolio Theory as described by Harry Markowitz in his 1952 paper Portfolio Selection.</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54" w:lineRule="exact"/>
        <w:rPr>
          <w:rFonts w:ascii="Arial" w:cs="Arial" w:eastAsia="Arial" w:hAnsi="Arial"/>
          <w:sz w:val="16"/>
          <w:szCs w:val="16"/>
          <w:color w:val="auto"/>
          <w:vertAlign w:val="superscript"/>
        </w:rPr>
      </w:pPr>
    </w:p>
    <w:p>
      <w:pPr>
        <w:ind w:left="5560"/>
        <w:spacing w:after="0"/>
        <w:rPr>
          <w:rFonts w:ascii="Arial" w:cs="Arial" w:eastAsia="Arial" w:hAnsi="Arial"/>
          <w:sz w:val="16"/>
          <w:szCs w:val="16"/>
          <w:color w:val="auto"/>
          <w:vertAlign w:val="superscript"/>
        </w:rPr>
      </w:pPr>
      <w:r>
        <w:rPr>
          <w:rFonts w:ascii="Arial" w:cs="Arial" w:eastAsia="Arial" w:hAnsi="Arial"/>
          <w:sz w:val="14"/>
          <w:szCs w:val="14"/>
          <w:color w:val="auto"/>
        </w:rPr>
        <w:t>14</w:t>
      </w:r>
    </w:p>
    <w:p>
      <w:pPr>
        <w:sectPr>
          <w:pgSz w:w="11900" w:h="16838" w:orient="portrait"/>
          <w:cols w:equalWidth="0" w:num="1">
            <w:col w:w="10760"/>
          </w:cols>
          <w:pgMar w:left="300" w:top="209" w:right="8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3710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371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0" w:hanging="225"/>
        <w:spacing w:after="0"/>
        <w:tabs>
          <w:tab w:leader="none" w:pos="100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Borrowing and Lending</w:t>
      </w:r>
    </w:p>
    <w:p>
      <w:pPr>
        <w:spacing w:after="0" w:line="131" w:lineRule="exact"/>
        <w:rPr>
          <w:sz w:val="20"/>
          <w:szCs w:val="20"/>
          <w:color w:val="auto"/>
        </w:rPr>
      </w:pPr>
    </w:p>
    <w:p>
      <w:pPr>
        <w:jc w:val="both"/>
        <w:ind w:left="1020"/>
        <w:spacing w:after="0" w:line="255" w:lineRule="auto"/>
        <w:rPr>
          <w:sz w:val="20"/>
          <w:szCs w:val="20"/>
          <w:color w:val="auto"/>
        </w:rPr>
      </w:pPr>
      <w:r>
        <w:rPr>
          <w:rFonts w:ascii="Arial" w:cs="Arial" w:eastAsia="Arial" w:hAnsi="Arial"/>
          <w:sz w:val="14"/>
          <w:szCs w:val="14"/>
          <w:color w:val="auto"/>
        </w:rPr>
        <w:t>We offer clients with a minimum account balance of $25,000 a simple, fast, and low cost way to borrow cash against up to 30% of the securities in their eligible investment accounts using a Portfolio Line of Credit (“PLOC”). We offer PLOC to clients through our omnibus margin lending arrangement with RBC Clearing &amp; Custody, which is subject to customary industry terms. RBC Clearing &amp; Custody extends loans to Wealthfront Brokerage LLC, which then lends these funds to Wealthfront Brokerage LLC clients. Wealthfront Brokerage LLC provides client securities as collateral for such loans and is charged interest by RBC Clearing &amp; Custody on the overall balance of margin loans taken out by clients. As of December 1, 2025, our borrowing rates are among the lowest in the industry, currently 1.08% above the prevailing Effective Federal Funds Rate (“EFFR”), and provide an economical liquidity solution to our clients. We generate revenue from the interest clients pay on the overall balance of their margin loans, less the interest charged by RBC Clearing &amp; Custody described above.</w:t>
      </w:r>
    </w:p>
    <w:p>
      <w:pPr>
        <w:spacing w:after="0" w:line="103" w:lineRule="exact"/>
        <w:rPr>
          <w:sz w:val="20"/>
          <w:szCs w:val="20"/>
          <w:color w:val="auto"/>
        </w:rPr>
      </w:pPr>
    </w:p>
    <w:p>
      <w:pPr>
        <w:jc w:val="both"/>
        <w:ind w:left="1020"/>
        <w:spacing w:after="0" w:line="259" w:lineRule="auto"/>
        <w:rPr>
          <w:sz w:val="20"/>
          <w:szCs w:val="20"/>
          <w:color w:val="auto"/>
        </w:rPr>
      </w:pPr>
      <w:r>
        <w:rPr>
          <w:rFonts w:ascii="Arial" w:cs="Arial" w:eastAsia="Arial" w:hAnsi="Arial"/>
          <w:sz w:val="14"/>
          <w:szCs w:val="14"/>
          <w:color w:val="auto"/>
        </w:rPr>
        <w:t>We also enable clients to earn cash income by lending securities they own through our Fully Paid Securities Lending (“FPSL”) program. Clients can opt in or out of the FPSL program at any time. If a participating client opts in and meets our lending requirements, the client authorizes Wealthfront Advisers LLC to lend the client’s fully paid securities to Wealthfront Brokerage LLC, which lends such securities to unaffiliated third-party financial institutions. These loans are collateralized with cash received from the unaffiliated third-party borrowers, and clients receive 50% of the net interest revenue generated from the loans. We offer our FPSL program through an arrangement with Sharegain that launched in February 2025. Sharegain is a leading securities lending platform provider.</w:t>
      </w:r>
    </w:p>
    <w:p>
      <w:pPr>
        <w:spacing w:after="0" w:line="98" w:lineRule="exact"/>
        <w:rPr>
          <w:sz w:val="20"/>
          <w:szCs w:val="20"/>
          <w:color w:val="auto"/>
        </w:rPr>
      </w:pPr>
    </w:p>
    <w:p>
      <w:pPr>
        <w:jc w:val="both"/>
        <w:ind w:left="1020"/>
        <w:spacing w:after="0" w:line="257" w:lineRule="auto"/>
        <w:rPr>
          <w:sz w:val="20"/>
          <w:szCs w:val="20"/>
          <w:color w:val="auto"/>
        </w:rPr>
      </w:pPr>
      <w:r>
        <w:rPr>
          <w:rFonts w:ascii="Arial" w:cs="Arial" w:eastAsia="Arial" w:hAnsi="Arial"/>
          <w:sz w:val="14"/>
          <w:szCs w:val="14"/>
          <w:color w:val="auto"/>
        </w:rPr>
        <w:t>We receive revenue from our borrowing and lending products primarily through interest received for our PLOC margin lending services. For fiscal 2024, fiscal 2025, and the six months ended July 31, 2025, revenue from our borrowing and lending services was immaterial, constituting approximately 1%, 0%, and 0% of our total revenue, respectively. There are also immaterial costs associated with our borrowing and lending products. For additional information, see the sections titled “Management’s Discussion and Analysis of Financial Condition and Results of Operations—Components of Results of Operations,” “Management’s Discussion and Analysis of Financial Condition and Results of Operations—Quantitative and Qualitative Discussions of Market Risk,” “Business—Our Products,” and “Business—Government Regulation—Brokerage Regulation and Regulatory Capital and Deposit Requirements.”</w:t>
      </w:r>
    </w:p>
    <w:p>
      <w:pPr>
        <w:spacing w:after="0" w:line="103" w:lineRule="exact"/>
        <w:rPr>
          <w:sz w:val="20"/>
          <w:szCs w:val="20"/>
          <w:color w:val="auto"/>
        </w:rPr>
      </w:pPr>
    </w:p>
    <w:p>
      <w:pPr>
        <w:ind w:left="1000" w:hanging="225"/>
        <w:spacing w:after="0"/>
        <w:tabs>
          <w:tab w:leader="none" w:pos="100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Financial Planning</w:t>
      </w:r>
    </w:p>
    <w:p>
      <w:pPr>
        <w:spacing w:after="0" w:line="131" w:lineRule="exact"/>
        <w:rPr>
          <w:sz w:val="20"/>
          <w:szCs w:val="20"/>
          <w:color w:val="auto"/>
        </w:rPr>
      </w:pPr>
    </w:p>
    <w:p>
      <w:pPr>
        <w:jc w:val="both"/>
        <w:ind w:left="1020"/>
        <w:spacing w:after="0" w:line="262" w:lineRule="auto"/>
        <w:rPr>
          <w:sz w:val="20"/>
          <w:szCs w:val="20"/>
          <w:color w:val="auto"/>
        </w:rPr>
      </w:pPr>
      <w:r>
        <w:rPr>
          <w:rFonts w:ascii="Arial" w:cs="Arial" w:eastAsia="Arial" w:hAnsi="Arial"/>
          <w:sz w:val="14"/>
          <w:szCs w:val="14"/>
          <w:color w:val="auto"/>
        </w:rPr>
        <w:t>We provide individualized, software-based financial planning to help clients optimize their finances, giving them insight into their projected future net worth, and guidance on the cost of homeownership, early retirement, prolonged time off from their careers, or saving for college. These personalized insights and advice are provided for free, without ever needing to talk to a financial planner. We do not currently earn revenue from, and do not allocate costs to, our financial planning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760"/>
          </w:cols>
          <w:pgMar w:left="300" w:top="209" w:right="8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313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531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pace at which we launch new products has accelerated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Client Experience: Trust and Transparency</w:t>
      </w:r>
    </w:p>
    <w:p>
      <w:pPr>
        <w:spacing w:after="0" w:line="129" w:lineRule="exact"/>
        <w:rPr>
          <w:sz w:val="20"/>
          <w:szCs w:val="20"/>
          <w:color w:val="auto"/>
        </w:rPr>
      </w:pPr>
    </w:p>
    <w:p>
      <w:pPr>
        <w:jc w:val="both"/>
        <w:ind w:left="520"/>
        <w:spacing w:after="0" w:line="237" w:lineRule="auto"/>
        <w:rPr>
          <w:sz w:val="20"/>
          <w:szCs w:val="20"/>
          <w:color w:val="auto"/>
        </w:rPr>
      </w:pPr>
      <w:r>
        <w:rPr>
          <w:rFonts w:ascii="Arial" w:cs="Arial" w:eastAsia="Arial" w:hAnsi="Arial"/>
          <w:sz w:val="14"/>
          <w:szCs w:val="14"/>
          <w:color w:val="auto"/>
        </w:rPr>
        <w:t>Trust and transparency are at the core of our client experience. As of July 31, 2025, our average platform assets per client was approximately $67,000,</w:t>
      </w:r>
      <w:r>
        <w:rPr>
          <w:rFonts w:ascii="Arial" w:cs="Arial" w:eastAsia="Arial" w:hAnsi="Arial"/>
          <w:sz w:val="18"/>
          <w:szCs w:val="18"/>
          <w:color w:val="auto"/>
          <w:vertAlign w:val="superscript"/>
        </w:rPr>
        <w:t>9</w:t>
      </w:r>
      <w:r>
        <w:rPr>
          <w:rFonts w:ascii="Arial" w:cs="Arial" w:eastAsia="Arial" w:hAnsi="Arial"/>
          <w:sz w:val="14"/>
          <w:szCs w:val="14"/>
          <w:color w:val="auto"/>
        </w:rPr>
        <w:t xml:space="preserve"> which we believe demonstrates our clients’ trust in our platform. Trust and transparency also benefits our business model, as a delightful client experience drives word-of-mouth referrals.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key features that drive trust and transparency are: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Superior Value and Lower Cost</w:t>
      </w:r>
    </w:p>
    <w:p>
      <w:pPr>
        <w:spacing w:after="0" w:line="131" w:lineRule="exact"/>
        <w:rPr>
          <w:sz w:val="20"/>
          <w:szCs w:val="20"/>
          <w:color w:val="auto"/>
        </w:rPr>
      </w:pPr>
    </w:p>
    <w:p>
      <w:pPr>
        <w:jc w:val="both"/>
        <w:ind w:left="520"/>
        <w:spacing w:after="0" w:line="245" w:lineRule="auto"/>
        <w:rPr>
          <w:sz w:val="20"/>
          <w:szCs w:val="20"/>
          <w:color w:val="auto"/>
        </w:rPr>
      </w:pPr>
      <w:r>
        <w:rPr>
          <w:rFonts w:ascii="Arial" w:cs="Arial" w:eastAsia="Arial" w:hAnsi="Arial"/>
          <w:sz w:val="14"/>
          <w:szCs w:val="14"/>
          <w:color w:val="auto"/>
        </w:rPr>
        <w:t>We believe we are uniquely able to offer these lower cost solutions at superior value because of the automation we’ve built into our platform and our willingness to share our savings with clients, who value low-cost financial products. We believe that, due in part to our unwavering focus on automation, we’re able to drive down the marginal cost of evaluating and trading, launch and iterate products faster, lower the cost of our support and offer a better overall client experience, including in the form of an industry-leading APY</w:t>
      </w:r>
      <w:r>
        <w:rPr>
          <w:rFonts w:ascii="Arial" w:cs="Arial" w:eastAsia="Arial" w:hAnsi="Arial"/>
          <w:sz w:val="18"/>
          <w:szCs w:val="18"/>
          <w:color w:val="auto"/>
          <w:vertAlign w:val="superscript"/>
        </w:rPr>
        <w:t>10</w:t>
      </w:r>
      <w:r>
        <w:rPr>
          <w:rFonts w:ascii="Arial" w:cs="Arial" w:eastAsia="Arial" w:hAnsi="Arial"/>
          <w:sz w:val="14"/>
          <w:szCs w:val="14"/>
          <w:color w:val="auto"/>
        </w:rPr>
        <w:t xml:space="preserve"> for our cash management products, lower advisory fees</w:t>
      </w:r>
      <w:r>
        <w:rPr>
          <w:rFonts w:ascii="Arial" w:cs="Arial" w:eastAsia="Arial" w:hAnsi="Arial"/>
          <w:sz w:val="18"/>
          <w:szCs w:val="18"/>
          <w:color w:val="auto"/>
          <w:vertAlign w:val="superscript"/>
        </w:rPr>
        <w:t>11</w:t>
      </w:r>
      <w:r>
        <w:rPr>
          <w:rFonts w:ascii="Arial" w:cs="Arial" w:eastAsia="Arial" w:hAnsi="Arial"/>
          <w:sz w:val="14"/>
          <w:szCs w:val="14"/>
          <w:color w:val="auto"/>
        </w:rPr>
        <w:t xml:space="preserve"> for our investment advisory products, and low interest rates for our PLOC.</w:t>
      </w:r>
      <w:r>
        <w:rPr>
          <w:rFonts w:ascii="Arial" w:cs="Arial" w:eastAsia="Arial" w:hAnsi="Arial"/>
          <w:sz w:val="18"/>
          <w:szCs w:val="18"/>
          <w:color w:val="auto"/>
          <w:vertAlign w:val="superscript"/>
        </w:rPr>
        <w:t>12</w:t>
      </w:r>
      <w:r>
        <w:rPr>
          <w:rFonts w:ascii="Arial" w:cs="Arial" w:eastAsia="Arial" w:hAnsi="Arial"/>
          <w:sz w:val="14"/>
          <w:szCs w:val="14"/>
          <w:color w:val="auto"/>
        </w:rPr>
        <w:t xml:space="preserve"> Additionally, we offer clients a wide range of premium features with our products without an additional fee or subscription, including:</w:t>
      </w:r>
    </w:p>
    <w:p>
      <w:pPr>
        <w:spacing w:after="0" w:line="52" w:lineRule="exact"/>
        <w:rPr>
          <w:sz w:val="20"/>
          <w:szCs w:val="20"/>
          <w:color w:val="auto"/>
        </w:rPr>
      </w:pPr>
    </w:p>
    <w:p>
      <w:pPr>
        <w:ind w:left="1020" w:hanging="245"/>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 industry-leading APY through our program banks on as little as $1 in a Wealthfront Cash Account with $0 account fees.</w:t>
      </w:r>
    </w:p>
    <w:p>
      <w:pPr>
        <w:spacing w:after="0" w:line="214" w:lineRule="exact"/>
        <w:rPr>
          <w:sz w:val="20"/>
          <w:szCs w:val="20"/>
          <w:color w:val="auto"/>
        </w:rPr>
      </w:pPr>
    </w:p>
    <w:p>
      <w:pPr>
        <w:ind w:left="600" w:hanging="77"/>
        <w:spacing w:after="0"/>
        <w:tabs>
          <w:tab w:leader="none" w:pos="60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Average platform assets per client is calculated by dividing platform assets by funded clients as of a stated date.</w:t>
      </w:r>
    </w:p>
    <w:p>
      <w:pPr>
        <w:spacing w:after="0" w:line="1" w:lineRule="exact"/>
        <w:rPr>
          <w:sz w:val="20"/>
          <w:szCs w:val="20"/>
          <w:color w:val="auto"/>
        </w:rPr>
      </w:pPr>
    </w:p>
    <w:p>
      <w:pPr>
        <w:ind w:left="780" w:hanging="257"/>
        <w:spacing w:after="0" w:line="223" w:lineRule="auto"/>
        <w:tabs>
          <w:tab w:leader="none" w:pos="656"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Based on data collected by us on APY offered by a total of sixteen competitors offering online cash savings or cash management products from October 2022 through August 2025, during which period the APY offered in a Cash Account was among the top 1 to 5 of those competitors. As of December 1, 2025, clients could earn between 3.50% and 4.25% APY in a Cash Account.</w:t>
      </w:r>
    </w:p>
    <w:p>
      <w:pPr>
        <w:spacing w:after="0" w:line="1" w:lineRule="exact"/>
        <w:rPr>
          <w:rFonts w:ascii="Arial" w:cs="Arial" w:eastAsia="Arial" w:hAnsi="Arial"/>
          <w:sz w:val="16"/>
          <w:szCs w:val="16"/>
          <w:color w:val="auto"/>
          <w:vertAlign w:val="superscript"/>
        </w:rPr>
      </w:pPr>
    </w:p>
    <w:p>
      <w:pPr>
        <w:ind w:left="780" w:hanging="257"/>
        <w:spacing w:after="0" w:line="219" w:lineRule="auto"/>
        <w:tabs>
          <w:tab w:leader="none" w:pos="661"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Based on a standard industry investment advisory fee of 1% of assets held, compared to our investment advisory fee of 0.25% of assets held for nearly all investment advisory assets.</w:t>
      </w:r>
    </w:p>
    <w:p>
      <w:pPr>
        <w:ind w:left="780" w:hanging="257"/>
        <w:spacing w:after="0" w:line="224" w:lineRule="auto"/>
        <w:tabs>
          <w:tab w:leader="none" w:pos="656"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Based on competitor rates data as of December 1, 2025 from certain competing financial institutions offering comparable margin lending products. We evaluate these rates because we believe that these competing financial institutions offer similar products to us, their rates are generally representative of industry averages for such products, and such rates reflect their standard rates. Accordingly, we believe our rates are low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760"/>
          </w:cols>
          <w:pgMar w:left="300" w:top="209" w:right="8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939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493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20" w:hanging="245"/>
        <w:spacing w:after="0" w:line="286" w:lineRule="auto"/>
        <w:tabs>
          <w:tab w:leader="none" w:pos="10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FDIC insurance up to $8 million for individual accounts and $16 million for joint accounts through our program banks and the aggregation of FDIC deposit insurance across the sweep program.</w:t>
      </w:r>
    </w:p>
    <w:p>
      <w:pPr>
        <w:spacing w:after="0" w:line="78" w:lineRule="exact"/>
        <w:rPr>
          <w:rFonts w:ascii="Arial" w:cs="Arial" w:eastAsia="Arial" w:hAnsi="Arial"/>
          <w:sz w:val="14"/>
          <w:szCs w:val="14"/>
          <w:color w:val="auto"/>
        </w:rPr>
      </w:pPr>
    </w:p>
    <w:p>
      <w:pPr>
        <w:ind w:left="1020" w:hanging="245"/>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Free instant withdrawals to eligible external accounts—even on weekends and holidays.</w:t>
      </w:r>
    </w:p>
    <w:p>
      <w:pPr>
        <w:spacing w:after="0" w:line="91" w:lineRule="exact"/>
        <w:rPr>
          <w:rFonts w:ascii="Arial" w:cs="Arial" w:eastAsia="Arial" w:hAnsi="Arial"/>
          <w:sz w:val="14"/>
          <w:szCs w:val="14"/>
          <w:color w:val="auto"/>
        </w:rPr>
      </w:pPr>
    </w:p>
    <w:p>
      <w:pPr>
        <w:ind w:left="1020" w:hanging="245"/>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Free domestic wires to title companies and accounts in the clients’ name.</w:t>
      </w:r>
    </w:p>
    <w:p>
      <w:pPr>
        <w:spacing w:after="0" w:line="133" w:lineRule="exact"/>
        <w:rPr>
          <w:rFonts w:ascii="Arial" w:cs="Arial" w:eastAsia="Arial" w:hAnsi="Arial"/>
          <w:sz w:val="14"/>
          <w:szCs w:val="14"/>
          <w:color w:val="auto"/>
        </w:rPr>
      </w:pPr>
    </w:p>
    <w:p>
      <w:pPr>
        <w:ind w:left="1020" w:hanging="245"/>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Over 19,000 free ATMs for funds held at our program banks and up to two free out-of-network ATM withdrawal reimbursements each month.</w:t>
      </w:r>
    </w:p>
    <w:p>
      <w:pPr>
        <w:spacing w:after="0" w:line="133" w:lineRule="exact"/>
        <w:rPr>
          <w:rFonts w:ascii="Arial" w:cs="Arial" w:eastAsia="Arial" w:hAnsi="Arial"/>
          <w:sz w:val="14"/>
          <w:szCs w:val="14"/>
          <w:color w:val="auto"/>
        </w:rPr>
      </w:pPr>
    </w:p>
    <w:p>
      <w:pPr>
        <w:ind w:left="1020" w:hanging="245"/>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Free automated tax-loss harvesting for many of our investment products that produces benefits that are often a multiple of our investment advisory fee.</w:t>
      </w:r>
    </w:p>
    <w:p>
      <w:pPr>
        <w:spacing w:after="0" w:line="133" w:lineRule="exact"/>
        <w:rPr>
          <w:rFonts w:ascii="Arial" w:cs="Arial" w:eastAsia="Arial" w:hAnsi="Arial"/>
          <w:sz w:val="14"/>
          <w:szCs w:val="14"/>
          <w:color w:val="auto"/>
        </w:rPr>
      </w:pPr>
    </w:p>
    <w:p>
      <w:pPr>
        <w:ind w:left="1020" w:hanging="245"/>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Private excess SIPC protection with an additional $500 million in aggregate and a maximum of $900,000 limit on cash in brokerage accounts per client.</w:t>
      </w:r>
    </w:p>
    <w:p>
      <w:pPr>
        <w:spacing w:after="0" w:line="133" w:lineRule="exact"/>
        <w:rPr>
          <w:rFonts w:ascii="Arial" w:cs="Arial" w:eastAsia="Arial" w:hAnsi="Arial"/>
          <w:sz w:val="14"/>
          <w:szCs w:val="14"/>
          <w:color w:val="auto"/>
        </w:rPr>
      </w:pPr>
    </w:p>
    <w:p>
      <w:pPr>
        <w:ind w:left="1020" w:hanging="245"/>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low borrowing rate for margin loans with approval in seconds and money deposited in as little as one business day.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Intuitive and Easy to Use</w:t>
      </w:r>
    </w:p>
    <w:p>
      <w:pPr>
        <w:spacing w:after="0" w:line="13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All our products are designed to simplify otherwise complex financial experiences and decisions. While complex to navigate on one’s own when beginning one’s financial journey, we strive to make the process holistic and simple. Everything from account opening to notifications, transfers, and decision prompts are presented to our clients clearly and conveniently. Our clients don’t want to talk to advisors, and instead, we are able to offer them financial product solutions without the need for appointments or phone calls.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Fast and Frictionless Money Movement</w:t>
      </w:r>
    </w:p>
    <w:p>
      <w:pPr>
        <w:spacing w:after="0" w:line="131"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want to make it as easy and as quick as possible for our clients to move money to where it is most productive for them. We offer 24/7/365 free instant withdrawals to eligible external accounts through the RTP Network and FedNow—including weekends and holidays—subject to the reservation of rights to impose risk-based limits when warranted. We have found that making it easy for clients to instantly withdraw their money with no fee from Wealthfront leads them to increase their contributions and hold larger balances at Wealthfront. We do not control fees charged by a client’s receiving institution, and we disclose to clients that their transactions are subject to any fees or timing constraints that may be imposed by these third-party receiving institutions (e.g., banks where clients have accounts).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Treating Clients as They Would Expect to be Treated</w:t>
      </w:r>
    </w:p>
    <w:p>
      <w:pPr>
        <w:spacing w:after="0" w:line="13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All of our investment products are designed to implement best practices in the industry, and we publish exactly how we implement each service in publicly available white papers. We do not charge hidden or unexpected transaction fees and we don’t pursue marketing strategies that offer a better deal to new clients than existing ones.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High-Quality Product Support</w:t>
      </w:r>
    </w:p>
    <w:p>
      <w:pPr>
        <w:spacing w:after="0" w:line="131"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Our goal is to build everything clients need into our products so they don’t ever have to call or email us. But if they do, our Product Specialists are delighted to help. They’re called Product Specialists because they serve a hybrid support and product function. Many people on our product support team have CFPs and CFA charters. As expected, they help clients quickly resolve problems, but perhaps even more importantly, they spend time determining what drives the support requests from clients so we can resolve the issues that led them to reach out to us. Our product support team reports directly to our product management organization, which helps us prioritize and make changes in the product experience based on client feedback, reducing the amount of human interaction ultimately needed in the long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760"/>
          </w:cols>
          <w:pgMar w:left="300" w:top="209" w:right="8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859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485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unique approach to support allows us to serve approximately 55,000 clients per Product Specialist as of July 31, 2025.</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Proprietary Technology</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Omnibus Brokerage Platform</w:t>
      </w:r>
    </w:p>
    <w:p>
      <w:pPr>
        <w:spacing w:after="0" w:line="13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proprietary omnibus brokerage platform is the foundation for our investing and cash management solutions. It helps us to continually improve the client experience, launch new products, and reduce costs. Our unrelenting focus on automation allows for extraordinary operating leverage and scalability, and enables us to deliver a broad spectrum of investment products and brokerage services, such as tax-loss harvesting, direct indexing and portfolio line of credit.</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Fully Integrated Brokerage and Cash Management</w:t>
      </w:r>
    </w:p>
    <w:p>
      <w:pPr>
        <w:spacing w:after="0" w:line="131" w:lineRule="exact"/>
        <w:rPr>
          <w:sz w:val="20"/>
          <w:szCs w:val="20"/>
          <w:color w:val="auto"/>
        </w:rPr>
      </w:pPr>
    </w:p>
    <w:p>
      <w:pPr>
        <w:jc w:val="both"/>
        <w:ind w:left="520"/>
        <w:spacing w:after="0" w:line="298" w:lineRule="auto"/>
        <w:rPr>
          <w:sz w:val="20"/>
          <w:szCs w:val="20"/>
          <w:color w:val="auto"/>
        </w:rPr>
      </w:pPr>
      <w:r>
        <w:rPr>
          <w:rFonts w:ascii="Arial" w:cs="Arial" w:eastAsia="Arial" w:hAnsi="Arial"/>
          <w:sz w:val="14"/>
          <w:szCs w:val="14"/>
          <w:color w:val="auto"/>
        </w:rPr>
        <w:t>Our brokerage platform seamlessly integrates with our cash management and investing solutions, creating a cohesive and streamlined client experience. As a result, clients are able to take advantage of instant transfers and earn interest at an industry-leading APY</w:t>
      </w:r>
      <w:r>
        <w:rPr>
          <w:rFonts w:ascii="Arial" w:cs="Arial" w:eastAsia="Arial" w:hAnsi="Arial"/>
          <w:sz w:val="18"/>
          <w:szCs w:val="18"/>
          <w:color w:val="auto"/>
          <w:vertAlign w:val="superscript"/>
        </w:rPr>
        <w:t>13</w:t>
      </w:r>
      <w:r>
        <w:rPr>
          <w:rFonts w:ascii="Arial" w:cs="Arial" w:eastAsia="Arial" w:hAnsi="Arial"/>
          <w:sz w:val="14"/>
          <w:szCs w:val="14"/>
          <w:color w:val="auto"/>
        </w:rPr>
        <w:t xml:space="preserve"> on all their cash assets.</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Financial Data Aggregation</w:t>
      </w:r>
    </w:p>
    <w:p>
      <w:pPr>
        <w:spacing w:after="0" w:line="13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Data received from financial institutions or data aggregators must be cleaned and processed before it can be presented to our clients. The insights from our proprietary cleansing and processing data platform, combined with our fully integrated brokerage and cash management, together inform our automated holistic financial planning software experience.</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Data and Analytics Platform</w:t>
      </w:r>
    </w:p>
    <w:p>
      <w:pPr>
        <w:spacing w:after="0" w:line="13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data and analytics platform gathers client activity both within the Wealthfront platform and from external sources. This data is then used to create a comprehensive profile of each client, which forms the foundation for our financial advice and product recommendations. Additionally, this process helps us to understand how clients interact with both our products and other external offerings, which in turn informs the direction of our product roadmap.</w:t>
      </w:r>
    </w:p>
    <w:p>
      <w:pPr>
        <w:spacing w:after="0" w:line="91"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A Differentiated Strategy — Why We and Our Clients Win Together</w:t>
      </w:r>
    </w:p>
    <w:p>
      <w:pPr>
        <w:spacing w:after="0" w:line="133"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Our business is uniquely and fundamentally aligned with our clients. Our clients’ success drives our success as we make money with our clients, not from them. Our client-first approach is woven into our product philosophy and our business model.</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Business Model Drives Our Greatest Advantage</w:t>
      </w:r>
    </w:p>
    <w:p>
      <w:pPr>
        <w:spacing w:after="0" w:line="131"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Our business model plays a critical role in the success of our business. We only offer financial services we can fully automate. As a result, we are often the low-cost producer of any service we offer. We then uniquely pass along the savings that result from being the low-cost producer with our clients in the form of lower fees on investment advisory products, higher yields on the money they hold in their Cash Account, lower interest rates on money they borrow from us and no fees on money movement. The sharing of savings which leads to superior value offered coupled with transparency and our focus on putting clients’ interests ahead of our own instills trust in our platform. Trust leads our clients to deposit their incremental savings with us, adopt additional products and refer friends. Only offering automated products, despite sharing our savings with clients, leads to exceptionally high gross margins. The benefit</w:t>
      </w:r>
    </w:p>
    <w:p>
      <w:pPr>
        <w:spacing w:after="0" w:line="210" w:lineRule="exact"/>
        <w:rPr>
          <w:sz w:val="20"/>
          <w:szCs w:val="20"/>
          <w:color w:val="auto"/>
        </w:rPr>
      </w:pPr>
    </w:p>
    <w:p>
      <w:pPr>
        <w:ind w:left="780" w:hanging="257"/>
        <w:spacing w:after="0" w:line="228" w:lineRule="auto"/>
        <w:tabs>
          <w:tab w:leader="none" w:pos="662"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760"/>
          </w:cols>
          <w:pgMar w:left="300" w:top="209" w:right="8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131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413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of trust leads to very low marketing costs. Taken together, automation and trust lead to profit margins which can be reinvested in the platform to enhance existing products and deliver new 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Our client-centric approach builds trust with clients which leads them to reward us with additional product and account expansion. Our ability to evolve with our clients and their unwavering preference for seamless digital and mobile experiences over in-person interactions allows us to retain our largest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760"/>
          </w:cols>
          <w:pgMar w:left="300" w:top="209" w:right="8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111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11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at an even higher rate, which is demonstrated by the fact that annual net revenue retention has consistently been greater than 120% for each of the last eleven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work to continuously strengthen the trust we earn from our clients through the alignment of our product value and client outcomes. This trust is evidenced by the 39% year-over-year growth in platform assets and 42% year-over-year growth in clients on our platform from January 31, 2024 to January 31, 2025, and 24% year-over-year growth in platform assets and 24% year-over-year growth in clients on our platform from July 31, 2024 to July 31, 2025, and the fact that more than 17% of clients on our platform had recurring or direct deposits as of July 31, 2025. These statistics demonstrate the sustained impact of our growth strategy and the long-term mutually beneficial effects of our growth flywheel.</w:t>
      </w:r>
    </w:p>
    <w:p>
      <w:pPr>
        <w:spacing w:after="0" w:line="98"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Furthermore, the trust established with our clients contributed to an annual client retention rate of approximately 95% for each of fiscal 2024 and fiscal 2025, which provides a stable and recurring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760"/>
          </w:cols>
          <w:pgMar w:left="300" w:top="209" w:right="8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932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493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stream for us, reducing the need for constant client replacement. Each one of our client vintages has demonstrated platform asset growth over the past decade.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Organic Client Acquisition Engine via Word-of-Mouth Referrals Drives Efficient Client Adoption to Our Platform</w:t>
      </w:r>
    </w:p>
    <w:p>
      <w:pPr>
        <w:spacing w:after="0" w:line="131" w:lineRule="exact"/>
        <w:rPr>
          <w:sz w:val="20"/>
          <w:szCs w:val="20"/>
          <w:color w:val="auto"/>
        </w:rPr>
      </w:pPr>
    </w:p>
    <w:p>
      <w:pPr>
        <w:jc w:val="both"/>
        <w:ind w:left="520"/>
        <w:spacing w:after="0" w:line="239" w:lineRule="auto"/>
        <w:rPr>
          <w:sz w:val="20"/>
          <w:szCs w:val="20"/>
          <w:color w:val="auto"/>
        </w:rPr>
      </w:pPr>
      <w:r>
        <w:rPr>
          <w:rFonts w:ascii="Arial" w:cs="Arial" w:eastAsia="Arial" w:hAnsi="Arial"/>
          <w:sz w:val="14"/>
          <w:szCs w:val="14"/>
          <w:color w:val="auto"/>
        </w:rPr>
        <w:t>Our business benefits from organic growth driven by a strong word-of-mouth referral pipeline. Over the past two fiscal years, over 50% of new clients were referred by existing clients. From October 2022 through July 2025, 40% of our clients sent at least one referral and 19% of our clients sent at least one successful referral with an average rate of 2.9 referrals per client.</w:t>
      </w:r>
      <w:r>
        <w:rPr>
          <w:rFonts w:ascii="Arial" w:cs="Arial" w:eastAsia="Arial" w:hAnsi="Arial"/>
          <w:sz w:val="18"/>
          <w:szCs w:val="18"/>
          <w:color w:val="auto"/>
          <w:vertAlign w:val="superscript"/>
        </w:rPr>
        <w:t>14</w:t>
      </w:r>
      <w:r>
        <w:rPr>
          <w:rFonts w:ascii="Arial" w:cs="Arial" w:eastAsia="Arial" w:hAnsi="Arial"/>
          <w:sz w:val="14"/>
          <w:szCs w:val="14"/>
          <w:color w:val="auto"/>
        </w:rPr>
        <w:t xml:space="preserve"> This high volume of successful referrals underscores existing clients’ satisfaction and trust in our platform. Clients who come to us organically tend to demonstrate stronger intent, greater long-term trust in Wealthfront, and thus, higher long-term retention.</w:t>
      </w:r>
    </w:p>
    <w:p>
      <w:pPr>
        <w:spacing w:after="0" w:line="112"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approach to driving organic growth is intentional and has been core to our marketing strategy from the company’s inception. Our ability to drive organic growth is rooted in our deep understanding of our clients. We have a dedicated client research team focused on understanding our target clients’ needs and how they perceive Wealthfront’s ability to address their needs relative to the other offerings in the marketplace. Our product development process is rooted in putting our clients’ interests first. One of our product principles is that a product is not finished until it delights our target clients. Our organizational focus on understanding and delighting our target clients has allowed us to create products our clients love and, in turn, are excited to refer to friends and family.</w:t>
      </w:r>
    </w:p>
    <w:p>
      <w:pPr>
        <w:spacing w:after="0" w:line="98"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Paid marketing is difficult in financial services, as individuals, especially digital natives, are not easily swayed by traditional and generic advertisements to move their hard-earned wealth. Accordingly, we believe our carefully constructed incentive based referral-driven growth model is a competitive advantage.</w:t>
      </w:r>
    </w:p>
    <w:p>
      <w:pPr>
        <w:spacing w:after="0" w:line="171" w:lineRule="exact"/>
        <w:rPr>
          <w:sz w:val="20"/>
          <w:szCs w:val="20"/>
          <w:color w:val="auto"/>
        </w:rPr>
      </w:pPr>
    </w:p>
    <w:p>
      <w:pPr>
        <w:ind w:left="640" w:hanging="117"/>
        <w:spacing w:after="0"/>
        <w:tabs>
          <w:tab w:leader="none" w:pos="640"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Average number of referrals sent by funded clients born after 1980 who have sent at least one referral since October 1, 2022.</w:t>
      </w:r>
    </w:p>
    <w:p>
      <w:pPr>
        <w:spacing w:after="0" w:line="200" w:lineRule="exact"/>
        <w:rPr>
          <w:rFonts w:ascii="Arial" w:cs="Arial" w:eastAsia="Arial" w:hAnsi="Arial"/>
          <w:sz w:val="15"/>
          <w:szCs w:val="15"/>
          <w:color w:val="auto"/>
          <w:vertAlign w:val="superscript"/>
        </w:rPr>
      </w:pPr>
    </w:p>
    <w:p>
      <w:pPr>
        <w:spacing w:after="0" w:line="200" w:lineRule="exact"/>
        <w:rPr>
          <w:rFonts w:ascii="Arial" w:cs="Arial" w:eastAsia="Arial" w:hAnsi="Arial"/>
          <w:sz w:val="15"/>
          <w:szCs w:val="15"/>
          <w:color w:val="auto"/>
          <w:vertAlign w:val="superscript"/>
        </w:rPr>
      </w:pPr>
    </w:p>
    <w:p>
      <w:pPr>
        <w:spacing w:after="0" w:line="200" w:lineRule="exact"/>
        <w:rPr>
          <w:rFonts w:ascii="Arial" w:cs="Arial" w:eastAsia="Arial" w:hAnsi="Arial"/>
          <w:sz w:val="15"/>
          <w:szCs w:val="15"/>
          <w:color w:val="auto"/>
          <w:vertAlign w:val="superscript"/>
        </w:rPr>
      </w:pPr>
    </w:p>
    <w:p>
      <w:pPr>
        <w:spacing w:after="0" w:line="365" w:lineRule="exact"/>
        <w:rPr>
          <w:rFonts w:ascii="Arial" w:cs="Arial" w:eastAsia="Arial" w:hAnsi="Arial"/>
          <w:sz w:val="15"/>
          <w:szCs w:val="15"/>
          <w:color w:val="auto"/>
          <w:vertAlign w:val="superscript"/>
        </w:rPr>
      </w:pPr>
    </w:p>
    <w:p>
      <w:pPr>
        <w:ind w:left="5560"/>
        <w:spacing w:after="0"/>
        <w:rPr>
          <w:rFonts w:ascii="Arial" w:cs="Arial" w:eastAsia="Arial" w:hAnsi="Arial"/>
          <w:sz w:val="15"/>
          <w:szCs w:val="15"/>
          <w:color w:val="auto"/>
          <w:vertAlign w:val="superscript"/>
        </w:rPr>
      </w:pPr>
      <w:r>
        <w:rPr>
          <w:rFonts w:ascii="Arial" w:cs="Arial" w:eastAsia="Arial" w:hAnsi="Arial"/>
          <w:sz w:val="14"/>
          <w:szCs w:val="14"/>
          <w:color w:val="auto"/>
        </w:rPr>
        <w:t>21</w:t>
      </w:r>
    </w:p>
    <w:p>
      <w:pPr>
        <w:sectPr>
          <w:pgSz w:w="11900" w:h="16838" w:orient="portrait"/>
          <w:cols w:equalWidth="0" w:num="1">
            <w:col w:w="10760"/>
          </w:cols>
          <w:pgMar w:left="300" w:top="209" w:right="8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999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99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Product-Led Growth</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Deepening Relationships with Existing Clients</w:t>
      </w:r>
    </w:p>
    <w:p>
      <w:pPr>
        <w:spacing w:after="0" w:line="131"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Since inception, Wealthfront has primarily pursued a product-led growth strategy. We have been, and will remain, a pioneer and innovator of automated financial products.</w:t>
      </w:r>
    </w:p>
    <w:p>
      <w:pPr>
        <w:spacing w:after="0" w:line="79"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products are purpose built to continually address the unique preferences and financial needs of wealth-building digital natives. The growing digital-native generations prefer a financial platform that is fast, convenient, technology-enabled and lower-cost compared to legacy alternatives. Unlike many incumbent platforms who are focused on older generations, Wealthfront does not face the innovator’s dilemma, allowing us to develop a platform that best caters to the needs of our core client base. Unlike many other FinTechs, trust and transparency are central to our approach, ensuring that our clients are always informed through near-instant communication, helping us to build and maintain long-term relationships with our clients.</w:t>
      </w:r>
    </w:p>
    <w:p>
      <w:pPr>
        <w:spacing w:after="0" w:line="98"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continue to improve and offer new products across the risk spectrum, empowering our clients to take control of their financial future as their risk appetites evolve. Over time, we expect to offer increasingly sophisticated financial solutions that address our clients’ increasingly complex goals. Data acquired from our clients linking their external financial accounts to our financial planning software helps provide unique insight into financial products they currently use and opportunities for new products that could enhance their financial outcomes.</w:t>
      </w:r>
    </w:p>
    <w:p>
      <w:pPr>
        <w:spacing w:after="0" w:line="96"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commitment to understanding client goals has prompted us to expand our financial products beyond our core offerings in cash management, investment advisory, borrowing and lending, and financial planning solutions. We are currently developing technology-enabled mortgage solutions with competitive rates and new investment product offerings, and we originated our first mortgage loan in August 2025. We launched our mortgage offering to a limited number of clients in Colorado in November 2025 and expect to begin limited launches in Texas and California in late 2025 and early 2026, respectively.</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Client Acquisition</w:t>
      </w:r>
    </w:p>
    <w:p>
      <w:pPr>
        <w:spacing w:after="0" w:line="13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Led by our products and technology, we aim to attract new clients and increase our share of wallet among existing clients by attracting more of their assets to our platform as our client base continues to mature and accumulate wealth. As evidence of our successful client acquisition and retention strategy, our annual net revenue retention was greater than 120% for each of the last eleven fiscal years.</w:t>
      </w:r>
    </w:p>
    <w:p>
      <w:pPr>
        <w:spacing w:after="0" w:line="9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product-led strategy makes it possible for us to acquire and retain clients through a combination of organic and cost-disciplined marketing initiatives. Our innovative products, coupled with a high level of satisfaction and trust, have contributed to a differentiated word-of-mouth growth engine rather than relying on less efficient marketing spend.</w:t>
      </w:r>
    </w:p>
    <w:p>
      <w:pPr>
        <w:spacing w:after="0" w:line="9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Wealthfront’s focus on long-term wealth accumulation resonates with clients who value a long-term investment horizon rather than short-term gains. Our commitment to financial education sets us apart, as we aim to equip our clients with financial best practices rather than encourage transactions. This fundamentally different approach is designed to encourage our clients to remain patient and minimize their active engagement on our platform. Clients are prompted to give their wealth time in the market, not to time the market, even in light of market volatility.</w:t>
      </w:r>
    </w:p>
    <w:p>
      <w:pPr>
        <w:spacing w:after="0" w:line="96" w:lineRule="exact"/>
        <w:rPr>
          <w:sz w:val="20"/>
          <w:szCs w:val="20"/>
          <w:color w:val="auto"/>
        </w:rPr>
      </w:pPr>
    </w:p>
    <w:p>
      <w:pPr>
        <w:jc w:val="both"/>
        <w:ind w:left="520"/>
        <w:spacing w:after="0" w:line="236" w:lineRule="auto"/>
        <w:rPr>
          <w:sz w:val="20"/>
          <w:szCs w:val="20"/>
          <w:color w:val="auto"/>
        </w:rPr>
      </w:pPr>
      <w:r>
        <w:rPr>
          <w:rFonts w:ascii="Arial" w:cs="Arial" w:eastAsia="Arial" w:hAnsi="Arial"/>
          <w:sz w:val="14"/>
          <w:szCs w:val="14"/>
          <w:color w:val="auto"/>
        </w:rPr>
        <w:t>In addition to organic growth, we leverage referral programs that incentivize existing clients to introduce new users to our platform, further driving expansion. Over the past two fiscal years, over 50% of new clients were referred by existing clients, and from October 2022 through July 2025, 40% of our clients</w:t>
      </w:r>
      <w:r>
        <w:rPr>
          <w:rFonts w:ascii="Arial" w:cs="Arial" w:eastAsia="Arial" w:hAnsi="Arial"/>
          <w:sz w:val="18"/>
          <w:szCs w:val="18"/>
          <w:color w:val="auto"/>
          <w:vertAlign w:val="superscript"/>
        </w:rPr>
        <w:t>15</w:t>
      </w:r>
      <w:r>
        <w:rPr>
          <w:rFonts w:ascii="Arial" w:cs="Arial" w:eastAsia="Arial" w:hAnsi="Arial"/>
          <w:sz w:val="14"/>
          <w:szCs w:val="14"/>
          <w:color w:val="auto"/>
        </w:rPr>
        <w:t xml:space="preserve"> sent at least one referral. Our marketing expense was only 10% of our revenue in fiscal 2024 and</w:t>
      </w:r>
    </w:p>
    <w:p>
      <w:pPr>
        <w:spacing w:after="0" w:line="194" w:lineRule="exact"/>
        <w:rPr>
          <w:sz w:val="20"/>
          <w:szCs w:val="20"/>
          <w:color w:val="auto"/>
        </w:rPr>
      </w:pPr>
    </w:p>
    <w:p>
      <w:pPr>
        <w:ind w:left="660" w:hanging="137"/>
        <w:spacing w:after="0"/>
        <w:tabs>
          <w:tab w:leader="none" w:pos="6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F</w:t>
      </w:r>
      <w:r>
        <w:rPr>
          <w:rFonts w:ascii="Arial" w:cs="Arial" w:eastAsia="Arial" w:hAnsi="Arial"/>
          <w:sz w:val="12"/>
          <w:szCs w:val="12"/>
          <w:color w:val="auto"/>
        </w:rPr>
        <w:t>unded clients born after 1980.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760"/>
          </w:cols>
          <w:pgMar w:left="300" w:top="209" w:right="8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645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464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17% in fiscal 2025, placing us among the most cost-efficient consumer-focused financial platforms in the industry. We see significant potential for further client and asset growth as we expand our client acquisition efforts.</w:t>
      </w:r>
    </w:p>
    <w:p>
      <w:pPr>
        <w:spacing w:after="0" w:line="79"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platform also actively encourages existing clients to explore and adopt additional Wealthfront products. Clients who initially funded either a cash management or investment advisory account and as of July 31, 2025 had a funded account of the other type represented 59% of platform assets and 27% of total funded clients. We leverage data insights to tailor product recommendations to align with client needs, ensuring that our offerings remain relevant and appealing.</w:t>
      </w:r>
    </w:p>
    <w:p>
      <w:pPr>
        <w:spacing w:after="0" w:line="91"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Our ecosystem of cash management and investment advisory accounts is built to work together seamlessly, offering convenience between accounts and the opportunity to grow savings with minimal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As of July 31, 2025, our clients funded an average of 1.3 accounts. Our strong cross-product adoption exemplifies the versatility of employing client acquisition strategies to quickly adapt to new macroeconomic environments. For example, in strong macroeconomic environments with low interest rates, our investment advisory products have historically become more popular. In weak macroeconomic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760"/>
          </w:cols>
          <w:pgMar w:left="300" w:top="209" w:right="8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266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526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environments with higher interest rates, our cash management products have historically become more popular.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M&amp;A and Expansion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view mergers and acquisitions as another way to expand our platform and to find innovative, inorganic growth solutions that we can acquire and scale.</w:t>
      </w:r>
    </w:p>
    <w:p>
      <w:pPr>
        <w:spacing w:after="0" w:line="133"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Recent Developments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Recent Operating Results (Preliminary and Unaudited)</w:t>
      </w:r>
    </w:p>
    <w:p>
      <w:pPr>
        <w:spacing w:after="0" w:line="131" w:lineRule="exact"/>
        <w:rPr>
          <w:sz w:val="20"/>
          <w:szCs w:val="20"/>
          <w:color w:val="auto"/>
        </w:rPr>
      </w:pPr>
    </w:p>
    <w:p>
      <w:pPr>
        <w:jc w:val="both"/>
        <w:ind w:left="520"/>
        <w:spacing w:after="0" w:line="253" w:lineRule="auto"/>
        <w:rPr>
          <w:sz w:val="20"/>
          <w:szCs w:val="20"/>
          <w:color w:val="auto"/>
        </w:rPr>
      </w:pPr>
      <w:r>
        <w:rPr>
          <w:rFonts w:ascii="Arial" w:cs="Arial" w:eastAsia="Arial" w:hAnsi="Arial"/>
          <w:sz w:val="14"/>
          <w:szCs w:val="14"/>
          <w:color w:val="auto"/>
        </w:rPr>
        <w:t>We are in the process of finalizing our operating results as of and for the three months ended October 31, 2025. We have presented below certain preliminary operating results representing our estimates for the three months ended October 31, 2025. These preliminary estimates are based on currently available information and do not present all information necessary for an understanding of our operating results as of and for the three months ended October 31, 2025. This information has been prepared by and is the responsibility of our management. Our independent registered public accounting firm has not audited, reviewed, or performed any procedures with respect to the preliminary operating results included below and does not express an opinion or any other form of assurance with respect thereto. We will complete the preparation of our interim consolidated financial statements as of and for the three months ended October 31, 2025 following the completion of this offering. Although we are currently unaware of any items that would require us to make adjustments to the information set forth below, it is possible that we or our independent registered public accounting firm may identify such items as we complete our interim consolidated financial statements, and any resulting changes could be material. Accordingly, undue reliance should not be placed on these preliminary estimates. There can be no assurance that the range of our preliminary estimates of total revenue, net income, and Adjusted EBITDA for the three months ended October 31, 2025 are indicative of what our results will be for the three months ended October 31, 2025 or for any future period. These preliminary estimates should be read together with the sections titled “Risk Factors” and “Special Note Regarding Forward-Looking Statements” and our consolidated financial statements and related notes included elsewhere in this prospectus. Adjusted EBITDA is a supplemental measure that is not calculated or presented in accordance with GAAP. See the section titled “Management’s Discussion and Analysis of Financial Condition and Results of Operations—Non-GAAP Financial Measures” for more information about our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760"/>
          </w:cols>
          <w:pgMar w:left="300" w:top="209" w:right="8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458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445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255"/>
              <w:spacing w:after="0"/>
              <w:rPr>
                <w:sz w:val="20"/>
                <w:szCs w:val="20"/>
                <w:color w:val="auto"/>
              </w:rPr>
            </w:pPr>
            <w:r>
              <w:rPr>
                <w:rFonts w:ascii="Arial" w:cs="Arial" w:eastAsia="Arial" w:hAnsi="Arial"/>
                <w:sz w:val="11"/>
                <w:szCs w:val="11"/>
                <w:b w:val="1"/>
                <w:bCs w:val="1"/>
                <w:color w:val="auto"/>
              </w:rPr>
              <w:t>Three Months Ended</w:t>
            </w: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8"/>
        </w:trPr>
        <w:tc>
          <w:tcPr>
            <w:tcW w:w="49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October 31, 2024</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October 31, 2025</w:t>
            </w:r>
          </w:p>
        </w:tc>
        <w:tc>
          <w:tcPr>
            <w:tcW w:w="1280" w:type="dxa"/>
            <w:vAlign w:val="bottom"/>
            <w:tcBorders>
              <w:bottom w:val="single" w:sz="8" w:color="auto"/>
            </w:tcBorders>
          </w:tcPr>
          <w:p>
            <w:pPr>
              <w:spacing w:after="0"/>
              <w:rPr>
                <w:sz w:val="13"/>
                <w:szCs w:val="13"/>
                <w:color w:val="auto"/>
              </w:rPr>
            </w:pPr>
          </w:p>
        </w:tc>
      </w:tr>
      <w:tr>
        <w:trPr>
          <w:trHeight w:val="148"/>
        </w:trPr>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ind w:left="400"/>
              <w:spacing w:after="0"/>
              <w:rPr>
                <w:sz w:val="20"/>
                <w:szCs w:val="20"/>
                <w:color w:val="auto"/>
              </w:rPr>
            </w:pPr>
            <w:r>
              <w:rPr>
                <w:rFonts w:ascii="Arial" w:cs="Arial" w:eastAsia="Arial" w:hAnsi="Arial"/>
                <w:sz w:val="11"/>
                <w:szCs w:val="11"/>
                <w:b w:val="1"/>
                <w:bCs w:val="1"/>
                <w:color w:val="auto"/>
              </w:rPr>
              <w:t>Actual</w:t>
            </w:r>
          </w:p>
        </w:tc>
        <w:tc>
          <w:tcPr>
            <w:tcW w:w="200" w:type="dxa"/>
            <w:vAlign w:val="bottom"/>
          </w:tcPr>
          <w:p>
            <w:pPr>
              <w:spacing w:after="0"/>
              <w:rPr>
                <w:sz w:val="12"/>
                <w:szCs w:val="12"/>
                <w:color w:val="auto"/>
              </w:rPr>
            </w:pPr>
          </w:p>
        </w:tc>
        <w:tc>
          <w:tcPr>
            <w:tcW w:w="1520" w:type="dxa"/>
            <w:vAlign w:val="bottom"/>
          </w:tcPr>
          <w:p>
            <w:pPr>
              <w:jc w:val="right"/>
              <w:ind w:right="395"/>
              <w:spacing w:after="0"/>
              <w:rPr>
                <w:sz w:val="20"/>
                <w:szCs w:val="20"/>
                <w:color w:val="auto"/>
              </w:rPr>
            </w:pPr>
            <w:r>
              <w:rPr>
                <w:rFonts w:ascii="Arial" w:cs="Arial" w:eastAsia="Arial" w:hAnsi="Arial"/>
                <w:sz w:val="11"/>
                <w:szCs w:val="11"/>
                <w:b w:val="1"/>
                <w:bCs w:val="1"/>
                <w:color w:val="auto"/>
              </w:rPr>
              <w:t>Low (estimated)</w:t>
            </w:r>
          </w:p>
        </w:tc>
        <w:tc>
          <w:tcPr>
            <w:tcW w:w="480" w:type="dxa"/>
            <w:vAlign w:val="bottom"/>
          </w:tcPr>
          <w:p>
            <w:pPr>
              <w:spacing w:after="0"/>
              <w:rPr>
                <w:sz w:val="12"/>
                <w:szCs w:val="12"/>
                <w:color w:val="auto"/>
              </w:rPr>
            </w:pPr>
          </w:p>
        </w:tc>
        <w:tc>
          <w:tcPr>
            <w:tcW w:w="1280" w:type="dxa"/>
            <w:vAlign w:val="bottom"/>
          </w:tcPr>
          <w:p>
            <w:pPr>
              <w:jc w:val="right"/>
              <w:ind w:right="312"/>
              <w:spacing w:after="0"/>
              <w:rPr>
                <w:sz w:val="20"/>
                <w:szCs w:val="20"/>
                <w:color w:val="auto"/>
              </w:rPr>
            </w:pPr>
            <w:r>
              <w:rPr>
                <w:rFonts w:ascii="Arial" w:cs="Arial" w:eastAsia="Arial" w:hAnsi="Arial"/>
                <w:sz w:val="11"/>
                <w:szCs w:val="11"/>
                <w:b w:val="1"/>
                <w:bCs w:val="1"/>
                <w:color w:val="auto"/>
              </w:rPr>
              <w:t>High (estimated)</w:t>
            </w:r>
          </w:p>
        </w:tc>
      </w:tr>
      <w:tr>
        <w:trPr>
          <w:trHeight w:val="158"/>
        </w:trPr>
        <w:tc>
          <w:tcPr>
            <w:tcW w:w="496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(unaudited, in thousands)</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9"/>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Selected Financial Data</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9"/>
        </w:trPr>
        <w:tc>
          <w:tcPr>
            <w:tcW w:w="4960" w:type="dxa"/>
            <w:vAlign w:val="bottom"/>
          </w:tcPr>
          <w:p>
            <w:pPr>
              <w:ind w:left="180"/>
              <w:spacing w:after="0"/>
              <w:rPr>
                <w:sz w:val="20"/>
                <w:szCs w:val="20"/>
                <w:color w:val="auto"/>
              </w:rPr>
            </w:pPr>
            <w:r>
              <w:rPr>
                <w:rFonts w:ascii="Arial" w:cs="Arial" w:eastAsia="Arial" w:hAnsi="Arial"/>
                <w:sz w:val="14"/>
                <w:szCs w:val="14"/>
                <w:color w:val="auto"/>
              </w:rPr>
              <w:t>Total Revenue</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74"/>
              <w:spacing w:after="0"/>
              <w:rPr>
                <w:sz w:val="20"/>
                <w:szCs w:val="20"/>
                <w:color w:val="auto"/>
              </w:rPr>
            </w:pPr>
            <w:r>
              <w:rPr>
                <w:rFonts w:ascii="Arial" w:cs="Arial" w:eastAsia="Arial" w:hAnsi="Arial"/>
                <w:sz w:val="14"/>
                <w:szCs w:val="14"/>
                <w:color w:val="auto"/>
              </w:rPr>
              <w:t>80,309</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5"/>
              <w:spacing w:after="0"/>
              <w:rPr>
                <w:sz w:val="20"/>
                <w:szCs w:val="20"/>
                <w:color w:val="auto"/>
              </w:rPr>
            </w:pPr>
            <w:r>
              <w:rPr>
                <w:rFonts w:ascii="Arial" w:cs="Arial" w:eastAsia="Arial" w:hAnsi="Arial"/>
                <w:sz w:val="14"/>
                <w:szCs w:val="14"/>
                <w:color w:val="auto"/>
              </w:rPr>
              <w:t>91,000</w:t>
            </w:r>
          </w:p>
        </w:tc>
        <w:tc>
          <w:tcPr>
            <w:tcW w:w="4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95,000</w:t>
            </w:r>
          </w:p>
        </w:tc>
      </w:tr>
      <w:tr>
        <w:trPr>
          <w:trHeight w:val="179"/>
        </w:trPr>
        <w:tc>
          <w:tcPr>
            <w:tcW w:w="4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management</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60,157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67,000</w:t>
            </w: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r>
      <w:tr>
        <w:trPr>
          <w:trHeight w:val="179"/>
        </w:trPr>
        <w:tc>
          <w:tcPr>
            <w:tcW w:w="4960" w:type="dxa"/>
            <w:vAlign w:val="bottom"/>
          </w:tcPr>
          <w:p>
            <w:pPr>
              <w:ind w:left="260"/>
              <w:spacing w:after="0"/>
              <w:rPr>
                <w:sz w:val="20"/>
                <w:szCs w:val="20"/>
                <w:color w:val="auto"/>
              </w:rPr>
            </w:pPr>
            <w:r>
              <w:rPr>
                <w:rFonts w:ascii="Arial" w:cs="Arial" w:eastAsia="Arial" w:hAnsi="Arial"/>
                <w:sz w:val="14"/>
                <w:szCs w:val="14"/>
                <w:color w:val="auto"/>
              </w:rPr>
              <w:t>Investment advisory</w:t>
            </w:r>
          </w:p>
        </w:tc>
        <w:tc>
          <w:tcPr>
            <w:tcW w:w="260" w:type="dxa"/>
            <w:vAlign w:val="bottom"/>
          </w:tcPr>
          <w:p>
            <w:pPr>
              <w:spacing w:after="0"/>
              <w:rPr>
                <w:sz w:val="15"/>
                <w:szCs w:val="15"/>
                <w:color w:val="auto"/>
              </w:rPr>
            </w:pPr>
          </w:p>
        </w:tc>
        <w:tc>
          <w:tcPr>
            <w:tcW w:w="1460" w:type="dxa"/>
            <w:vAlign w:val="bottom"/>
          </w:tcPr>
          <w:p>
            <w:pPr>
              <w:jc w:val="right"/>
              <w:ind w:right="74"/>
              <w:spacing w:after="0"/>
              <w:rPr>
                <w:sz w:val="20"/>
                <w:szCs w:val="20"/>
                <w:color w:val="auto"/>
              </w:rPr>
            </w:pPr>
            <w:r>
              <w:rPr>
                <w:rFonts w:ascii="Arial" w:cs="Arial" w:eastAsia="Arial" w:hAnsi="Arial"/>
                <w:sz w:val="14"/>
                <w:szCs w:val="14"/>
                <w:color w:val="auto"/>
              </w:rPr>
              <w:t>19,141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55"/>
              <w:spacing w:after="0"/>
              <w:rPr>
                <w:sz w:val="20"/>
                <w:szCs w:val="20"/>
                <w:color w:val="auto"/>
              </w:rPr>
            </w:pPr>
            <w:r>
              <w:rPr>
                <w:rFonts w:ascii="Arial" w:cs="Arial" w:eastAsia="Arial" w:hAnsi="Arial"/>
                <w:sz w:val="14"/>
                <w:szCs w:val="14"/>
                <w:color w:val="auto"/>
              </w:rPr>
              <w:t>24,000</w:t>
            </w: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179"/>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30,046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29,000</w:t>
            </w: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r>
      <w:tr>
        <w:trPr>
          <w:trHeight w:val="179"/>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Other Data</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9"/>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Adjusted EBITDA (non-GAAP)</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35,273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43,000</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r>
    </w:tbl>
    <w:p>
      <w:pPr>
        <w:spacing w:after="0" w:line="185"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For the three months ended October 31, 2025, we expect to report total revenue of between $91.0 million and $95.0 million, as compared to $ 80.3 million for the three months ended October 31, 2024, representing an increase of 16% at the midpoint of this range. The expected increase in total revenue was primarily due to an increase in cash management and investment advisory assets.</w:t>
      </w:r>
    </w:p>
    <w:p>
      <w:pPr>
        <w:spacing w:after="0" w:line="91"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For the three months ended October 31, 2025, we expect to report cash management revenue of between $67.0 million and $70.0 million, as compared to $60.2 million for the three months ended October 31, 2024, representing an increase of 14% at the midpoint of this range. The expected increase in cash management revenue was primarily due to an 18% increase at the midpoint of the range in the average balance of cash management assets for the three months ended October 31, 2025 compared to the same period in the prior year. The annualized cash management fee rate declined by 3% at the midpoint of the range for the three months ended October 31, 2025 compared to the same period in the prior year.</w:t>
      </w:r>
    </w:p>
    <w:p>
      <w:pPr>
        <w:spacing w:after="0" w:line="98"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For the three months ended October 31, 2025, we expect to report investment advisory revenue of between $24.0 million and $25.0 million, as compared to $19.1 million for the three months ended October 31, 2024, representing an increase of 26% at the midpoint of this range. The expected increase in investment advisory revenue was primarily due to a 28% increase at the midpoint of the range in the average balance of investment advisory assets for the three months ended October 31, 2025 compared to the same period in the prior year. The annualized investment advisory fee rate was relatively unchanged at the midpoint of the range for the three months ended October 31, 2025 compared to the same period in the prior year.</w:t>
      </w:r>
    </w:p>
    <w:p>
      <w:pPr>
        <w:spacing w:after="0" w:line="98"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For the three months ended October 31, 2025, we expect to report net income of between $29.0 million and $30.0 million, as compared to $30.0 million for the three months ended October 31, 2024, representing a decrease of 3% at the midpoint of this range. The expected decrease in net income was primarily due to an increase in total revenues more than offset by increases in the provision for income taxes and stock-based compensation expenses.</w:t>
      </w:r>
    </w:p>
    <w:p>
      <w:pPr>
        <w:spacing w:after="0" w:line="9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For the three months ended October 31, 2025, we expect to report Adjusted EBITDA of between $43.0 million and $ 45.0 million, as compared to $35.3 million for the three months ended October 31, 2024, representing an increase of approximately 24% at the midpoint of this range. The expected increase in Adjusted EBITDA was primarily due to revenue increases outpacing increases in operating expenses, excluding stock-based compensation.</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a reconciliation of net income, the most directly comparable GAAP measure,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760"/>
          </w:cols>
          <w:pgMar w:left="300" w:top="209" w:right="8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9123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491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Three Months Ended</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8"/>
        </w:trPr>
        <w:tc>
          <w:tcPr>
            <w:tcW w:w="5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October 31, 2024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1"/>
                <w:szCs w:val="11"/>
                <w:b w:val="1"/>
                <w:bCs w:val="1"/>
                <w:color w:val="auto"/>
              </w:rPr>
              <w:t>October 31, 2025</w:t>
            </w:r>
          </w:p>
        </w:tc>
      </w:tr>
      <w:tr>
        <w:trPr>
          <w:trHeight w:val="148"/>
        </w:trPr>
        <w:tc>
          <w:tcPr>
            <w:tcW w:w="58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160" w:type="dxa"/>
            <w:vAlign w:val="bottom"/>
          </w:tcPr>
          <w:p>
            <w:pPr>
              <w:spacing w:after="0"/>
              <w:rPr>
                <w:sz w:val="12"/>
                <w:szCs w:val="12"/>
                <w:color w:val="auto"/>
              </w:rPr>
            </w:pPr>
          </w:p>
        </w:tc>
        <w:tc>
          <w:tcPr>
            <w:tcW w:w="1280" w:type="dxa"/>
            <w:vAlign w:val="bottom"/>
            <w:gridSpan w:val="3"/>
          </w:tcPr>
          <w:p>
            <w:pPr>
              <w:ind w:left="300"/>
              <w:spacing w:after="0"/>
              <w:rPr>
                <w:sz w:val="20"/>
                <w:szCs w:val="20"/>
                <w:color w:val="auto"/>
              </w:rPr>
            </w:pPr>
            <w:r>
              <w:rPr>
                <w:rFonts w:ascii="Arial" w:cs="Arial" w:eastAsia="Arial" w:hAnsi="Arial"/>
                <w:sz w:val="11"/>
                <w:szCs w:val="11"/>
                <w:b w:val="1"/>
                <w:bCs w:val="1"/>
                <w:color w:val="auto"/>
              </w:rPr>
              <w:t>Actual</w:t>
            </w:r>
          </w:p>
        </w:tc>
        <w:tc>
          <w:tcPr>
            <w:tcW w:w="14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Low (estimated)</w:t>
            </w:r>
          </w:p>
        </w:tc>
        <w:tc>
          <w:tcPr>
            <w:tcW w:w="140" w:type="dxa"/>
            <w:vAlign w:val="bottom"/>
          </w:tcPr>
          <w:p>
            <w:pPr>
              <w:spacing w:after="0"/>
              <w:rPr>
                <w:sz w:val="12"/>
                <w:szCs w:val="12"/>
                <w:color w:val="auto"/>
              </w:rPr>
            </w:pPr>
          </w:p>
        </w:tc>
        <w:tc>
          <w:tcPr>
            <w:tcW w:w="1120" w:type="dxa"/>
            <w:vAlign w:val="bottom"/>
          </w:tcPr>
          <w:p>
            <w:pPr>
              <w:jc w:val="right"/>
              <w:ind w:right="111"/>
              <w:spacing w:after="0"/>
              <w:rPr>
                <w:sz w:val="20"/>
                <w:szCs w:val="20"/>
                <w:color w:val="auto"/>
              </w:rPr>
            </w:pPr>
            <w:r>
              <w:rPr>
                <w:rFonts w:ascii="Arial" w:cs="Arial" w:eastAsia="Arial" w:hAnsi="Arial"/>
                <w:sz w:val="11"/>
                <w:szCs w:val="11"/>
                <w:b w:val="1"/>
                <w:bCs w:val="1"/>
                <w:color w:val="auto"/>
              </w:rPr>
              <w:t>High (estimated)</w:t>
            </w:r>
          </w:p>
        </w:tc>
      </w:tr>
      <w:tr>
        <w:trPr>
          <w:trHeight w:val="17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r>
      <w:tr>
        <w:trPr>
          <w:trHeight w:val="179"/>
        </w:trPr>
        <w:tc>
          <w:tcPr>
            <w:tcW w:w="5800" w:type="dxa"/>
            <w:vAlign w:val="bottom"/>
          </w:tcPr>
          <w:p>
            <w:pPr>
              <w:ind w:left="20"/>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5800" w:type="dxa"/>
            <w:vAlign w:val="bottom"/>
          </w:tcPr>
          <w:p>
            <w:pPr>
              <w:ind w:left="180"/>
              <w:spacing w:after="0"/>
              <w:rPr>
                <w:sz w:val="20"/>
                <w:szCs w:val="20"/>
                <w:color w:val="auto"/>
              </w:rPr>
            </w:pPr>
            <w:r>
              <w:rPr>
                <w:rFonts w:ascii="Arial" w:cs="Arial" w:eastAsia="Arial" w:hAnsi="Arial"/>
                <w:sz w:val="14"/>
                <w:szCs w:val="14"/>
                <w:color w:val="auto"/>
              </w:rPr>
              <w:t>Provision for (benefit from) income tax</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4,000</w:t>
            </w:r>
          </w:p>
        </w:tc>
      </w:tr>
      <w:tr>
        <w:trPr>
          <w:trHeight w:val="179"/>
        </w:trPr>
        <w:tc>
          <w:tcPr>
            <w:tcW w:w="5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 of property, software, and equipment, net</w:t>
            </w: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32,207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35,000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79"/>
        </w:trPr>
        <w:tc>
          <w:tcPr>
            <w:tcW w:w="5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r>
      <w:tr>
        <w:trPr>
          <w:trHeight w:val="179"/>
        </w:trPr>
        <w:tc>
          <w:tcPr>
            <w:tcW w:w="5800" w:type="dxa"/>
            <w:vAlign w:val="bottom"/>
          </w:tcPr>
          <w:p>
            <w:pPr>
              <w:ind w:left="180"/>
              <w:spacing w:after="0"/>
              <w:rPr>
                <w:sz w:val="20"/>
                <w:szCs w:val="20"/>
                <w:color w:val="auto"/>
              </w:rPr>
            </w:pPr>
            <w:r>
              <w:rPr>
                <w:rFonts w:ascii="Arial" w:cs="Arial" w:eastAsia="Arial" w:hAnsi="Arial"/>
                <w:sz w:val="14"/>
                <w:szCs w:val="14"/>
                <w:color w:val="auto"/>
              </w:rPr>
              <w:t>Change in fair value of convertible note, warrant liabilities, and SAFEs</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The following table presents certain preliminary key business metrics representing our estimates as of or for the three months ended October 31, 2025. See the section titled “Management’s Discussion and Analysis of Financial Condition and Results of Operations—Key Business Metrics” for additional information regarding our key business metrics:</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75"/>
              <w:spacing w:after="0"/>
              <w:rPr>
                <w:sz w:val="20"/>
                <w:szCs w:val="20"/>
                <w:color w:val="auto"/>
              </w:rPr>
            </w:pPr>
            <w:r>
              <w:rPr>
                <w:rFonts w:ascii="Arial" w:cs="Arial" w:eastAsia="Arial" w:hAnsi="Arial"/>
                <w:sz w:val="11"/>
                <w:szCs w:val="11"/>
                <w:b w:val="1"/>
                <w:bCs w:val="1"/>
                <w:color w:val="auto"/>
              </w:rPr>
              <w:t>Three Months Ended</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8"/>
        </w:trPr>
        <w:tc>
          <w:tcPr>
            <w:tcW w:w="5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October 31, 2024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793"/>
              <w:spacing w:after="0"/>
              <w:rPr>
                <w:sz w:val="20"/>
                <w:szCs w:val="20"/>
                <w:color w:val="auto"/>
              </w:rPr>
            </w:pPr>
            <w:r>
              <w:rPr>
                <w:rFonts w:ascii="Arial" w:cs="Arial" w:eastAsia="Arial" w:hAnsi="Arial"/>
                <w:sz w:val="11"/>
                <w:szCs w:val="11"/>
                <w:b w:val="1"/>
                <w:bCs w:val="1"/>
                <w:color w:val="auto"/>
              </w:rPr>
              <w:t>October 31, 2025</w:t>
            </w:r>
          </w:p>
        </w:tc>
      </w:tr>
      <w:tr>
        <w:trPr>
          <w:trHeight w:val="148"/>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300"/>
              <w:spacing w:after="0"/>
              <w:rPr>
                <w:sz w:val="20"/>
                <w:szCs w:val="20"/>
                <w:color w:val="auto"/>
              </w:rPr>
            </w:pPr>
            <w:r>
              <w:rPr>
                <w:rFonts w:ascii="Arial" w:cs="Arial" w:eastAsia="Arial" w:hAnsi="Arial"/>
                <w:sz w:val="11"/>
                <w:szCs w:val="11"/>
                <w:b w:val="1"/>
                <w:bCs w:val="1"/>
                <w:color w:val="auto"/>
              </w:rPr>
              <w:t>Actual</w:t>
            </w:r>
          </w:p>
        </w:tc>
        <w:tc>
          <w:tcPr>
            <w:tcW w:w="140" w:type="dxa"/>
            <w:vAlign w:val="bottom"/>
          </w:tcPr>
          <w:p>
            <w:pPr>
              <w:spacing w:after="0"/>
              <w:rPr>
                <w:sz w:val="12"/>
                <w:szCs w:val="12"/>
                <w:color w:val="auto"/>
              </w:rPr>
            </w:pPr>
          </w:p>
        </w:tc>
        <w:tc>
          <w:tcPr>
            <w:tcW w:w="1140" w:type="dxa"/>
            <w:vAlign w:val="bottom"/>
          </w:tcPr>
          <w:p>
            <w:pPr>
              <w:jc w:val="right"/>
              <w:ind w:right="155"/>
              <w:spacing w:after="0"/>
              <w:rPr>
                <w:sz w:val="20"/>
                <w:szCs w:val="20"/>
                <w:color w:val="auto"/>
              </w:rPr>
            </w:pPr>
            <w:r>
              <w:rPr>
                <w:rFonts w:ascii="Arial" w:cs="Arial" w:eastAsia="Arial" w:hAnsi="Arial"/>
                <w:sz w:val="11"/>
                <w:szCs w:val="11"/>
                <w:b w:val="1"/>
                <w:bCs w:val="1"/>
                <w:color w:val="auto"/>
              </w:rPr>
              <w:t>Low (estimated)</w:t>
            </w:r>
          </w:p>
        </w:tc>
        <w:tc>
          <w:tcPr>
            <w:tcW w:w="200" w:type="dxa"/>
            <w:vAlign w:val="bottom"/>
          </w:tcPr>
          <w:p>
            <w:pPr>
              <w:spacing w:after="0"/>
              <w:rPr>
                <w:sz w:val="12"/>
                <w:szCs w:val="12"/>
                <w:color w:val="auto"/>
              </w:rPr>
            </w:pPr>
          </w:p>
        </w:tc>
        <w:tc>
          <w:tcPr>
            <w:tcW w:w="1120" w:type="dxa"/>
            <w:vAlign w:val="bottom"/>
          </w:tcPr>
          <w:p>
            <w:pPr>
              <w:jc w:val="right"/>
              <w:ind w:right="113"/>
              <w:spacing w:after="0"/>
              <w:rPr>
                <w:sz w:val="20"/>
                <w:szCs w:val="20"/>
                <w:color w:val="auto"/>
              </w:rPr>
            </w:pPr>
            <w:r>
              <w:rPr>
                <w:rFonts w:ascii="Arial" w:cs="Arial" w:eastAsia="Arial" w:hAnsi="Arial"/>
                <w:sz w:val="11"/>
                <w:szCs w:val="11"/>
                <w:b w:val="1"/>
                <w:bCs w:val="1"/>
                <w:color w:val="auto"/>
              </w:rPr>
              <w:t>High (estimated)</w:t>
            </w:r>
          </w:p>
        </w:tc>
      </w:tr>
      <w:tr>
        <w:trPr>
          <w:trHeight w:val="17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Platform assets ($ 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76,496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91,000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94,700</w:t>
            </w:r>
          </w:p>
        </w:tc>
      </w:tr>
      <w:tr>
        <w:trPr>
          <w:trHeight w:val="179"/>
        </w:trPr>
        <w:tc>
          <w:tcPr>
            <w:tcW w:w="5800" w:type="dxa"/>
            <w:vAlign w:val="bottom"/>
          </w:tcPr>
          <w:p>
            <w:pPr>
              <w:ind w:left="180"/>
              <w:spacing w:after="0"/>
              <w:rPr>
                <w:sz w:val="20"/>
                <w:szCs w:val="20"/>
                <w:color w:val="auto"/>
              </w:rPr>
            </w:pPr>
            <w:r>
              <w:rPr>
                <w:rFonts w:ascii="Arial" w:cs="Arial" w:eastAsia="Arial" w:hAnsi="Arial"/>
                <w:sz w:val="14"/>
                <w:szCs w:val="14"/>
                <w:color w:val="auto"/>
              </w:rPr>
              <w:t>Cash management</w:t>
            </w:r>
          </w:p>
        </w:tc>
        <w:tc>
          <w:tcPr>
            <w:tcW w:w="160" w:type="dxa"/>
            <w:vAlign w:val="bottom"/>
          </w:tcPr>
          <w:p>
            <w:pPr>
              <w:spacing w:after="0"/>
              <w:rPr>
                <w:sz w:val="15"/>
                <w:szCs w:val="15"/>
                <w:color w:val="auto"/>
              </w:rPr>
            </w:pPr>
          </w:p>
        </w:tc>
        <w:tc>
          <w:tcPr>
            <w:tcW w:w="1180" w:type="dxa"/>
            <w:vAlign w:val="bottom"/>
          </w:tcPr>
          <w:p>
            <w:pPr>
              <w:jc w:val="right"/>
              <w:ind w:right="75"/>
              <w:spacing w:after="0"/>
              <w:rPr>
                <w:sz w:val="20"/>
                <w:szCs w:val="20"/>
                <w:color w:val="auto"/>
              </w:rPr>
            </w:pPr>
            <w:r>
              <w:rPr>
                <w:rFonts w:ascii="Arial" w:cs="Arial" w:eastAsia="Arial" w:hAnsi="Arial"/>
                <w:sz w:val="14"/>
                <w:szCs w:val="14"/>
                <w:color w:val="auto"/>
              </w:rPr>
              <w:t>41,400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5"/>
              <w:spacing w:after="0"/>
              <w:rPr>
                <w:sz w:val="20"/>
                <w:szCs w:val="20"/>
                <w:color w:val="auto"/>
              </w:rPr>
            </w:pPr>
            <w:r>
              <w:rPr>
                <w:rFonts w:ascii="Arial" w:cs="Arial" w:eastAsia="Arial" w:hAnsi="Arial"/>
                <w:sz w:val="14"/>
                <w:szCs w:val="14"/>
                <w:color w:val="auto"/>
              </w:rPr>
              <w:t>46,100</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48,000</w:t>
            </w:r>
          </w:p>
        </w:tc>
      </w:tr>
      <w:tr>
        <w:trPr>
          <w:trHeight w:val="179"/>
        </w:trPr>
        <w:tc>
          <w:tcPr>
            <w:tcW w:w="5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advisory</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35,096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44,900</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46,700</w:t>
            </w:r>
          </w:p>
        </w:tc>
      </w:tr>
      <w:tr>
        <w:trPr>
          <w:trHeight w:val="185"/>
        </w:trPr>
        <w:tc>
          <w:tcPr>
            <w:tcW w:w="5800" w:type="dxa"/>
            <w:vAlign w:val="bottom"/>
          </w:tcPr>
          <w:p>
            <w:pPr>
              <w:ind w:left="20"/>
              <w:spacing w:after="0"/>
              <w:rPr>
                <w:sz w:val="20"/>
                <w:szCs w:val="20"/>
                <w:color w:val="auto"/>
              </w:rPr>
            </w:pPr>
            <w:r>
              <w:rPr>
                <w:rFonts w:ascii="Arial" w:cs="Arial" w:eastAsia="Arial" w:hAnsi="Arial"/>
                <w:sz w:val="14"/>
                <w:szCs w:val="14"/>
                <w:color w:val="auto"/>
              </w:rPr>
              <w:t>Net deposits ($ millions)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5"/>
              <w:spacing w:after="0"/>
              <w:rPr>
                <w:sz w:val="20"/>
                <w:szCs w:val="20"/>
                <w:color w:val="auto"/>
              </w:rPr>
            </w:pPr>
            <w:r>
              <w:rPr>
                <w:rFonts w:ascii="Arial" w:cs="Arial" w:eastAsia="Arial" w:hAnsi="Arial"/>
                <w:sz w:val="14"/>
                <w:szCs w:val="14"/>
                <w:color w:val="auto"/>
              </w:rPr>
              <w:t>4,394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5"/>
              <w:spacing w:after="0"/>
              <w:rPr>
                <w:sz w:val="20"/>
                <w:szCs w:val="20"/>
                <w:color w:val="auto"/>
              </w:rPr>
            </w:pPr>
            <w:r>
              <w:rPr>
                <w:rFonts w:ascii="Arial" w:cs="Arial" w:eastAsia="Arial" w:hAnsi="Arial"/>
                <w:sz w:val="14"/>
                <w:szCs w:val="14"/>
                <w:color w:val="auto"/>
              </w:rPr>
              <w:t>1,500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1,600</w:t>
            </w:r>
          </w:p>
        </w:tc>
      </w:tr>
    </w:tbl>
    <w:p>
      <w:pPr>
        <w:spacing w:after="0" w:line="179" w:lineRule="exact"/>
        <w:rPr>
          <w:sz w:val="20"/>
          <w:szCs w:val="20"/>
          <w:color w:val="auto"/>
        </w:rPr>
      </w:pPr>
    </w:p>
    <w:p>
      <w:pPr>
        <w:jc w:val="both"/>
        <w:ind w:left="520" w:firstLine="505"/>
        <w:spacing w:after="0" w:line="268" w:lineRule="auto"/>
        <w:rPr>
          <w:sz w:val="20"/>
          <w:szCs w:val="20"/>
          <w:color w:val="auto"/>
        </w:rPr>
      </w:pPr>
      <w:r>
        <w:rPr>
          <w:rFonts w:ascii="Arial" w:cs="Arial" w:eastAsia="Arial" w:hAnsi="Arial"/>
          <w:sz w:val="14"/>
          <w:szCs w:val="14"/>
          <w:color w:val="auto"/>
        </w:rPr>
        <w:t>We expect to report platform assets of between $91.0 billion and $94.7 billion as of October 31, 2025, as compared to $76.5 billion as of October 31, 2024, representing an increase of 21% at the midpoint of this range. The expected increase in platform assets was primarily due to an increase in both cash management and investment advisory assets.</w:t>
      </w:r>
    </w:p>
    <w:p>
      <w:pPr>
        <w:spacing w:after="0" w:line="91" w:lineRule="exact"/>
        <w:rPr>
          <w:sz w:val="20"/>
          <w:szCs w:val="20"/>
          <w:color w:val="auto"/>
        </w:rPr>
      </w:pPr>
    </w:p>
    <w:p>
      <w:pPr>
        <w:jc w:val="both"/>
        <w:ind w:left="520" w:firstLine="505"/>
        <w:spacing w:after="0" w:line="257" w:lineRule="auto"/>
        <w:rPr>
          <w:sz w:val="20"/>
          <w:szCs w:val="20"/>
          <w:color w:val="auto"/>
        </w:rPr>
      </w:pPr>
      <w:r>
        <w:rPr>
          <w:rFonts w:ascii="Arial" w:cs="Arial" w:eastAsia="Arial" w:hAnsi="Arial"/>
          <w:sz w:val="14"/>
          <w:szCs w:val="14"/>
          <w:color w:val="auto"/>
        </w:rPr>
        <w:t>We expect to report net deposits of between $1.5 billion and $ 1.6 billion during the three months ended October 31, 2025, as compared to $4.4 billion during the three months ended October 31, 2024, representing a decrease of 64% at the midpoint of this range. The expected decrease in net deposits was primarily due to a decrease in cash management net deposits. Investment advisory net deposits were relatively unchanged compared to the same period a year ago, primarily due to cash management clients' cross account transfers to existing investment advisory accounts as well as cash management clients' cross product adoption of new investment advisory accounts. We expect to report funded clients of 1.38 million as of October 31, 2025, as compared to 1.15 million as of October 31, 2024, representing an increase of 20%. The increase in funded clients was primarily due to an increase in new cash management clients.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Revolving Credit Facility</w:t>
      </w:r>
    </w:p>
    <w:p>
      <w:pPr>
        <w:spacing w:after="0" w:line="131"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On October 14, 2025, we entered into an amended and restated credit agreement with Wells Fargo Bank, N.A., as administrative agent, Wells Fargo Securities, LLC, as sole lead arranger and sole bookrunner, the letter of credit issuers from time to time party thereto, and the lenders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760"/>
          </w:cols>
          <w:pgMar w:left="300" w:top="209" w:right="8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618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461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party thereto, which provides for a revolving credit facility (the “Revolving Credit Facility”) of up to $250.0 million, including a subfacility of up to $25.0 million for letters of credit. We may, subject to certain customary conditions, on one or more occasions increase commitments under the Revolving Credit Facility in an amount not to exceed $100.0 million in the aggregate. See the section titled “Management’s Discussion and Analysis of Financial Condition and Results of Operations— Liquidity and Capital Resources—Borrowings” for additional information regarding the Revolving Credit Facility.</w:t>
      </w:r>
    </w:p>
    <w:p>
      <w:pPr>
        <w:spacing w:after="0" w:line="96"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Risk Factors Summary</w:t>
      </w:r>
    </w:p>
    <w:p>
      <w:pPr>
        <w:spacing w:after="0" w:line="133"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Our business is subject to numerous risks and uncertainties of which you should be aware before making a decision to invest in our common stock. These risks are more fully described in the section titled “Risk Factors” immediately following this prospectus summary. These risks, among others, include the following:</w:t>
      </w:r>
    </w:p>
    <w:p>
      <w:pPr>
        <w:spacing w:after="0" w:line="79" w:lineRule="exact"/>
        <w:rPr>
          <w:sz w:val="20"/>
          <w:szCs w:val="20"/>
          <w:color w:val="auto"/>
        </w:rPr>
      </w:pPr>
    </w:p>
    <w:p>
      <w:pPr>
        <w:ind w:left="1020" w:hanging="245"/>
        <w:spacing w:after="0" w:line="286"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have a limited operating history with certain of our products and services, which makes it difficult to evaluate our current business and future prospects and increases the risks associated with an investment in our common stock.</w:t>
      </w:r>
    </w:p>
    <w:p>
      <w:pPr>
        <w:spacing w:after="0" w:line="78" w:lineRule="exact"/>
        <w:rPr>
          <w:rFonts w:ascii="Arial" w:cs="Arial" w:eastAsia="Arial" w:hAnsi="Arial"/>
          <w:sz w:val="14"/>
          <w:szCs w:val="14"/>
          <w:color w:val="auto"/>
        </w:rPr>
      </w:pPr>
    </w:p>
    <w:p>
      <w:pPr>
        <w:ind w:left="1020" w:hanging="245"/>
        <w:spacing w:after="0"/>
        <w:tabs>
          <w:tab w:leader="none" w:pos="10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While we have recently achieved profitability, we have a history of net losses and there can be no guarantee that we will maintain profitability in the future.</w:t>
      </w:r>
    </w:p>
    <w:p>
      <w:pPr>
        <w:spacing w:after="0" w:line="133"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of our platform assets is subject to significant fluctuations. Fluctuations in the amount of our platform assets may be attributable in part to market conditions outside of our control that have had, and in the future could have, an adverse impact on our business, operating results, and financial condition.</w:t>
      </w:r>
    </w:p>
    <w:p>
      <w:pPr>
        <w:spacing w:after="0" w:line="78" w:lineRule="exact"/>
        <w:rPr>
          <w:rFonts w:ascii="Arial" w:cs="Arial" w:eastAsia="Arial" w:hAnsi="Arial"/>
          <w:sz w:val="14"/>
          <w:szCs w:val="14"/>
          <w:color w:val="auto"/>
        </w:rPr>
      </w:pPr>
    </w:p>
    <w:p>
      <w:pPr>
        <w:ind w:left="1020" w:hanging="245"/>
        <w:spacing w:after="0"/>
        <w:tabs>
          <w:tab w:leader="none" w:pos="10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experience significant fluctuations in our operating results.</w:t>
      </w:r>
    </w:p>
    <w:p>
      <w:pPr>
        <w:spacing w:after="0" w:line="133"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face intense competition, and we may be unable to compete effectively in our efforts to attract new clients and retain existing clients, which would adversely affect our business, operating results, and financial condition.</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cannot accurately predict new client engagement, continued engagement by existing clients, or expansion of existing client engagement, and the impact that such engagement levels may have on our future revenue and operating results.</w:t>
      </w:r>
    </w:p>
    <w:p>
      <w:pPr>
        <w:spacing w:after="0" w:line="78" w:lineRule="exact"/>
        <w:rPr>
          <w:rFonts w:ascii="Arial" w:cs="Arial" w:eastAsia="Arial" w:hAnsi="Arial"/>
          <w:sz w:val="14"/>
          <w:szCs w:val="14"/>
          <w:color w:val="auto"/>
        </w:rPr>
      </w:pPr>
    </w:p>
    <w:p>
      <w:pPr>
        <w:jc w:val="both"/>
        <w:ind w:left="1020" w:hanging="245"/>
        <w:spacing w:after="0" w:line="268"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spacing w:after="0" w:line="91"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If we fail to successfully develop, maintain, and enhance our brand, or if our reputation is harmed, our business, operating results, and financial condition could be adversely impacted.</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failure to securely store and manage our clients’ assets, or other software or equipment failures that may impair our ability to provide our services, could adversely affect our business, operating results, and financial condition.</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760"/>
          </w:cols>
          <w:pgMar w:left="300" w:top="209" w:right="8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859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85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20" w:hanging="245"/>
        <w:spacing w:after="0" w:line="286" w:lineRule="auto"/>
        <w:tabs>
          <w:tab w:leader="none" w:pos="10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Problems with the quality of, or disruptions in, our platform, products and services could adversely impact our brand and reputation and our business, operating results, and financial condition.</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business could be materially and adversely affected by a cybersecurity breach or other attack involving our computer systems or data or those of our clients, our third-party service providers, or such service providers’ vendors.</w:t>
      </w:r>
    </w:p>
    <w:p>
      <w:pPr>
        <w:spacing w:after="0" w:line="79"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highlight w:val="white"/>
        </w:rPr>
        <w:t>If we are unable to adequately address these or the other risks we face, our business, operating results, financial condition, and growth prospects could be adversely affected.</w:t>
      </w:r>
    </w:p>
    <w:p>
      <w:pPr>
        <w:spacing w:after="0" w:line="79"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Channels for Disclosure of Information</w:t>
      </w:r>
    </w:p>
    <w:p>
      <w:pPr>
        <w:spacing w:after="0" w:line="133"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Following the effectiveness of the registration statement of which this prospectus forms a part, we intend to announce material information to the public through filings with the Securities and Exchange Commission (the “SEC”), the investor relations page on our website (www.wealthfront.com), press releases, public conference calls, public webcasts, our X account (@Wealthfront), our Instagram page (@wealthfront), our Facebook page, and our LinkedIn page. The information contained on, or that can be accessed through, these channels is not a part of this prospectus. Investors should not rely on any such information in deciding whether to purchase our common stock.</w:t>
      </w:r>
    </w:p>
    <w:p>
      <w:pPr>
        <w:spacing w:after="0" w:line="98"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The information disclosed in the foregoing channels could be deemed to be material information. As such, we encourage investors, the media, and others to follow the channels listed above and to review the information disclosed through such channels.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Any updates to the list of disclosure channels through which we will announce information will be posted on the investor relations page on our website.</w:t>
      </w:r>
    </w:p>
    <w:p>
      <w:pPr>
        <w:spacing w:after="0" w:line="133"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Corporate Information</w:t>
      </w:r>
    </w:p>
    <w:p>
      <w:pPr>
        <w:spacing w:after="0" w:line="133"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We were incorporated in the State of Delaware in January 2007 as “MAJ I, Inc.” We changed our name to “Kaching Group Inc.” in January 2008 and then to “Wealthfront Inc.” in October 2010. In August 2018, we changed our name to “Wealthfront Corporation.” Wealthfront Corporation is the parent company of a number of operating subsidiaries, including (i) Wealthfront Brokerage LLC, a Delaware limited liability company, which is a licensed broker-dealer that primarily provides brokerage services and related products, (ii) Wealthfront Advisers LLC, a Delaware limited liability company, which is an SEC-registered investment adviser that primarily provides investment management and advisory services, and (iii) Wealthfront Strategies LLC, a Delaware limited liability company, which is an SEC-registered investment adviser.</w:t>
      </w:r>
    </w:p>
    <w:p>
      <w:pPr>
        <w:spacing w:after="0" w:line="101"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principal executive offices are located at 261 Hamilton Avenue, Palo Alto, California 94301. Our telephone number is (844) 995-8437. Our website address is www.wealthfront.com. The information contained on, or that can be accessed through, our website is not a part of this prospectus. Investors should not rely on any such information in deciding whether to purchase shares of our common stock.</w:t>
      </w:r>
    </w:p>
    <w:p>
      <w:pPr>
        <w:spacing w:after="0" w:line="91"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Wealthfront, the Wealthfront logo, and other registered or common law trade names, trademarks, or service marks of Wealthfront appearing in this prospectus are the property of Wealthfront Corporation. This prospectus contains additional trade names, trademarks, logos, and service marks of ours and of other companies. We do not intend our use or display of other companies’ trade names, trademarks, logos, or service marks to imply a relationship with these other companies, or endorsement or sponsorship of us by these other companies. Other trademarks appearing in this prospectus are the property of their respective holders. Solely for convenience, our trade names, trademarks, logos, and service marks referred to in this prospectus may appear without the ® and ™ symbols, but those references are not intended to indicate, in any way, that we will not assert, to the fullest extent under applicable law, our rights, or the right of the applicable licensor, to these trademarks, trade names, and service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760"/>
          </w:cols>
          <w:pgMar w:left="300" w:top="209" w:right="8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138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413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Implications of Being an Emerging Growth Company</w:t>
      </w:r>
    </w:p>
    <w:p>
      <w:pPr>
        <w:spacing w:after="0" w:line="133"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As a company with less than $1.235 billion in revenue during our most recently completed fiscal year, we qualify as an emerging growth company (“EGC”), as defined in Section 2(a) of the Securities Act of 1933, as amended (the “Securities Act”), as modified by the Jumpstart Our Business Startups Act of 2012 (the “JOBS Act”). As an EGC, we may take advantage of specified reduced disclosure and other requirements that are otherwise applicable, in general, to public companies that are not EGCs. These provisions include:</w:t>
      </w:r>
    </w:p>
    <w:p>
      <w:pPr>
        <w:spacing w:after="0" w:line="96" w:lineRule="exact"/>
        <w:rPr>
          <w:sz w:val="20"/>
          <w:szCs w:val="20"/>
          <w:color w:val="auto"/>
        </w:rPr>
      </w:pPr>
    </w:p>
    <w:p>
      <w:pPr>
        <w:ind w:left="1020" w:hanging="245"/>
        <w:spacing w:after="0" w:line="286" w:lineRule="auto"/>
        <w:tabs>
          <w:tab w:leader="none" w:pos="10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 exemption from compliance with the auditor attestation requirement on the effectiveness of our internal control over financial reporting pursuant to the Sarbanes-Oxley Act of 2002;</w:t>
      </w:r>
    </w:p>
    <w:p>
      <w:pPr>
        <w:spacing w:after="0" w:line="78" w:lineRule="exact"/>
        <w:rPr>
          <w:rFonts w:ascii="Arial" w:cs="Arial" w:eastAsia="Arial" w:hAnsi="Arial"/>
          <w:sz w:val="14"/>
          <w:szCs w:val="14"/>
          <w:color w:val="auto"/>
        </w:rPr>
      </w:pPr>
    </w:p>
    <w:p>
      <w:pPr>
        <w:jc w:val="both"/>
        <w:ind w:left="1020" w:hanging="245"/>
        <w:spacing w:after="0" w:line="268" w:lineRule="auto"/>
        <w:tabs>
          <w:tab w:leader="none" w:pos="10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p>
      <w:pPr>
        <w:spacing w:after="0" w:line="91" w:lineRule="exact"/>
        <w:rPr>
          <w:rFonts w:ascii="Arial" w:cs="Arial" w:eastAsia="Arial" w:hAnsi="Arial"/>
          <w:sz w:val="14"/>
          <w:szCs w:val="14"/>
          <w:color w:val="auto"/>
        </w:rPr>
      </w:pPr>
    </w:p>
    <w:p>
      <w:pPr>
        <w:ind w:left="1020" w:hanging="245"/>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reduced disclosure obligations regarding our executive compensation arrangements;</w:t>
      </w:r>
    </w:p>
    <w:p>
      <w:pPr>
        <w:spacing w:after="0" w:line="133"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exemptions from the requirements to obtain a non-binding advisory vote on executive compensation or a stockholder approval of any golden parachute arrangements not previously approved; and</w:t>
      </w:r>
    </w:p>
    <w:p>
      <w:pPr>
        <w:spacing w:after="0" w:line="78" w:lineRule="exact"/>
        <w:rPr>
          <w:rFonts w:ascii="Arial" w:cs="Arial" w:eastAsia="Arial" w:hAnsi="Arial"/>
          <w:sz w:val="14"/>
          <w:szCs w:val="14"/>
          <w:color w:val="auto"/>
        </w:rPr>
      </w:pPr>
    </w:p>
    <w:p>
      <w:pPr>
        <w:ind w:left="1020" w:hanging="245"/>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33"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will remain an EGC until the earliest to occur of: (i) the last day of the fiscal year in which we have more than $ 1.235 billion in annual revenue; (ii) the date we qualify as a “large accelerated filer,” as defined in the rules under the Securities Exchange Act of 1934, as amended (the “Exchange Act”), with at least $700 million of common equity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96"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 xml:space="preserve">We may take advantage of these exemptions until such time that we are no longer an EGC. Accordingly, the information contained herein may be different than the information you receive from other public companies. Further, pursuant to Section 107 of the JOBS Act, as an EGC, we have elected to take advantage of the extended transition period for complying with new or revised accounting standards until those standards would otherwise apply to private companies. As a result, our operating </w:t>
      </w:r>
      <w:r>
        <w:rPr>
          <w:rFonts w:ascii="Arial" w:cs="Arial" w:eastAsia="Arial" w:hAnsi="Arial"/>
          <w:sz w:val="14"/>
          <w:szCs w:val="14"/>
          <w:color w:val="auto"/>
          <w:highlight w:val="white"/>
        </w:rPr>
        <w:t>results</w:t>
      </w:r>
      <w:r>
        <w:rPr>
          <w:rFonts w:ascii="Arial" w:cs="Arial" w:eastAsia="Arial" w:hAnsi="Arial"/>
          <w:sz w:val="14"/>
          <w:szCs w:val="14"/>
          <w:color w:val="auto"/>
        </w:rPr>
        <w:t xml:space="preserve"> and financial statements may not be comparable to the operating </w:t>
      </w:r>
      <w:r>
        <w:rPr>
          <w:rFonts w:ascii="Arial" w:cs="Arial" w:eastAsia="Arial" w:hAnsi="Arial"/>
          <w:sz w:val="14"/>
          <w:szCs w:val="14"/>
          <w:color w:val="auto"/>
          <w:highlight w:val="white"/>
        </w:rPr>
        <w:t>results</w:t>
      </w:r>
      <w:r>
        <w:rPr>
          <w:rFonts w:ascii="Arial" w:cs="Arial" w:eastAsia="Arial" w:hAnsi="Arial"/>
          <w:sz w:val="14"/>
          <w:szCs w:val="14"/>
          <w:color w:val="auto"/>
        </w:rPr>
        <w:t xml:space="preserve"> and financial statements of other companies that have adopted the new or revised accounting standards. See the section titled “Risk Factors—Risks Related to Our Financial and Accounting Matters—We are an “emerging growth company” and the reduced reporting requirements applicable to emerging growth companies could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760"/>
          </w:cols>
          <w:pgMar w:left="300" w:top="209" w:right="8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782"/>
        </w:trPr>
        <w:tc>
          <w:tcPr>
            <w:tcW w:w="4460" w:type="dxa"/>
            <w:vAlign w:val="bottom"/>
            <w:tcBorders>
              <w:top w:val="single" w:sz="8" w:color="auto"/>
              <w:left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4"/>
                <w:szCs w:val="14"/>
                <w:b w:val="1"/>
                <w:bCs w:val="1"/>
                <w:color w:val="auto"/>
              </w:rPr>
              <w:t>THE OFFERING</w:t>
            </w:r>
          </w:p>
        </w:tc>
      </w:tr>
      <w:tr>
        <w:trPr>
          <w:trHeight w:val="318"/>
        </w:trPr>
        <w:tc>
          <w:tcPr>
            <w:tcW w:w="4460" w:type="dxa"/>
            <w:vAlign w:val="bottom"/>
            <w:tcBorders>
              <w:left w:val="single" w:sz="8" w:color="auto"/>
            </w:tcBorders>
          </w:tcPr>
          <w:p>
            <w:pPr>
              <w:ind w:left="540"/>
              <w:spacing w:after="0"/>
              <w:rPr>
                <w:sz w:val="20"/>
                <w:szCs w:val="20"/>
                <w:color w:val="auto"/>
              </w:rPr>
            </w:pPr>
            <w:r>
              <w:rPr>
                <w:rFonts w:ascii="Arial" w:cs="Arial" w:eastAsia="Arial" w:hAnsi="Arial"/>
                <w:sz w:val="14"/>
                <w:szCs w:val="14"/>
                <w:color w:val="auto"/>
              </w:rPr>
              <w:t>Common stock offered by us</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21,468,038 shares.</w:t>
            </w:r>
          </w:p>
        </w:tc>
      </w:tr>
      <w:tr>
        <w:trPr>
          <w:trHeight w:val="221"/>
        </w:trPr>
        <w:tc>
          <w:tcPr>
            <w:tcW w:w="4460" w:type="dxa"/>
            <w:vAlign w:val="bottom"/>
            <w:tcBorders>
              <w:left w:val="single" w:sz="8" w:color="auto"/>
            </w:tcBorders>
          </w:tcPr>
          <w:p>
            <w:pPr>
              <w:ind w:left="540"/>
              <w:spacing w:after="0"/>
              <w:rPr>
                <w:sz w:val="20"/>
                <w:szCs w:val="20"/>
                <w:color w:val="auto"/>
              </w:rPr>
            </w:pPr>
            <w:r>
              <w:rPr>
                <w:rFonts w:ascii="Arial" w:cs="Arial" w:eastAsia="Arial" w:hAnsi="Arial"/>
                <w:sz w:val="14"/>
                <w:szCs w:val="14"/>
                <w:color w:val="auto"/>
              </w:rPr>
              <w:t>Common stock offered by the selling stockholders</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13,147,346 shares.</w:t>
            </w:r>
          </w:p>
        </w:tc>
      </w:tr>
      <w:tr>
        <w:trPr>
          <w:trHeight w:val="183"/>
        </w:trPr>
        <w:tc>
          <w:tcPr>
            <w:tcW w:w="4460" w:type="dxa"/>
            <w:vAlign w:val="bottom"/>
            <w:tcBorders>
              <w:left w:val="single" w:sz="8" w:color="auto"/>
            </w:tcBorders>
          </w:tcPr>
          <w:p>
            <w:pPr>
              <w:ind w:left="540"/>
              <w:spacing w:after="0"/>
              <w:rPr>
                <w:sz w:val="20"/>
                <w:szCs w:val="20"/>
                <w:color w:val="auto"/>
              </w:rPr>
            </w:pPr>
            <w:r>
              <w:rPr>
                <w:rFonts w:ascii="Arial" w:cs="Arial" w:eastAsia="Arial" w:hAnsi="Arial"/>
                <w:sz w:val="14"/>
                <w:szCs w:val="14"/>
                <w:color w:val="auto"/>
              </w:rPr>
              <w:t>Underwriters’ option to purchase additional shares of common</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underwriters have the option for a period of 30 days from the date of this prospectus to</w:t>
            </w:r>
          </w:p>
        </w:tc>
      </w:tr>
      <w:tr>
        <w:trPr>
          <w:trHeight w:val="141"/>
        </w:trPr>
        <w:tc>
          <w:tcPr>
            <w:tcW w:w="4460" w:type="dxa"/>
            <w:vAlign w:val="bottom"/>
            <w:tcBorders>
              <w:left w:val="single" w:sz="8" w:color="auto"/>
            </w:tcBorders>
          </w:tcPr>
          <w:p>
            <w:pPr>
              <w:ind w:left="660"/>
              <w:spacing w:after="0" w:line="141" w:lineRule="exact"/>
              <w:rPr>
                <w:sz w:val="20"/>
                <w:szCs w:val="20"/>
                <w:color w:val="auto"/>
              </w:rPr>
            </w:pPr>
            <w:r>
              <w:rPr>
                <w:rFonts w:ascii="Arial" w:cs="Arial" w:eastAsia="Arial" w:hAnsi="Arial"/>
                <w:sz w:val="14"/>
                <w:szCs w:val="14"/>
                <w:color w:val="auto"/>
              </w:rPr>
              <w:t>stock</w:t>
            </w:r>
          </w:p>
        </w:tc>
        <w:tc>
          <w:tcPr>
            <w:tcW w:w="6820" w:type="dxa"/>
            <w:vAlign w:val="bottom"/>
            <w:tcBorders>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purchase up to an additional 5,192,308 shares of common stock from us at the initial public offering</w:t>
            </w:r>
          </w:p>
        </w:tc>
      </w:tr>
      <w:tr>
        <w:trPr>
          <w:trHeight w:val="185"/>
        </w:trPr>
        <w:tc>
          <w:tcPr>
            <w:tcW w:w="4460" w:type="dxa"/>
            <w:vAlign w:val="bottom"/>
            <w:tcBorders>
              <w:left w:val="single" w:sz="8" w:color="auto"/>
            </w:tcBorders>
          </w:tcPr>
          <w:p>
            <w:pPr>
              <w:spacing w:after="0"/>
              <w:rPr>
                <w:sz w:val="16"/>
                <w:szCs w:val="16"/>
                <w:color w:val="auto"/>
              </w:rPr>
            </w:pP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price less underwriting discounts and commissions.</w:t>
            </w:r>
          </w:p>
        </w:tc>
      </w:tr>
      <w:tr>
        <w:trPr>
          <w:trHeight w:val="179"/>
        </w:trPr>
        <w:tc>
          <w:tcPr>
            <w:tcW w:w="4460" w:type="dxa"/>
            <w:vAlign w:val="bottom"/>
            <w:tcBorders>
              <w:left w:val="single" w:sz="8" w:color="auto"/>
            </w:tcBorders>
          </w:tcPr>
          <w:p>
            <w:pPr>
              <w:ind w:left="540"/>
              <w:spacing w:after="0"/>
              <w:rPr>
                <w:sz w:val="20"/>
                <w:szCs w:val="20"/>
                <w:color w:val="auto"/>
              </w:rPr>
            </w:pPr>
            <w:r>
              <w:rPr>
                <w:rFonts w:ascii="Arial" w:cs="Arial" w:eastAsia="Arial" w:hAnsi="Arial"/>
                <w:sz w:val="14"/>
                <w:szCs w:val="14"/>
                <w:color w:val="auto"/>
              </w:rPr>
              <w:t>Common stock to be outstanding after this offering</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146,266,498 shares (or 151,458,805 shares if the underwriters exercise their option to purchase</w:t>
            </w:r>
          </w:p>
        </w:tc>
      </w:tr>
      <w:tr>
        <w:trPr>
          <w:trHeight w:val="185"/>
        </w:trPr>
        <w:tc>
          <w:tcPr>
            <w:tcW w:w="4460" w:type="dxa"/>
            <w:vAlign w:val="bottom"/>
            <w:tcBorders>
              <w:left w:val="single" w:sz="8" w:color="auto"/>
            </w:tcBorders>
          </w:tcPr>
          <w:p>
            <w:pPr>
              <w:spacing w:after="0"/>
              <w:rPr>
                <w:sz w:val="16"/>
                <w:szCs w:val="16"/>
                <w:color w:val="auto"/>
              </w:rPr>
            </w:pP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additional shares of common stock in full).</w:t>
            </w:r>
          </w:p>
        </w:tc>
      </w:tr>
      <w:tr>
        <w:trPr>
          <w:trHeight w:val="183"/>
        </w:trPr>
        <w:tc>
          <w:tcPr>
            <w:tcW w:w="4460" w:type="dxa"/>
            <w:vAlign w:val="bottom"/>
            <w:tcBorders>
              <w:left w:val="single" w:sz="8" w:color="auto"/>
            </w:tcBorders>
          </w:tcPr>
          <w:p>
            <w:pPr>
              <w:ind w:left="540"/>
              <w:spacing w:after="0"/>
              <w:rPr>
                <w:sz w:val="20"/>
                <w:szCs w:val="20"/>
                <w:color w:val="auto"/>
              </w:rPr>
            </w:pPr>
            <w:r>
              <w:rPr>
                <w:rFonts w:ascii="Arial" w:cs="Arial" w:eastAsia="Arial" w:hAnsi="Arial"/>
                <w:sz w:val="14"/>
                <w:szCs w:val="14"/>
                <w:color w:val="auto"/>
              </w:rPr>
              <w:t>Indications of Interest</w:t>
            </w: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Cornerstone Investors have, severally and not jointly, indicated an interest in purchasing up to</w:t>
            </w:r>
          </w:p>
        </w:tc>
      </w:tr>
      <w:tr>
        <w:trPr>
          <w:trHeight w:val="141"/>
        </w:trPr>
        <w:tc>
          <w:tcPr>
            <w:tcW w:w="4460" w:type="dxa"/>
            <w:vAlign w:val="bottom"/>
            <w:tcBorders>
              <w:left w:val="single" w:sz="8" w:color="auto"/>
            </w:tcBorders>
          </w:tcPr>
          <w:p>
            <w:pPr>
              <w:spacing w:after="0"/>
              <w:rPr>
                <w:sz w:val="12"/>
                <w:szCs w:val="12"/>
                <w:color w:val="auto"/>
              </w:rPr>
            </w:pPr>
          </w:p>
        </w:tc>
        <w:tc>
          <w:tcPr>
            <w:tcW w:w="6820" w:type="dxa"/>
            <w:vAlign w:val="bottom"/>
            <w:tcBorders>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an aggregate of $150.0 million in shares of our common stock offered in this offering at the initial</w:t>
            </w:r>
          </w:p>
        </w:tc>
      </w:tr>
      <w:tr>
        <w:trPr>
          <w:trHeight w:val="137"/>
        </w:trPr>
        <w:tc>
          <w:tcPr>
            <w:tcW w:w="4460" w:type="dxa"/>
            <w:vAlign w:val="bottom"/>
            <w:tcBorders>
              <w:left w:val="single" w:sz="8" w:color="auto"/>
            </w:tcBorders>
          </w:tcPr>
          <w:p>
            <w:pPr>
              <w:spacing w:after="0"/>
              <w:rPr>
                <w:sz w:val="11"/>
                <w:szCs w:val="11"/>
                <w:color w:val="auto"/>
              </w:rPr>
            </w:pPr>
          </w:p>
        </w:tc>
        <w:tc>
          <w:tcPr>
            <w:tcW w:w="68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4"/>
                <w:szCs w:val="14"/>
                <w:color w:val="auto"/>
              </w:rPr>
              <w:t>public offering price and on the same terms and conditions as the other purchasers in this offering.</w:t>
            </w:r>
          </w:p>
        </w:tc>
      </w:tr>
      <w:tr>
        <w:trPr>
          <w:trHeight w:val="143"/>
        </w:trPr>
        <w:tc>
          <w:tcPr>
            <w:tcW w:w="4460" w:type="dxa"/>
            <w:vAlign w:val="bottom"/>
            <w:tcBorders>
              <w:left w:val="single" w:sz="8" w:color="auto"/>
            </w:tcBorders>
          </w:tcPr>
          <w:p>
            <w:pPr>
              <w:spacing w:after="0"/>
              <w:rPr>
                <w:sz w:val="12"/>
                <w:szCs w:val="12"/>
                <w:color w:val="auto"/>
              </w:rPr>
            </w:pPr>
          </w:p>
        </w:tc>
        <w:tc>
          <w:tcPr>
            <w:tcW w:w="68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4"/>
                <w:szCs w:val="14"/>
                <w:color w:val="auto"/>
              </w:rPr>
              <w:t>The shares of common stock to be purchased by the Cornerstone Investors will not be subject to a</w:t>
            </w:r>
          </w:p>
        </w:tc>
      </w:tr>
      <w:tr>
        <w:trPr>
          <w:trHeight w:val="141"/>
        </w:trPr>
        <w:tc>
          <w:tcPr>
            <w:tcW w:w="4460" w:type="dxa"/>
            <w:vAlign w:val="bottom"/>
            <w:tcBorders>
              <w:left w:val="single" w:sz="8" w:color="auto"/>
            </w:tcBorders>
          </w:tcPr>
          <w:p>
            <w:pPr>
              <w:spacing w:after="0"/>
              <w:rPr>
                <w:sz w:val="12"/>
                <w:szCs w:val="12"/>
                <w:color w:val="auto"/>
              </w:rPr>
            </w:pPr>
          </w:p>
        </w:tc>
        <w:tc>
          <w:tcPr>
            <w:tcW w:w="6820" w:type="dxa"/>
            <w:vAlign w:val="bottom"/>
            <w:tcBorders>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lock-up agreement with the underwriters. Because this indication of interest is not a binding</w:t>
            </w:r>
          </w:p>
        </w:tc>
      </w:tr>
      <w:tr>
        <w:trPr>
          <w:trHeight w:val="137"/>
        </w:trPr>
        <w:tc>
          <w:tcPr>
            <w:tcW w:w="4460" w:type="dxa"/>
            <w:vAlign w:val="bottom"/>
            <w:tcBorders>
              <w:left w:val="single" w:sz="8" w:color="auto"/>
            </w:tcBorders>
          </w:tcPr>
          <w:p>
            <w:pPr>
              <w:spacing w:after="0"/>
              <w:rPr>
                <w:sz w:val="11"/>
                <w:szCs w:val="11"/>
                <w:color w:val="auto"/>
              </w:rPr>
            </w:pPr>
          </w:p>
        </w:tc>
        <w:tc>
          <w:tcPr>
            <w:tcW w:w="68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4"/>
                <w:szCs w:val="14"/>
                <w:color w:val="auto"/>
              </w:rPr>
              <w:t>agreement or commitment to purchase, the Cornerstone Investors may determine to purchase</w:t>
            </w:r>
          </w:p>
        </w:tc>
      </w:tr>
      <w:tr>
        <w:trPr>
          <w:trHeight w:val="143"/>
        </w:trPr>
        <w:tc>
          <w:tcPr>
            <w:tcW w:w="4460" w:type="dxa"/>
            <w:vAlign w:val="bottom"/>
            <w:tcBorders>
              <w:left w:val="single" w:sz="8" w:color="auto"/>
            </w:tcBorders>
          </w:tcPr>
          <w:p>
            <w:pPr>
              <w:spacing w:after="0"/>
              <w:rPr>
                <w:sz w:val="12"/>
                <w:szCs w:val="12"/>
                <w:color w:val="auto"/>
              </w:rPr>
            </w:pPr>
          </w:p>
        </w:tc>
        <w:tc>
          <w:tcPr>
            <w:tcW w:w="68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4"/>
                <w:szCs w:val="14"/>
                <w:color w:val="auto"/>
              </w:rPr>
              <w:t>more, fewer, or no shares in this offering, or the underwriters may determine to sell more, fewer, or</w:t>
            </w:r>
          </w:p>
        </w:tc>
      </w:tr>
      <w:tr>
        <w:trPr>
          <w:trHeight w:val="141"/>
        </w:trPr>
        <w:tc>
          <w:tcPr>
            <w:tcW w:w="4460" w:type="dxa"/>
            <w:vAlign w:val="bottom"/>
            <w:tcBorders>
              <w:left w:val="single" w:sz="8" w:color="auto"/>
            </w:tcBorders>
          </w:tcPr>
          <w:p>
            <w:pPr>
              <w:spacing w:after="0"/>
              <w:rPr>
                <w:sz w:val="12"/>
                <w:szCs w:val="12"/>
                <w:color w:val="auto"/>
              </w:rPr>
            </w:pPr>
          </w:p>
        </w:tc>
        <w:tc>
          <w:tcPr>
            <w:tcW w:w="6820" w:type="dxa"/>
            <w:vAlign w:val="bottom"/>
            <w:tcBorders>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no shares to the Cornerstone Investors. The underwriters will receive the same underwriting</w:t>
            </w:r>
          </w:p>
        </w:tc>
      </w:tr>
      <w:tr>
        <w:trPr>
          <w:trHeight w:val="137"/>
        </w:trPr>
        <w:tc>
          <w:tcPr>
            <w:tcW w:w="4460" w:type="dxa"/>
            <w:vAlign w:val="bottom"/>
            <w:tcBorders>
              <w:left w:val="single" w:sz="8" w:color="auto"/>
            </w:tcBorders>
          </w:tcPr>
          <w:p>
            <w:pPr>
              <w:spacing w:after="0"/>
              <w:rPr>
                <w:sz w:val="11"/>
                <w:szCs w:val="11"/>
                <w:color w:val="auto"/>
              </w:rPr>
            </w:pPr>
          </w:p>
        </w:tc>
        <w:tc>
          <w:tcPr>
            <w:tcW w:w="68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4"/>
                <w:szCs w:val="14"/>
                <w:color w:val="auto"/>
              </w:rPr>
              <w:t>discount on any shares purchased by the Cornerstone Investors as they will from the other shares</w:t>
            </w:r>
          </w:p>
        </w:tc>
      </w:tr>
      <w:tr>
        <w:trPr>
          <w:trHeight w:val="185"/>
        </w:trPr>
        <w:tc>
          <w:tcPr>
            <w:tcW w:w="4460" w:type="dxa"/>
            <w:vAlign w:val="bottom"/>
            <w:tcBorders>
              <w:left w:val="single" w:sz="8" w:color="auto"/>
            </w:tcBorders>
          </w:tcPr>
          <w:p>
            <w:pPr>
              <w:spacing w:after="0"/>
              <w:rPr>
                <w:sz w:val="16"/>
                <w:szCs w:val="16"/>
                <w:color w:val="auto"/>
              </w:rPr>
            </w:pP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sold to the public in this offering.</w:t>
            </w:r>
          </w:p>
        </w:tc>
      </w:tr>
      <w:tr>
        <w:trPr>
          <w:trHeight w:val="483"/>
        </w:trPr>
        <w:tc>
          <w:tcPr>
            <w:tcW w:w="4460" w:type="dxa"/>
            <w:vAlign w:val="bottom"/>
            <w:tcBorders>
              <w:left w:val="single" w:sz="8" w:color="auto"/>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20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32905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329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0"/>
        <w:spacing w:after="0"/>
        <w:tabs>
          <w:tab w:leader="none" w:pos="4520" w:val="left"/>
        </w:tabs>
        <w:rPr>
          <w:sz w:val="20"/>
          <w:szCs w:val="20"/>
          <w:color w:val="auto"/>
        </w:rPr>
      </w:pPr>
      <w:r>
        <w:rPr>
          <w:rFonts w:ascii="Arial" w:cs="Arial" w:eastAsia="Arial" w:hAnsi="Arial"/>
          <w:sz w:val="14"/>
          <w:szCs w:val="14"/>
          <w:color w:val="auto"/>
        </w:rPr>
        <w:t>Use of proceeds</w:t>
      </w:r>
      <w:r>
        <w:rPr>
          <w:sz w:val="20"/>
          <w:szCs w:val="20"/>
          <w:color w:val="auto"/>
        </w:rPr>
        <w:tab/>
      </w:r>
      <w:r>
        <w:rPr>
          <w:rFonts w:ascii="Arial" w:cs="Arial" w:eastAsia="Arial" w:hAnsi="Arial"/>
          <w:sz w:val="14"/>
          <w:szCs w:val="14"/>
          <w:color w:val="auto"/>
        </w:rPr>
        <w:t>We estimate that the net proceeds from the sale of shares of our common stock in this offering will</w:t>
      </w:r>
    </w:p>
    <w:p>
      <w:pPr>
        <w:jc w:val="both"/>
        <w:ind w:left="4540"/>
        <w:spacing w:after="0" w:line="208" w:lineRule="auto"/>
        <w:rPr>
          <w:sz w:val="20"/>
          <w:szCs w:val="20"/>
          <w:color w:val="auto"/>
        </w:rPr>
      </w:pPr>
      <w:r>
        <w:rPr>
          <w:rFonts w:ascii="Arial" w:cs="Arial" w:eastAsia="Arial" w:hAnsi="Arial"/>
          <w:sz w:val="14"/>
          <w:szCs w:val="14"/>
          <w:color w:val="auto"/>
        </w:rPr>
        <w:t>be approximately $ 255.2 million, (or approximately $318.6 million if the underwriters’ option to purchase additional shares of common stock is exercised in full), based upon the assumed initial public offering price of $13.00 per share, which is the midpoint of the offering price range set forth</w:t>
      </w:r>
    </w:p>
    <w:p>
      <w:pPr>
        <w:spacing w:after="0" w:line="2" w:lineRule="exact"/>
        <w:rPr>
          <w:sz w:val="20"/>
          <w:szCs w:val="20"/>
          <w:color w:val="auto"/>
        </w:rPr>
      </w:pPr>
    </w:p>
    <w:p>
      <w:pPr>
        <w:jc w:val="both"/>
        <w:ind w:left="4540"/>
        <w:spacing w:after="0" w:line="229" w:lineRule="auto"/>
        <w:rPr>
          <w:sz w:val="20"/>
          <w:szCs w:val="20"/>
          <w:color w:val="auto"/>
        </w:rPr>
      </w:pPr>
      <w:r>
        <w:rPr>
          <w:rFonts w:ascii="Arial" w:cs="Arial" w:eastAsia="Arial" w:hAnsi="Arial"/>
          <w:sz w:val="14"/>
          <w:szCs w:val="14"/>
          <w:color w:val="auto"/>
        </w:rPr>
        <w:t>on the cover page of this prospectus, and after deducting estimated underwriting discounts and commissions and estimated offering expenses payable by us.</w:t>
      </w:r>
    </w:p>
    <w:p>
      <w:pPr>
        <w:spacing w:after="0" w:line="7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The principal purposes of this offering are to create a public market for our common stock, increase</w:t>
      </w:r>
    </w:p>
    <w:p>
      <w:pPr>
        <w:jc w:val="both"/>
        <w:ind w:left="4540"/>
        <w:spacing w:after="0" w:line="225" w:lineRule="auto"/>
        <w:rPr>
          <w:sz w:val="20"/>
          <w:szCs w:val="20"/>
          <w:color w:val="auto"/>
        </w:rPr>
      </w:pPr>
      <w:r>
        <w:rPr>
          <w:rFonts w:ascii="Arial" w:cs="Arial" w:eastAsia="Arial" w:hAnsi="Arial"/>
          <w:sz w:val="13"/>
          <w:szCs w:val="13"/>
          <w:color w:val="auto"/>
        </w:rPr>
        <w:t>our visibility in the marketplace, obtain additional capital, increase our capitalization and financial flexibility, and facilitate an orderly distribution of shares for the selling stockholders. We intend to use the net proceeds from this offering for working capital and other general corporate purposes, which</w:t>
      </w:r>
    </w:p>
    <w:p>
      <w:pPr>
        <w:jc w:val="both"/>
        <w:ind w:left="4540"/>
        <w:spacing w:after="0" w:line="208" w:lineRule="auto"/>
        <w:rPr>
          <w:sz w:val="20"/>
          <w:szCs w:val="20"/>
          <w:color w:val="auto"/>
        </w:rPr>
      </w:pPr>
      <w:r>
        <w:rPr>
          <w:rFonts w:ascii="Arial" w:cs="Arial" w:eastAsia="Arial" w:hAnsi="Arial"/>
          <w:sz w:val="14"/>
          <w:szCs w:val="14"/>
          <w:color w:val="auto"/>
        </w:rPr>
        <w:t>may include product development, general and administrative matters, capital expenditures, and satisfying our general capital needs (including capital requirements imposed by regulators and SROs (as defined in the section titled “Risk Factors”)). We intend to use the net proceeds from this</w:t>
      </w:r>
    </w:p>
    <w:p>
      <w:pPr>
        <w:spacing w:after="0" w:line="2" w:lineRule="exact"/>
        <w:rPr>
          <w:sz w:val="20"/>
          <w:szCs w:val="20"/>
          <w:color w:val="auto"/>
        </w:rPr>
      </w:pPr>
    </w:p>
    <w:p>
      <w:pPr>
        <w:jc w:val="both"/>
        <w:ind w:left="4540"/>
        <w:spacing w:after="0" w:line="225" w:lineRule="auto"/>
        <w:rPr>
          <w:sz w:val="20"/>
          <w:szCs w:val="20"/>
          <w:color w:val="auto"/>
        </w:rPr>
      </w:pPr>
      <w:r>
        <w:rPr>
          <w:rFonts w:ascii="Arial" w:cs="Arial" w:eastAsia="Arial" w:hAnsi="Arial"/>
          <w:sz w:val="13"/>
          <w:szCs w:val="13"/>
          <w:color w:val="auto"/>
        </w:rPr>
        <w:t>offering to repay $200.0 million of indebtedness under the Revolving Credit Facility (as defined below), which we intend to borrow in order to pay our anticipated tax withholding and remittance obligations related to the RSU Net Settlement (as defined below). Prior to the closing of this offering,</w:t>
      </w:r>
    </w:p>
    <w:p>
      <w:pPr>
        <w:jc w:val="both"/>
        <w:ind w:left="4540"/>
        <w:spacing w:after="0" w:line="229" w:lineRule="auto"/>
        <w:rPr>
          <w:sz w:val="20"/>
          <w:szCs w:val="20"/>
          <w:color w:val="auto"/>
        </w:rPr>
      </w:pPr>
      <w:r>
        <w:rPr>
          <w:rFonts w:ascii="Arial" w:cs="Arial" w:eastAsia="Arial" w:hAnsi="Arial"/>
          <w:sz w:val="14"/>
          <w:szCs w:val="14"/>
          <w:color w:val="auto"/>
        </w:rPr>
        <w:t>we intend to use the proceeds from the Revolving Credit Facility, together with cash on hand, to pay all of our anticipated tax withholding and remittance obligations related to the RSU Net Settlement.</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We may also use a portion of the net proceeds to acquire or invest in businesses, products,</w:t>
      </w:r>
    </w:p>
    <w:p>
      <w:pPr>
        <w:jc w:val="both"/>
        <w:ind w:left="4540"/>
        <w:spacing w:after="0" w:line="208" w:lineRule="auto"/>
        <w:rPr>
          <w:sz w:val="20"/>
          <w:szCs w:val="20"/>
          <w:color w:val="auto"/>
        </w:rPr>
      </w:pPr>
      <w:r>
        <w:rPr>
          <w:rFonts w:ascii="Arial" w:cs="Arial" w:eastAsia="Arial" w:hAnsi="Arial"/>
          <w:sz w:val="14"/>
          <w:szCs w:val="14"/>
          <w:color w:val="auto"/>
        </w:rPr>
        <w:t>services, or technologies that complement our business. However, we do not have agreements or commitments for any material acquisitions or investments at this time. We will have broad discretion in the way that we use the net proceeds of this offering. See the section titled “Use of Proceeds” for</w:t>
      </w:r>
    </w:p>
    <w:p>
      <w:pPr>
        <w:spacing w:after="0" w:line="2"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additional information.</w:t>
      </w:r>
    </w:p>
    <w:p>
      <w:pPr>
        <w:spacing w:after="0" w:line="88" w:lineRule="exact"/>
        <w:rPr>
          <w:sz w:val="20"/>
          <w:szCs w:val="20"/>
          <w:color w:val="auto"/>
        </w:rPr>
      </w:pPr>
    </w:p>
    <w:p>
      <w:pPr>
        <w:jc w:val="both"/>
        <w:ind w:left="4540"/>
        <w:spacing w:after="0" w:line="239" w:lineRule="auto"/>
        <w:rPr>
          <w:sz w:val="20"/>
          <w:szCs w:val="20"/>
          <w:color w:val="auto"/>
        </w:rPr>
      </w:pPr>
      <w:r>
        <w:rPr>
          <w:rFonts w:ascii="Arial" w:cs="Arial" w:eastAsia="Arial" w:hAnsi="Arial"/>
          <w:sz w:val="14"/>
          <w:szCs w:val="14"/>
          <w:color w:val="auto"/>
        </w:rPr>
        <w:t>We will not receive any proceeds from the sale of our common stock in this offering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740"/>
          </w:cols>
          <w:pgMar w:left="300" w:top="209" w:right="85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331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040" w:type="dxa"/>
            <w:vAlign w:val="bottom"/>
          </w:tcPr>
          <w:p>
            <w:pPr>
              <w:spacing w:after="0"/>
              <w:rPr>
                <w:sz w:val="20"/>
                <w:szCs w:val="20"/>
                <w:color w:val="auto"/>
              </w:rPr>
            </w:pPr>
            <w:r>
              <w:rPr>
                <w:rFonts w:ascii="Arial" w:cs="Arial" w:eastAsia="Arial" w:hAnsi="Arial"/>
                <w:sz w:val="14"/>
                <w:szCs w:val="14"/>
                <w:color w:val="auto"/>
              </w:rPr>
              <w:t>Conflicts of interest</w:t>
            </w:r>
          </w:p>
        </w:tc>
        <w:tc>
          <w:tcPr>
            <w:tcW w:w="7160" w:type="dxa"/>
            <w:vAlign w:val="bottom"/>
            <w:gridSpan w:val="3"/>
          </w:tcPr>
          <w:p>
            <w:pPr>
              <w:ind w:left="960"/>
              <w:spacing w:after="0"/>
              <w:rPr>
                <w:sz w:val="20"/>
                <w:szCs w:val="20"/>
                <w:color w:val="auto"/>
              </w:rPr>
            </w:pPr>
            <w:r>
              <w:rPr>
                <w:rFonts w:ascii="Arial" w:cs="Arial" w:eastAsia="Arial" w:hAnsi="Arial"/>
                <w:sz w:val="14"/>
                <w:szCs w:val="14"/>
                <w:color w:val="auto"/>
              </w:rPr>
              <w:t>Because affiliates of Goldman Sachs &amp; Co. LLC, J.P. Morgan Securities LLC, Citigroup Global</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rPr>
              <w:t>Markets Inc., Wells Fargo Securities, LLC, RBC Capital Markets, LLC, and KeyBanc Capital</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7160" w:type="dxa"/>
            <w:vAlign w:val="bottom"/>
            <w:gridSpan w:val="3"/>
          </w:tcPr>
          <w:p>
            <w:pPr>
              <w:ind w:left="960"/>
              <w:spacing w:after="0" w:line="137" w:lineRule="exact"/>
              <w:rPr>
                <w:sz w:val="20"/>
                <w:szCs w:val="20"/>
                <w:color w:val="auto"/>
              </w:rPr>
            </w:pPr>
            <w:r>
              <w:rPr>
                <w:rFonts w:ascii="Arial" w:cs="Arial" w:eastAsia="Arial" w:hAnsi="Arial"/>
                <w:sz w:val="14"/>
                <w:szCs w:val="14"/>
                <w:color w:val="auto"/>
              </w:rPr>
              <w:t>Markets Inc. are lenders under the Revolving Credit Facility and each will receive 5% or more of the</w:t>
            </w: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7160" w:type="dxa"/>
            <w:vAlign w:val="bottom"/>
            <w:gridSpan w:val="3"/>
          </w:tcPr>
          <w:p>
            <w:pPr>
              <w:ind w:left="960"/>
              <w:spacing w:after="0" w:line="143" w:lineRule="exact"/>
              <w:rPr>
                <w:sz w:val="20"/>
                <w:szCs w:val="20"/>
                <w:color w:val="auto"/>
              </w:rPr>
            </w:pPr>
            <w:r>
              <w:rPr>
                <w:rFonts w:ascii="Arial" w:cs="Arial" w:eastAsia="Arial" w:hAnsi="Arial"/>
                <w:sz w:val="14"/>
                <w:szCs w:val="14"/>
                <w:color w:val="auto"/>
              </w:rPr>
              <w:t>net proceeds of this offering due to the repayment of the Revolving Credit Facility from the net</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rPr>
              <w:t>proceeds, each of Goldman Sachs &amp; Co. LLC, J.P. Morgan Securities LLC, Citigroup Global</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7160" w:type="dxa"/>
            <w:vAlign w:val="bottom"/>
            <w:gridSpan w:val="3"/>
          </w:tcPr>
          <w:p>
            <w:pPr>
              <w:ind w:left="960"/>
              <w:spacing w:after="0" w:line="137" w:lineRule="exact"/>
              <w:rPr>
                <w:sz w:val="20"/>
                <w:szCs w:val="20"/>
                <w:color w:val="auto"/>
              </w:rPr>
            </w:pPr>
            <w:r>
              <w:rPr>
                <w:rFonts w:ascii="Arial" w:cs="Arial" w:eastAsia="Arial" w:hAnsi="Arial"/>
                <w:sz w:val="14"/>
                <w:szCs w:val="14"/>
                <w:color w:val="auto"/>
              </w:rPr>
              <w:t>Markets Inc., Wells Fargo Securities, LLC, RBC Capital Markets, LLC, and KeyBanc Capital</w:t>
            </w: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7160" w:type="dxa"/>
            <w:vAlign w:val="bottom"/>
            <w:gridSpan w:val="3"/>
          </w:tcPr>
          <w:p>
            <w:pPr>
              <w:ind w:left="960"/>
              <w:spacing w:after="0" w:line="143" w:lineRule="exact"/>
              <w:rPr>
                <w:sz w:val="20"/>
                <w:szCs w:val="20"/>
                <w:color w:val="auto"/>
              </w:rPr>
            </w:pPr>
            <w:r>
              <w:rPr>
                <w:rFonts w:ascii="Arial" w:cs="Arial" w:eastAsia="Arial" w:hAnsi="Arial"/>
                <w:sz w:val="14"/>
                <w:szCs w:val="14"/>
                <w:color w:val="auto"/>
              </w:rPr>
              <w:t>Markets Inc. are deemed to have conflicts of interest within the meaning of Rule 5121 of the</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w w:val="99"/>
              </w:rPr>
              <w:t>Financial Industry Regulatory Authority, Inc. (“FINRA”). Accordingly, this offering will be conducted in</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7160" w:type="dxa"/>
            <w:vAlign w:val="bottom"/>
            <w:gridSpan w:val="3"/>
          </w:tcPr>
          <w:p>
            <w:pPr>
              <w:ind w:left="960"/>
              <w:spacing w:after="0" w:line="137" w:lineRule="exact"/>
              <w:rPr>
                <w:sz w:val="20"/>
                <w:szCs w:val="20"/>
                <w:color w:val="auto"/>
              </w:rPr>
            </w:pPr>
            <w:r>
              <w:rPr>
                <w:rFonts w:ascii="Arial" w:cs="Arial" w:eastAsia="Arial" w:hAnsi="Arial"/>
                <w:sz w:val="14"/>
                <w:szCs w:val="14"/>
                <w:color w:val="auto"/>
              </w:rPr>
              <w:t>accordance with Rule 5121, which requires, among other things, that a “qualified independent</w:t>
            </w: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7160" w:type="dxa"/>
            <w:vAlign w:val="bottom"/>
            <w:gridSpan w:val="3"/>
          </w:tcPr>
          <w:p>
            <w:pPr>
              <w:ind w:left="960"/>
              <w:spacing w:after="0" w:line="143" w:lineRule="exact"/>
              <w:rPr>
                <w:sz w:val="20"/>
                <w:szCs w:val="20"/>
                <w:color w:val="auto"/>
              </w:rPr>
            </w:pPr>
            <w:r>
              <w:rPr>
                <w:rFonts w:ascii="Arial" w:cs="Arial" w:eastAsia="Arial" w:hAnsi="Arial"/>
                <w:sz w:val="14"/>
                <w:szCs w:val="14"/>
                <w:color w:val="auto"/>
              </w:rPr>
              <w:t>underwriter” participate in the preparation of, and exercise the usual standards of “due diligence”</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rPr>
              <w:t>with respect to, the registration statement and this prospectus. Citizens JMP Securities, LLC has</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7160" w:type="dxa"/>
            <w:vAlign w:val="bottom"/>
            <w:gridSpan w:val="3"/>
          </w:tcPr>
          <w:p>
            <w:pPr>
              <w:ind w:left="960"/>
              <w:spacing w:after="0" w:line="137" w:lineRule="exact"/>
              <w:rPr>
                <w:sz w:val="20"/>
                <w:szCs w:val="20"/>
                <w:color w:val="auto"/>
              </w:rPr>
            </w:pPr>
            <w:r>
              <w:rPr>
                <w:rFonts w:ascii="Arial" w:cs="Arial" w:eastAsia="Arial" w:hAnsi="Arial"/>
                <w:sz w:val="14"/>
                <w:szCs w:val="14"/>
                <w:color w:val="auto"/>
              </w:rPr>
              <w:t>agreed to act as a qualified independent underwriter for this offering and to undertake the legal</w:t>
            </w: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7160" w:type="dxa"/>
            <w:vAlign w:val="bottom"/>
            <w:gridSpan w:val="3"/>
          </w:tcPr>
          <w:p>
            <w:pPr>
              <w:ind w:left="960"/>
              <w:spacing w:after="0" w:line="143" w:lineRule="exact"/>
              <w:rPr>
                <w:sz w:val="20"/>
                <w:szCs w:val="20"/>
                <w:color w:val="auto"/>
              </w:rPr>
            </w:pPr>
            <w:r>
              <w:rPr>
                <w:rFonts w:ascii="Arial" w:cs="Arial" w:eastAsia="Arial" w:hAnsi="Arial"/>
                <w:sz w:val="14"/>
                <w:szCs w:val="14"/>
                <w:color w:val="auto"/>
              </w:rPr>
              <w:t>responsibilities and liabilities of an underwriter under the Securities Act, specifically including those</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rPr>
              <w:t>inherent in Section 11 thereof. Citizens JMP Securities, LLC will not receive any additional fees for</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7160" w:type="dxa"/>
            <w:vAlign w:val="bottom"/>
            <w:gridSpan w:val="3"/>
          </w:tcPr>
          <w:p>
            <w:pPr>
              <w:ind w:left="960"/>
              <w:spacing w:after="0" w:line="137" w:lineRule="exact"/>
              <w:rPr>
                <w:sz w:val="20"/>
                <w:szCs w:val="20"/>
                <w:color w:val="auto"/>
              </w:rPr>
            </w:pPr>
            <w:r>
              <w:rPr>
                <w:rFonts w:ascii="Arial" w:cs="Arial" w:eastAsia="Arial" w:hAnsi="Arial"/>
                <w:sz w:val="14"/>
                <w:szCs w:val="14"/>
                <w:color w:val="auto"/>
              </w:rPr>
              <w:t>serving as a qualified independent underwriter in connection with this offering. We have agreed to</w:t>
            </w: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7160" w:type="dxa"/>
            <w:vAlign w:val="bottom"/>
            <w:gridSpan w:val="3"/>
          </w:tcPr>
          <w:p>
            <w:pPr>
              <w:ind w:left="960"/>
              <w:spacing w:after="0" w:line="143" w:lineRule="exact"/>
              <w:rPr>
                <w:sz w:val="20"/>
                <w:szCs w:val="20"/>
                <w:color w:val="auto"/>
              </w:rPr>
            </w:pPr>
            <w:r>
              <w:rPr>
                <w:rFonts w:ascii="Arial" w:cs="Arial" w:eastAsia="Arial" w:hAnsi="Arial"/>
                <w:sz w:val="14"/>
                <w:szCs w:val="14"/>
                <w:color w:val="auto"/>
              </w:rPr>
              <w:t>indemnify Citizens JMP Securities, LLC against liabilities incurred in connection with acting as a</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rPr>
              <w:t>qualified independent underwriter, including liabilities under the Securities Act. See the section titled</w:t>
            </w:r>
          </w:p>
        </w:tc>
        <w:tc>
          <w:tcPr>
            <w:tcW w:w="0" w:type="dxa"/>
            <w:vAlign w:val="bottom"/>
          </w:tcPr>
          <w:p>
            <w:pPr>
              <w:spacing w:after="0"/>
              <w:rPr>
                <w:sz w:val="1"/>
                <w:szCs w:val="1"/>
                <w:color w:val="auto"/>
              </w:rPr>
            </w:pPr>
          </w:p>
        </w:tc>
      </w:tr>
      <w:tr>
        <w:trPr>
          <w:trHeight w:val="185"/>
        </w:trPr>
        <w:tc>
          <w:tcPr>
            <w:tcW w:w="3040" w:type="dxa"/>
            <w:vAlign w:val="bottom"/>
          </w:tcPr>
          <w:p>
            <w:pPr>
              <w:spacing w:after="0"/>
              <w:rPr>
                <w:sz w:val="16"/>
                <w:szCs w:val="16"/>
                <w:color w:val="auto"/>
              </w:rPr>
            </w:pPr>
          </w:p>
        </w:tc>
        <w:tc>
          <w:tcPr>
            <w:tcW w:w="7160" w:type="dxa"/>
            <w:vAlign w:val="bottom"/>
            <w:gridSpan w:val="3"/>
          </w:tcPr>
          <w:p>
            <w:pPr>
              <w:ind w:left="960"/>
              <w:spacing w:after="0"/>
              <w:rPr>
                <w:sz w:val="20"/>
                <w:szCs w:val="20"/>
                <w:color w:val="auto"/>
              </w:rPr>
            </w:pPr>
            <w:r>
              <w:rPr>
                <w:rFonts w:ascii="Arial" w:cs="Arial" w:eastAsia="Arial" w:hAnsi="Arial"/>
                <w:sz w:val="14"/>
                <w:szCs w:val="14"/>
                <w:color w:val="auto"/>
              </w:rPr>
              <w:t>“Underwriting (Conflicts of Interest)—Conflicts of Interest” for additional information.</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20"/>
                <w:szCs w:val="20"/>
                <w:color w:val="auto"/>
              </w:rPr>
            </w:pPr>
            <w:r>
              <w:rPr>
                <w:rFonts w:ascii="Arial" w:cs="Arial" w:eastAsia="Arial" w:hAnsi="Arial"/>
                <w:sz w:val="14"/>
                <w:szCs w:val="14"/>
                <w:color w:val="auto"/>
              </w:rPr>
              <w:t>Risk factors</w:t>
            </w:r>
          </w:p>
        </w:tc>
        <w:tc>
          <w:tcPr>
            <w:tcW w:w="7160" w:type="dxa"/>
            <w:vAlign w:val="bottom"/>
            <w:gridSpan w:val="3"/>
          </w:tcPr>
          <w:p>
            <w:pPr>
              <w:ind w:left="960"/>
              <w:spacing w:after="0"/>
              <w:rPr>
                <w:sz w:val="20"/>
                <w:szCs w:val="20"/>
                <w:color w:val="auto"/>
              </w:rPr>
            </w:pPr>
            <w:r>
              <w:rPr>
                <w:rFonts w:ascii="Arial" w:cs="Arial" w:eastAsia="Arial" w:hAnsi="Arial"/>
                <w:sz w:val="14"/>
                <w:szCs w:val="14"/>
                <w:color w:val="auto"/>
              </w:rPr>
              <w:t>See the section titled “</w:t>
            </w:r>
            <w:r>
              <w:rPr>
                <w:rFonts w:ascii="Arial" w:cs="Arial" w:eastAsia="Arial" w:hAnsi="Arial"/>
                <w:sz w:val="14"/>
                <w:szCs w:val="14"/>
                <w:color w:val="0000FF"/>
              </w:rPr>
              <w:t>Risk Factors</w:t>
            </w:r>
            <w:r>
              <w:rPr>
                <w:rFonts w:ascii="Arial" w:cs="Arial" w:eastAsia="Arial" w:hAnsi="Arial"/>
                <w:sz w:val="14"/>
                <w:szCs w:val="14"/>
                <w:color w:val="auto"/>
              </w:rPr>
              <w:t>” and other information included in this prospectus for a</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340" w:type="dxa"/>
            <w:vAlign w:val="bottom"/>
            <w:vMerge w:val="restart"/>
          </w:tcPr>
          <w:p>
            <w:pPr>
              <w:ind w:left="960"/>
              <w:spacing w:after="0" w:line="137" w:lineRule="exact"/>
              <w:rPr>
                <w:sz w:val="20"/>
                <w:szCs w:val="20"/>
                <w:color w:val="auto"/>
              </w:rPr>
            </w:pPr>
            <w:r>
              <w:rPr>
                <w:rFonts w:ascii="Arial" w:cs="Arial" w:eastAsia="Arial" w:hAnsi="Arial"/>
                <w:sz w:val="14"/>
                <w:szCs w:val="14"/>
                <w:color w:val="auto"/>
              </w:rPr>
              <w:t>discussion of some of</w:t>
            </w:r>
          </w:p>
        </w:tc>
        <w:tc>
          <w:tcPr>
            <w:tcW w:w="78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04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4820" w:type="dxa"/>
            <w:vAlign w:val="bottom"/>
            <w:gridSpan w:val="2"/>
          </w:tcPr>
          <w:p>
            <w:pPr>
              <w:spacing w:after="0" w:line="117" w:lineRule="exact"/>
              <w:rPr>
                <w:sz w:val="20"/>
                <w:szCs w:val="20"/>
                <w:color w:val="auto"/>
              </w:rPr>
            </w:pPr>
            <w:r>
              <w:rPr>
                <w:rFonts w:ascii="Arial" w:cs="Arial" w:eastAsia="Arial" w:hAnsi="Arial"/>
                <w:sz w:val="13"/>
                <w:szCs w:val="13"/>
                <w:color w:val="auto"/>
              </w:rPr>
              <w:t>the factors you should consider before deciding to purchase shares of our</w:t>
            </w:r>
          </w:p>
        </w:tc>
        <w:tc>
          <w:tcPr>
            <w:tcW w:w="0" w:type="dxa"/>
            <w:vAlign w:val="bottom"/>
          </w:tcPr>
          <w:p>
            <w:pPr>
              <w:spacing w:after="0"/>
              <w:rPr>
                <w:sz w:val="1"/>
                <w:szCs w:val="1"/>
                <w:color w:val="auto"/>
              </w:rPr>
            </w:pPr>
          </w:p>
        </w:tc>
      </w:tr>
      <w:tr>
        <w:trPr>
          <w:trHeight w:val="185"/>
        </w:trPr>
        <w:tc>
          <w:tcPr>
            <w:tcW w:w="3040" w:type="dxa"/>
            <w:vAlign w:val="bottom"/>
          </w:tcPr>
          <w:p>
            <w:pPr>
              <w:spacing w:after="0"/>
              <w:rPr>
                <w:sz w:val="16"/>
                <w:szCs w:val="16"/>
                <w:color w:val="auto"/>
              </w:rPr>
            </w:pPr>
          </w:p>
        </w:tc>
        <w:tc>
          <w:tcPr>
            <w:tcW w:w="7160" w:type="dxa"/>
            <w:vAlign w:val="bottom"/>
            <w:gridSpan w:val="3"/>
          </w:tcPr>
          <w:p>
            <w:pPr>
              <w:ind w:left="960"/>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20"/>
                <w:szCs w:val="20"/>
                <w:color w:val="auto"/>
              </w:rPr>
            </w:pPr>
            <w:r>
              <w:rPr>
                <w:rFonts w:ascii="Arial" w:cs="Arial" w:eastAsia="Arial" w:hAnsi="Arial"/>
                <w:sz w:val="14"/>
                <w:szCs w:val="14"/>
                <w:color w:val="auto"/>
              </w:rPr>
              <w:t>Proposed Nasdaq trading symbol</w:t>
            </w:r>
          </w:p>
        </w:tc>
        <w:tc>
          <w:tcPr>
            <w:tcW w:w="7160" w:type="dxa"/>
            <w:vAlign w:val="bottom"/>
            <w:gridSpan w:val="3"/>
          </w:tcPr>
          <w:p>
            <w:pPr>
              <w:ind w:left="960"/>
              <w:spacing w:after="0"/>
              <w:rPr>
                <w:sz w:val="20"/>
                <w:szCs w:val="20"/>
                <w:color w:val="auto"/>
              </w:rPr>
            </w:pPr>
            <w:r>
              <w:rPr>
                <w:rFonts w:ascii="Arial" w:cs="Arial" w:eastAsia="Arial" w:hAnsi="Arial"/>
                <w:sz w:val="14"/>
                <w:szCs w:val="14"/>
                <w:color w:val="auto"/>
              </w:rPr>
              <w:t>“WLTH”</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20"/>
                <w:szCs w:val="20"/>
                <w:color w:val="auto"/>
              </w:rPr>
            </w:pPr>
            <w:r>
              <w:rPr>
                <w:rFonts w:ascii="Arial" w:cs="Arial" w:eastAsia="Arial" w:hAnsi="Arial"/>
                <w:sz w:val="14"/>
                <w:szCs w:val="14"/>
                <w:color w:val="auto"/>
              </w:rPr>
              <w:t>Dividend policy</w:t>
            </w:r>
          </w:p>
        </w:tc>
        <w:tc>
          <w:tcPr>
            <w:tcW w:w="7160" w:type="dxa"/>
            <w:vAlign w:val="bottom"/>
            <w:gridSpan w:val="3"/>
          </w:tcPr>
          <w:p>
            <w:pPr>
              <w:ind w:left="960"/>
              <w:spacing w:after="0"/>
              <w:rPr>
                <w:sz w:val="20"/>
                <w:szCs w:val="20"/>
                <w:color w:val="auto"/>
              </w:rPr>
            </w:pPr>
            <w:r>
              <w:rPr>
                <w:rFonts w:ascii="Arial" w:cs="Arial" w:eastAsia="Arial" w:hAnsi="Arial"/>
                <w:sz w:val="14"/>
                <w:szCs w:val="14"/>
                <w:color w:val="auto"/>
              </w:rPr>
              <w:t>We have never declared or paid any cash dividends on our capital stock. We currently intend to</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rPr>
              <w:t>retain all available funds and any future earnings for use in the operation of our business and do not</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7160" w:type="dxa"/>
            <w:vAlign w:val="bottom"/>
            <w:gridSpan w:val="3"/>
          </w:tcPr>
          <w:p>
            <w:pPr>
              <w:ind w:left="960"/>
              <w:spacing w:after="0" w:line="137" w:lineRule="exact"/>
              <w:rPr>
                <w:sz w:val="20"/>
                <w:szCs w:val="20"/>
                <w:color w:val="auto"/>
              </w:rPr>
            </w:pPr>
            <w:r>
              <w:rPr>
                <w:rFonts w:ascii="Arial" w:cs="Arial" w:eastAsia="Arial" w:hAnsi="Arial"/>
                <w:sz w:val="14"/>
                <w:szCs w:val="14"/>
                <w:color w:val="auto"/>
                <w:w w:val="99"/>
              </w:rPr>
              <w:t>anticipate paying any dividends on our capital stock in the foreseeable future. Additionally, our ability</w:t>
            </w: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7160" w:type="dxa"/>
            <w:vAlign w:val="bottom"/>
            <w:gridSpan w:val="3"/>
          </w:tcPr>
          <w:p>
            <w:pPr>
              <w:ind w:left="960"/>
              <w:spacing w:after="0" w:line="143" w:lineRule="exact"/>
              <w:rPr>
                <w:sz w:val="20"/>
                <w:szCs w:val="20"/>
                <w:color w:val="auto"/>
              </w:rPr>
            </w:pPr>
            <w:r>
              <w:rPr>
                <w:rFonts w:ascii="Arial" w:cs="Arial" w:eastAsia="Arial" w:hAnsi="Arial"/>
                <w:sz w:val="14"/>
                <w:szCs w:val="14"/>
                <w:color w:val="auto"/>
              </w:rPr>
              <w:t>to pay dividends or make distributions is currently limited by the terms of our Revolver (as defined in</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rPr>
              <w:t>the section titled “Management’s Discussion and Analysis of Financial Condition and Results of</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7160" w:type="dxa"/>
            <w:vAlign w:val="bottom"/>
            <w:gridSpan w:val="3"/>
          </w:tcPr>
          <w:p>
            <w:pPr>
              <w:ind w:left="960"/>
              <w:spacing w:after="0" w:line="137" w:lineRule="exact"/>
              <w:rPr>
                <w:sz w:val="20"/>
                <w:szCs w:val="20"/>
                <w:color w:val="auto"/>
              </w:rPr>
            </w:pPr>
            <w:r>
              <w:rPr>
                <w:rFonts w:ascii="Arial" w:cs="Arial" w:eastAsia="Arial" w:hAnsi="Arial"/>
                <w:sz w:val="14"/>
                <w:szCs w:val="14"/>
                <w:color w:val="auto"/>
              </w:rPr>
              <w:t>Operations”). Any future determination to declare dividends will be made at the discretion of our</w:t>
            </w: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7160" w:type="dxa"/>
            <w:vAlign w:val="bottom"/>
            <w:gridSpan w:val="3"/>
          </w:tcPr>
          <w:p>
            <w:pPr>
              <w:ind w:left="960"/>
              <w:spacing w:after="0" w:line="143" w:lineRule="exact"/>
              <w:rPr>
                <w:sz w:val="20"/>
                <w:szCs w:val="20"/>
                <w:color w:val="auto"/>
              </w:rPr>
            </w:pPr>
            <w:r>
              <w:rPr>
                <w:rFonts w:ascii="Arial" w:cs="Arial" w:eastAsia="Arial" w:hAnsi="Arial"/>
                <w:sz w:val="14"/>
                <w:szCs w:val="14"/>
                <w:color w:val="auto"/>
              </w:rPr>
              <w:t>board of directors and will depend on our operating results, financial condition, capital requirements,</w:t>
            </w: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7160" w:type="dxa"/>
            <w:vAlign w:val="bottom"/>
            <w:gridSpan w:val="3"/>
          </w:tcPr>
          <w:p>
            <w:pPr>
              <w:ind w:left="960"/>
              <w:spacing w:after="0" w:line="141" w:lineRule="exact"/>
              <w:rPr>
                <w:sz w:val="20"/>
                <w:szCs w:val="20"/>
                <w:color w:val="auto"/>
              </w:rPr>
            </w:pPr>
            <w:r>
              <w:rPr>
                <w:rFonts w:ascii="Arial" w:cs="Arial" w:eastAsia="Arial" w:hAnsi="Arial"/>
                <w:sz w:val="14"/>
                <w:szCs w:val="14"/>
                <w:color w:val="auto"/>
              </w:rPr>
              <w:t>general business conditions, and other factors that our board of directors may deem relevant. See</w:t>
            </w:r>
          </w:p>
        </w:tc>
        <w:tc>
          <w:tcPr>
            <w:tcW w:w="0" w:type="dxa"/>
            <w:vAlign w:val="bottom"/>
          </w:tcPr>
          <w:p>
            <w:pPr>
              <w:spacing w:after="0"/>
              <w:rPr>
                <w:sz w:val="1"/>
                <w:szCs w:val="1"/>
                <w:color w:val="auto"/>
              </w:rPr>
            </w:pPr>
          </w:p>
        </w:tc>
      </w:tr>
      <w:tr>
        <w:trPr>
          <w:trHeight w:val="185"/>
        </w:trPr>
        <w:tc>
          <w:tcPr>
            <w:tcW w:w="3040" w:type="dxa"/>
            <w:vAlign w:val="bottom"/>
          </w:tcPr>
          <w:p>
            <w:pPr>
              <w:spacing w:after="0"/>
              <w:rPr>
                <w:sz w:val="16"/>
                <w:szCs w:val="16"/>
                <w:color w:val="auto"/>
              </w:rPr>
            </w:pPr>
          </w:p>
        </w:tc>
        <w:tc>
          <w:tcPr>
            <w:tcW w:w="7160" w:type="dxa"/>
            <w:vAlign w:val="bottom"/>
            <w:gridSpan w:val="3"/>
          </w:tcPr>
          <w:p>
            <w:pPr>
              <w:ind w:left="960"/>
              <w:spacing w:after="0"/>
              <w:rPr>
                <w:sz w:val="20"/>
                <w:szCs w:val="20"/>
                <w:color w:val="auto"/>
              </w:rPr>
            </w:pPr>
            <w:r>
              <w:rPr>
                <w:rFonts w:ascii="Arial" w:cs="Arial" w:eastAsia="Arial" w:hAnsi="Arial"/>
                <w:sz w:val="14"/>
                <w:szCs w:val="14"/>
                <w:color w:val="auto"/>
              </w:rPr>
              <w:t>the section titled “Dividend Policy” for additional information.</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The number of shares of our common stock that will be outstanding after this offering is based on 124,798,460 shares of our common stock outstanding as of July 31, 2025 (after giving effect to the Capital Stock Conversion, the Option Exercise, the RSU Net Settlement, and the SAFE Settlement (each as defined below)), and excludes:</w:t>
      </w:r>
    </w:p>
    <w:p>
      <w:pPr>
        <w:spacing w:after="0" w:line="91" w:lineRule="exact"/>
        <w:rPr>
          <w:sz w:val="20"/>
          <w:szCs w:val="20"/>
          <w:color w:val="auto"/>
        </w:rPr>
      </w:pPr>
    </w:p>
    <w:p>
      <w:pPr>
        <w:ind w:left="1020" w:hanging="245"/>
        <w:spacing w:after="0" w:line="286" w:lineRule="auto"/>
        <w:tabs>
          <w:tab w:leader="none" w:pos="10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6,065,675 shares of our common stock issuable upon the exercise of stock options outstanding as of July 31, 2025 under our 2008 Equity Incentive Plan (the “2008 Plan”), with a weighted-average exercise price of $2.31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760"/>
          </w:cols>
          <w:pgMar w:left="300" w:top="209" w:right="8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645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464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20" w:hanging="245"/>
        <w:spacing w:after="0" w:line="286" w:lineRule="auto"/>
        <w:tabs>
          <w:tab w:leader="none" w:pos="10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22,178,730 shares of our common stock issuable upon the exercise of stock options outstanding as of July 31, 2025 under our 2017 Equity Incentive Plan (as amended, the “2017 Plan”), with a weighted-average exercise price of $1.79 per share;</w:t>
      </w:r>
    </w:p>
    <w:p>
      <w:pPr>
        <w:spacing w:after="0" w:line="78" w:lineRule="exact"/>
        <w:rPr>
          <w:rFonts w:ascii="Arial" w:cs="Arial" w:eastAsia="Arial" w:hAnsi="Arial"/>
          <w:sz w:val="14"/>
          <w:szCs w:val="14"/>
          <w:color w:val="auto"/>
        </w:rPr>
      </w:pPr>
    </w:p>
    <w:p>
      <w:pPr>
        <w:jc w:val="both"/>
        <w:ind w:left="1020" w:hanging="245"/>
        <w:spacing w:after="0" w:line="256" w:lineRule="auto"/>
        <w:tabs>
          <w:tab w:leader="none" w:pos="10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15,499,260 shares of our common stock issuable upon the vesting and settlement of restricted stock units (“RSUs”) outstanding as of July 31, 2025 under our 2017 Plan for which the service-based vesting condition was not satisfied as of July 31, 2025 and for which the liquidity-based vesting condition will be satisfied in connection with this offering (we expect that the satisfaction of the service-based vesting condition of certain of these RSUs through the expected date of this offering as set forth on the cover page of this prospectus will result in the net issuance of 942,869 shares of our common stock in connection with this offering, after withholding an aggregate of 771,439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101" w:lineRule="exact"/>
        <w:rPr>
          <w:rFonts w:ascii="Arial" w:cs="Arial" w:eastAsia="Arial" w:hAnsi="Arial"/>
          <w:sz w:val="14"/>
          <w:szCs w:val="14"/>
          <w:color w:val="auto"/>
        </w:rPr>
      </w:pPr>
    </w:p>
    <w:p>
      <w:pPr>
        <w:jc w:val="both"/>
        <w:ind w:left="1020" w:hanging="245"/>
        <w:spacing w:after="0" w:line="259" w:lineRule="auto"/>
        <w:tabs>
          <w:tab w:leader="none" w:pos="10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3,455 shares of our common stock issuable upon the vesting and settlement of RSUs granted after July 31, 2025 under our 2017 Plan (we expect that the satisfaction of the service-based vesting condition of certain of these RSUs through the expected date of this offering as set forth on the cover page of this prospectus will result in the net issuance of 1,900 shares of our common stock in connection with this offering, after withholding an aggregate of 1,555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56"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475,329 shares of our common stock issuable upon the vesting and settlement of RSUs outstanding as of July 31, 2025 that were not granted under our 2017 Plan (“Non-Plan RSUs”);</w:t>
      </w:r>
    </w:p>
    <w:p>
      <w:pPr>
        <w:spacing w:after="0" w:line="78" w:lineRule="exact"/>
        <w:rPr>
          <w:rFonts w:ascii="Arial" w:cs="Arial" w:eastAsia="Arial" w:hAnsi="Arial"/>
          <w:sz w:val="14"/>
          <w:szCs w:val="14"/>
          <w:color w:val="auto"/>
        </w:rPr>
      </w:pPr>
    </w:p>
    <w:p>
      <w:pPr>
        <w:ind w:left="1020" w:hanging="245"/>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454,334 shares of our common stock issuable upon the vesting and settlement of Non-Plan RSUs granted after July 31, 2025;</w:t>
      </w:r>
    </w:p>
    <w:p>
      <w:pPr>
        <w:spacing w:after="0" w:line="133"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1,953,463 shares of our common stock issuable upon the exercise of warrants outstanding as of July 31, 2025, with a weighted-average exercise price of $2.73 per share; and</w:t>
      </w:r>
    </w:p>
    <w:p>
      <w:pPr>
        <w:spacing w:after="0" w:line="78" w:lineRule="exact"/>
        <w:rPr>
          <w:rFonts w:ascii="Arial" w:cs="Arial" w:eastAsia="Arial" w:hAnsi="Arial"/>
          <w:sz w:val="14"/>
          <w:szCs w:val="14"/>
          <w:color w:val="auto"/>
        </w:rPr>
      </w:pPr>
    </w:p>
    <w:p>
      <w:pPr>
        <w:jc w:val="both"/>
        <w:ind w:left="1020" w:hanging="245"/>
        <w:spacing w:after="0" w:line="259" w:lineRule="auto"/>
        <w:tabs>
          <w:tab w:leader="none" w:pos="10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25,564,272 shares of our common stock reserved for future issuance under our equity compensation plans, consisting of (i) 3,564,272 shares of our common stock reserved for future issuance under our 2017 Plan, as of July 31, 2025 (which number of shares is prior to the RSUs granted after July 31, 2025), (ii) 17,500,000 shares of our common stock reserved for future issuance under our 2025 Equity Incentive Plan (the “2025 Plan”), which will become effective on the date immediately prior to the date of this prospectus, and (iii) 4,500,000 shares of our common stock reserved for issuance under our 2025 Employee Stock Purchase Plan (the “2025 ESPP”), which will become effective on the date of this prospectus.</w:t>
      </w:r>
    </w:p>
    <w:p>
      <w:pPr>
        <w:spacing w:after="0" w:line="98"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On the date of this prospectus, any remaining shares of common stock available for issuance under our 2017 Plan will be added to the shares of our common stock reserved for issuance under our 2025 Plan, and we will cease granting awards under the 2017 Plan. Our 2025 Plan and 2025 ESPP also provide for automatic annual increases in the number of shares reserved thereunder. See the section titled “Executive Compensation—Employee Benefit and Stock Plans” for additional information.</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Unless otherwise noted, the information in this prospectus reflects and assumes the following:</w:t>
      </w:r>
    </w:p>
    <w:p>
      <w:pPr>
        <w:spacing w:after="0" w:line="133" w:lineRule="exact"/>
        <w:rPr>
          <w:sz w:val="20"/>
          <w:szCs w:val="20"/>
          <w:color w:val="auto"/>
        </w:rPr>
      </w:pPr>
    </w:p>
    <w:p>
      <w:pPr>
        <w:ind w:left="1020" w:hanging="245"/>
        <w:spacing w:after="0" w:line="286" w:lineRule="auto"/>
        <w:tabs>
          <w:tab w:leader="none" w:pos="10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automatic conversion of an aggregate of 69,852,421 shares of our redeemable convertible preferred stock into the same number of shares of common stock in connection with the closing of this offering pursuant to the terms of our restated certificate of incorporation (the “Capital Stock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760"/>
          </w:cols>
          <w:pgMar w:left="300" w:top="209" w:right="8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3256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325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020" w:hanging="245"/>
        <w:spacing w:after="0" w:line="268" w:lineRule="auto"/>
        <w:tabs>
          <w:tab w:leader="none" w:pos="10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cash exercise of stock options to purchase 1,855,240 shares of our common stock, with a weighted-average exercise price of $2.06 per share, for total gross proceeds to us of approximately $3.8 million, by certain selling stockholders in connection with the sale of all or a portion of such shares by such selling stockholders in this offering, as described in the section titled “Principal and Selling Stockholders” (the “Option Exercise”);</w:t>
      </w:r>
    </w:p>
    <w:p>
      <w:pPr>
        <w:spacing w:after="0" w:line="91" w:lineRule="exact"/>
        <w:rPr>
          <w:rFonts w:ascii="Arial" w:cs="Arial" w:eastAsia="Arial" w:hAnsi="Arial"/>
          <w:sz w:val="14"/>
          <w:szCs w:val="14"/>
          <w:color w:val="auto"/>
        </w:rPr>
      </w:pPr>
    </w:p>
    <w:p>
      <w:pPr>
        <w:ind w:left="1020" w:hanging="245"/>
        <w:spacing w:after="0"/>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net issuance of 10,308,718 shares of our common stock in connection with the vesting and settlement of RSUs outstanding as of July 31, 2025, for which</w:t>
      </w:r>
    </w:p>
    <w:p>
      <w:pPr>
        <w:spacing w:after="0" w:line="21" w:lineRule="exact"/>
        <w:rPr>
          <w:rFonts w:ascii="Arial" w:cs="Arial" w:eastAsia="Arial" w:hAnsi="Arial"/>
          <w:sz w:val="14"/>
          <w:szCs w:val="14"/>
          <w:color w:val="auto"/>
        </w:rPr>
      </w:pPr>
    </w:p>
    <w:p>
      <w:pPr>
        <w:jc w:val="both"/>
        <w:ind w:left="1020"/>
        <w:spacing w:after="0" w:line="254" w:lineRule="auto"/>
        <w:rPr>
          <w:rFonts w:ascii="Arial" w:cs="Arial" w:eastAsia="Arial" w:hAnsi="Arial"/>
          <w:sz w:val="14"/>
          <w:szCs w:val="14"/>
          <w:color w:val="auto"/>
        </w:rPr>
      </w:pPr>
      <w:r>
        <w:rPr>
          <w:rFonts w:ascii="Arial" w:cs="Arial" w:eastAsia="Arial" w:hAnsi="Arial"/>
          <w:sz w:val="14"/>
          <w:szCs w:val="14"/>
          <w:color w:val="auto"/>
        </w:rPr>
        <w:t>(i) the service-based vesting condition was satisfied as of July 31, 2025 and (ii) the liquidity-based vesting condition will be satisfied upon the effectiveness of the registration statement of which this prospectus forms a part (“IPO Vesting RSUs”), after giving effect to the withholding of 8,434,405 shares of our common stock to satisfy the associated estimated tax withholding and remittance obligations (assuming an initial public offering price of $13.00 per share, which is the midpoint of the offering price range set forth on the cover page of this prospectus, and an assumed 45% tax withholding rate) (the “RSU Net Settlement”);</w:t>
      </w:r>
    </w:p>
    <w:p>
      <w:pPr>
        <w:spacing w:after="0" w:line="101"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issuance of 437,415 shares of common stock immediately prior to consummation of this offering pursuant to the conversion of outstanding Simple Agreements for Future Equity (“SAFEs”) (the “SAFE Settlement”);</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filing and effectiveness of our restated certificate of incorporation and the effectiveness of our restated bylaws, each of which will occur immediately prior to the completion of this offering;</w:t>
      </w:r>
    </w:p>
    <w:p>
      <w:pPr>
        <w:spacing w:after="0" w:line="78" w:lineRule="exact"/>
        <w:rPr>
          <w:rFonts w:ascii="Arial" w:cs="Arial" w:eastAsia="Arial" w:hAnsi="Arial"/>
          <w:sz w:val="14"/>
          <w:szCs w:val="14"/>
          <w:color w:val="auto"/>
        </w:rPr>
      </w:pPr>
    </w:p>
    <w:p>
      <w:pPr>
        <w:ind w:left="1020" w:hanging="245"/>
        <w:spacing w:after="0" w:line="286" w:lineRule="auto"/>
        <w:tabs>
          <w:tab w:leader="none" w:pos="10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 exercise of outstanding stock options or warrants or vesting and settlement of outstanding RSUs (except as described above) subsequent to July 31, 2025; and</w:t>
      </w:r>
    </w:p>
    <w:p>
      <w:pPr>
        <w:spacing w:after="0" w:line="78" w:lineRule="exact"/>
        <w:rPr>
          <w:rFonts w:ascii="Arial" w:cs="Arial" w:eastAsia="Arial" w:hAnsi="Arial"/>
          <w:sz w:val="14"/>
          <w:szCs w:val="14"/>
          <w:color w:val="auto"/>
        </w:rPr>
      </w:pPr>
    </w:p>
    <w:p>
      <w:pPr>
        <w:ind w:left="1020" w:hanging="245"/>
        <w:spacing w:after="0"/>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 exercise by the underwriters of their option to purchase 5,192,308 additional shares of our common stock in this offering.</w:t>
      </w:r>
    </w:p>
    <w:p>
      <w:pPr>
        <w:spacing w:after="0" w:line="133"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The assumed 45% tax withholding rate used in this prospectus is an assumed blended withholding rate for the IPO Vesting RSUs that are subject to withholding in the RSU Net Settlement. The estimates in this prospectus relating to the RSU Net Settlement and related share withholding may differ from actual results due to, among other things, the actual initial public offering price and other terms of this offering determined at pricing, actual forfeitures through the date of this prospectus, and actual tax withholding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760"/>
          </w:cols>
          <w:pgMar w:left="300" w:top="209" w:right="8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2295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229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SUMMARY CONSOLIDATED FINANCIAL AND OTHER DATA</w:t>
      </w:r>
    </w:p>
    <w:p>
      <w:pPr>
        <w:spacing w:after="0" w:line="133" w:lineRule="exact"/>
        <w:rPr>
          <w:sz w:val="20"/>
          <w:szCs w:val="20"/>
          <w:color w:val="auto"/>
        </w:rPr>
      </w:pPr>
    </w:p>
    <w:p>
      <w:pPr>
        <w:jc w:val="both"/>
        <w:ind w:left="520"/>
        <w:spacing w:after="0" w:line="254" w:lineRule="auto"/>
        <w:rPr>
          <w:sz w:val="20"/>
          <w:szCs w:val="20"/>
          <w:color w:val="auto"/>
        </w:rPr>
      </w:pPr>
      <w:r>
        <w:rPr>
          <w:rFonts w:ascii="Arial" w:cs="Arial" w:eastAsia="Arial" w:hAnsi="Arial"/>
          <w:sz w:val="14"/>
          <w:szCs w:val="14"/>
          <w:color w:val="auto"/>
        </w:rPr>
        <w:t>The following tables summarize our consolidated financial data as of the dates and for the periods indicated. We derived our summary consolidated statements of operations data for the fiscal years ended January 31, 2024 and 2025 (except for pro forma basic and diluted earnings per share attributable to common stockholders and weighted-average shares used in computing pro forma basic and diluted earnings per share attributable to common stockholders) from our audited consolidated financial statements included elsewhere in this prospectus. The summary consolidated statements of operations data for the six months ended July 31, 2024 and 2025 (except for pro forma basic and diluted earnings per share attributable to common stockholders and weighted-average shares used in computing pro forma basic and diluted earnings per share attributable to common stockholders) and summary consolidated balance sheet data as of July 31, 2025 have been derived from our unaudited interim condensed consolidated financial statements included elsewhere in this prospectus. The unaudited interim condensed consolidated financial statements have been prepared on the same basis as our audited consolidated financial statements and, in the opinion of management, reflect all adjustments that are necessary for the fair statement of such data. Our historical results are not necessarily indicative of the results to be expected for the full year or in any other period in the future.</w:t>
      </w:r>
    </w:p>
    <w:p>
      <w:pPr>
        <w:spacing w:after="0" w:line="104"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You should read the following summary consolidated financial data in conjunction with the section titled “Management’s Discussion and Analysis of Financial Condition and Results of Operations,” and our consolidated financial statements, the accompanying notes, and other financial information included elsewhere in this prospectus. The summary consolidated financial data in this section are not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760"/>
          </w:cols>
          <w:pgMar w:left="300" w:top="209" w:right="8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8204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582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replace our consolidated financial statements and the related notes and are qualified in their entirety by our consolidated financial statements and the related notes included elsewhere in this prospectus.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jc w:val="right"/>
              <w:ind w:right="255"/>
              <w:spacing w:after="0"/>
              <w:rPr>
                <w:sz w:val="20"/>
                <w:szCs w:val="20"/>
                <w:color w:val="auto"/>
              </w:rPr>
            </w:pPr>
            <w:r>
              <w:rPr>
                <w:rFonts w:ascii="Arial" w:cs="Arial" w:eastAsia="Arial" w:hAnsi="Arial"/>
                <w:sz w:val="11"/>
                <w:szCs w:val="11"/>
                <w:b w:val="1"/>
                <w:bCs w:val="1"/>
                <w:color w:val="auto"/>
              </w:rPr>
              <w:t>Fiscal Year Ended January 31,</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2025</w:t>
            </w:r>
          </w:p>
        </w:tc>
        <w:tc>
          <w:tcPr>
            <w:tcW w:w="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40" w:type="dxa"/>
            <w:vAlign w:val="bottom"/>
            <w:gridSpan w:val="3"/>
          </w:tcPr>
          <w:p>
            <w:pPr>
              <w:ind w:left="20"/>
              <w:spacing w:after="0"/>
              <w:rPr>
                <w:sz w:val="20"/>
                <w:szCs w:val="20"/>
                <w:color w:val="auto"/>
              </w:rPr>
            </w:pPr>
            <w:r>
              <w:rPr>
                <w:rFonts w:ascii="Arial" w:cs="Arial" w:eastAsia="Arial" w:hAnsi="Arial"/>
                <w:sz w:val="11"/>
                <w:szCs w:val="11"/>
                <w:b w:val="1"/>
                <w:bCs w:val="1"/>
                <w:color w:val="auto"/>
              </w:rPr>
              <w:t>Consolidated Statements of Operations Data:</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10"/>
          </w:tcPr>
          <w:p>
            <w:pPr>
              <w:ind w:left="60"/>
              <w:spacing w:after="0"/>
              <w:rPr>
                <w:sz w:val="20"/>
                <w:szCs w:val="20"/>
                <w:color w:val="auto"/>
              </w:rPr>
            </w:pPr>
            <w:r>
              <w:rPr>
                <w:rFonts w:ascii="Arial" w:cs="Arial" w:eastAsia="Arial" w:hAnsi="Arial"/>
                <w:sz w:val="11"/>
                <w:szCs w:val="11"/>
                <w:b w:val="1"/>
                <w:bCs w:val="1"/>
                <w:i w:val="1"/>
                <w:iCs w:val="1"/>
                <w:color w:val="auto"/>
              </w:rPr>
              <w:t>(in thousands, except share and per share data)</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920" w:type="dxa"/>
            <w:vAlign w:val="bottom"/>
            <w:gridSpan w:val="2"/>
          </w:tcPr>
          <w:p>
            <w:pPr>
              <w:ind w:left="60"/>
              <w:spacing w:after="0"/>
              <w:rPr>
                <w:sz w:val="20"/>
                <w:szCs w:val="20"/>
                <w:color w:val="auto"/>
              </w:rPr>
            </w:pPr>
            <w:r>
              <w:rPr>
                <w:rFonts w:ascii="Arial" w:cs="Arial" w:eastAsia="Arial" w:hAnsi="Arial"/>
                <w:sz w:val="14"/>
                <w:szCs w:val="14"/>
                <w:color w:val="auto"/>
              </w:rPr>
              <w:t>Cash management</w:t>
            </w:r>
          </w:p>
        </w:tc>
        <w:tc>
          <w:tcPr>
            <w:tcW w:w="22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154,800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4"/>
          </w:tcPr>
          <w:p>
            <w:pPr>
              <w:jc w:val="right"/>
              <w:ind w:right="60"/>
              <w:spacing w:after="0"/>
              <w:rPr>
                <w:sz w:val="20"/>
                <w:szCs w:val="20"/>
                <w:color w:val="auto"/>
              </w:rPr>
            </w:pPr>
            <w:r>
              <w:rPr>
                <w:rFonts w:ascii="Arial" w:cs="Arial" w:eastAsia="Arial" w:hAnsi="Arial"/>
                <w:sz w:val="14"/>
                <w:szCs w:val="14"/>
                <w:color w:val="auto"/>
              </w:rPr>
              <w:t>230,946</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108,733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133,139</w:t>
            </w:r>
          </w:p>
        </w:tc>
        <w:tc>
          <w:tcPr>
            <w:tcW w:w="0" w:type="dxa"/>
            <w:vAlign w:val="bottom"/>
          </w:tcPr>
          <w:p>
            <w:pPr>
              <w:spacing w:after="0"/>
              <w:rPr>
                <w:sz w:val="1"/>
                <w:szCs w:val="1"/>
                <w:color w:val="auto"/>
              </w:rPr>
            </w:pPr>
          </w:p>
        </w:tc>
      </w:tr>
      <w:tr>
        <w:trPr>
          <w:trHeight w:val="179"/>
        </w:trPr>
        <w:tc>
          <w:tcPr>
            <w:tcW w:w="120" w:type="dxa"/>
            <w:vAlign w:val="bottom"/>
            <w:shd w:val="clear" w:color="auto" w:fill="CCEEFF"/>
          </w:tcPr>
          <w:p>
            <w:pPr>
              <w:spacing w:after="0"/>
              <w:rPr>
                <w:sz w:val="15"/>
                <w:szCs w:val="15"/>
                <w:color w:val="auto"/>
              </w:rPr>
            </w:pPr>
          </w:p>
        </w:tc>
        <w:tc>
          <w:tcPr>
            <w:tcW w:w="39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Investment advisory</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56,095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73,045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34,272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41,914</w:t>
            </w:r>
          </w:p>
        </w:tc>
        <w:tc>
          <w:tcPr>
            <w:tcW w:w="0" w:type="dxa"/>
            <w:vAlign w:val="bottom"/>
          </w:tcPr>
          <w:p>
            <w:pPr>
              <w:spacing w:after="0"/>
              <w:rPr>
                <w:sz w:val="1"/>
                <w:szCs w:val="1"/>
                <w:color w:val="auto"/>
              </w:rPr>
            </w:pPr>
          </w:p>
        </w:tc>
      </w:tr>
      <w:tr>
        <w:trPr>
          <w:trHeight w:val="179"/>
        </w:trPr>
        <w:tc>
          <w:tcPr>
            <w:tcW w:w="120" w:type="dxa"/>
            <w:vAlign w:val="bottom"/>
            <w:tcBorders>
              <w:bottom w:val="single" w:sz="8" w:color="CCEEFF"/>
            </w:tcBorders>
          </w:tcPr>
          <w:p>
            <w:pPr>
              <w:spacing w:after="0"/>
              <w:rPr>
                <w:sz w:val="15"/>
                <w:szCs w:val="15"/>
                <w:color w:val="auto"/>
              </w:rPr>
            </w:pPr>
          </w:p>
        </w:tc>
        <w:tc>
          <w:tcPr>
            <w:tcW w:w="392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5,819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4,868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2,865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69"/>
        </w:trPr>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216,714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308,859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145,870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175,637</w:t>
            </w:r>
          </w:p>
        </w:tc>
        <w:tc>
          <w:tcPr>
            <w:tcW w:w="0" w:type="dxa"/>
            <w:vAlign w:val="bottom"/>
          </w:tcPr>
          <w:p>
            <w:pPr>
              <w:spacing w:after="0"/>
              <w:rPr>
                <w:sz w:val="1"/>
                <w:szCs w:val="1"/>
                <w:color w:val="auto"/>
              </w:rPr>
            </w:pPr>
          </w:p>
        </w:tc>
      </w:tr>
      <w:tr>
        <w:trPr>
          <w:trHeight w:val="179"/>
        </w:trPr>
        <w:tc>
          <w:tcPr>
            <w:tcW w:w="4040" w:type="dxa"/>
            <w:vAlign w:val="bottom"/>
            <w:gridSpan w:val="3"/>
          </w:tcPr>
          <w:p>
            <w:pPr>
              <w:ind w:left="20"/>
              <w:spacing w:after="0"/>
              <w:rPr>
                <w:sz w:val="20"/>
                <w:szCs w:val="20"/>
                <w:color w:val="auto"/>
              </w:rPr>
            </w:pPr>
            <w:r>
              <w:rPr>
                <w:rFonts w:ascii="Arial" w:cs="Arial" w:eastAsia="Arial" w:hAnsi="Arial"/>
                <w:sz w:val="14"/>
                <w:szCs w:val="14"/>
                <w:color w:val="auto"/>
              </w:rPr>
              <w:t>Costs and operating expenses: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 w:type="dxa"/>
            <w:vAlign w:val="bottom"/>
            <w:shd w:val="clear" w:color="auto" w:fill="CCEEFF"/>
          </w:tcPr>
          <w:p>
            <w:pPr>
              <w:spacing w:after="0"/>
              <w:rPr>
                <w:sz w:val="15"/>
                <w:szCs w:val="15"/>
                <w:color w:val="auto"/>
              </w:rPr>
            </w:pPr>
          </w:p>
        </w:tc>
        <w:tc>
          <w:tcPr>
            <w:tcW w:w="39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22,898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30,964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14,433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18,255</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920" w:type="dxa"/>
            <w:vAlign w:val="bottom"/>
            <w:gridSpan w:val="2"/>
          </w:tcPr>
          <w:p>
            <w:pPr>
              <w:ind w:left="60"/>
              <w:spacing w:after="0" w:line="179" w:lineRule="exact"/>
              <w:rPr>
                <w:sz w:val="20"/>
                <w:szCs w:val="20"/>
                <w:color w:val="auto"/>
              </w:rPr>
            </w:pPr>
            <w:r>
              <w:rPr>
                <w:rFonts w:ascii="Arial" w:cs="Arial" w:eastAsia="Arial" w:hAnsi="Arial"/>
                <w:sz w:val="14"/>
                <w:szCs w:val="14"/>
                <w:color w:val="auto"/>
              </w:rPr>
              <w:t>Product development</w:t>
            </w:r>
            <w:r>
              <w:rPr>
                <w:rFonts w:ascii="Arial" w:cs="Arial" w:eastAsia="Arial" w:hAnsi="Arial"/>
                <w:sz w:val="18"/>
                <w:szCs w:val="18"/>
                <w:color w:val="auto"/>
                <w:vertAlign w:val="superscript"/>
              </w:rPr>
              <w:t>(1)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57,558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4"/>
                <w:szCs w:val="14"/>
                <w:color w:val="auto"/>
              </w:rPr>
              <w:t>64,515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29,367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41,459</w:t>
            </w:r>
          </w:p>
        </w:tc>
        <w:tc>
          <w:tcPr>
            <w:tcW w:w="0" w:type="dxa"/>
            <w:vAlign w:val="bottom"/>
          </w:tcPr>
          <w:p>
            <w:pPr>
              <w:spacing w:after="0"/>
              <w:rPr>
                <w:sz w:val="1"/>
                <w:szCs w:val="1"/>
                <w:color w:val="auto"/>
              </w:rPr>
            </w:pPr>
          </w:p>
        </w:tc>
      </w:tr>
      <w:tr>
        <w:trPr>
          <w:trHeight w:val="179"/>
        </w:trPr>
        <w:tc>
          <w:tcPr>
            <w:tcW w:w="120" w:type="dxa"/>
            <w:vAlign w:val="bottom"/>
            <w:shd w:val="clear" w:color="auto" w:fill="CCEEFF"/>
          </w:tcPr>
          <w:p>
            <w:pPr>
              <w:spacing w:after="0"/>
              <w:rPr>
                <w:sz w:val="15"/>
                <w:szCs w:val="15"/>
                <w:color w:val="auto"/>
              </w:rPr>
            </w:pPr>
          </w:p>
        </w:tc>
        <w:tc>
          <w:tcPr>
            <w:tcW w:w="3920" w:type="dxa"/>
            <w:vAlign w:val="bottom"/>
            <w:gridSpan w:val="2"/>
            <w:shd w:val="clear" w:color="auto" w:fill="CCEEFF"/>
          </w:tcPr>
          <w:p>
            <w:pPr>
              <w:ind w:left="60"/>
              <w:spacing w:after="0" w:line="17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23,766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29,092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18,740</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920" w:type="dxa"/>
            <w:vAlign w:val="bottom"/>
            <w:gridSpan w:val="2"/>
          </w:tcPr>
          <w:p>
            <w:pPr>
              <w:ind w:left="60"/>
              <w:spacing w:after="0" w:line="179" w:lineRule="exact"/>
              <w:rPr>
                <w:sz w:val="20"/>
                <w:szCs w:val="20"/>
                <w:color w:val="auto"/>
              </w:rPr>
            </w:pPr>
            <w:r>
              <w:rPr>
                <w:rFonts w:ascii="Arial" w:cs="Arial" w:eastAsia="Arial" w:hAnsi="Arial"/>
                <w:sz w:val="14"/>
                <w:szCs w:val="14"/>
                <w:color w:val="auto"/>
              </w:rPr>
              <w:t>Marketing</w:t>
            </w:r>
            <w:r>
              <w:rPr>
                <w:rFonts w:ascii="Arial" w:cs="Arial" w:eastAsia="Arial" w:hAnsi="Arial"/>
                <w:sz w:val="18"/>
                <w:szCs w:val="18"/>
                <w:color w:val="auto"/>
                <w:vertAlign w:val="superscript"/>
              </w:rPr>
              <w:t>(1)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21,150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4"/>
                <w:szCs w:val="14"/>
                <w:color w:val="auto"/>
              </w:rPr>
              <w:t>52,196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21,909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19,281</w:t>
            </w:r>
          </w:p>
        </w:tc>
        <w:tc>
          <w:tcPr>
            <w:tcW w:w="0" w:type="dxa"/>
            <w:vAlign w:val="bottom"/>
          </w:tcPr>
          <w:p>
            <w:pPr>
              <w:spacing w:after="0"/>
              <w:rPr>
                <w:sz w:val="1"/>
                <w:szCs w:val="1"/>
                <w:color w:val="auto"/>
              </w:rPr>
            </w:pPr>
          </w:p>
        </w:tc>
      </w:tr>
      <w:tr>
        <w:trPr>
          <w:trHeight w:val="179"/>
        </w:trPr>
        <w:tc>
          <w:tcPr>
            <w:tcW w:w="120" w:type="dxa"/>
            <w:vAlign w:val="bottom"/>
            <w:shd w:val="clear" w:color="auto" w:fill="CCEEFF"/>
          </w:tcPr>
          <w:p>
            <w:pPr>
              <w:spacing w:after="0"/>
              <w:rPr>
                <w:sz w:val="15"/>
                <w:szCs w:val="15"/>
                <w:color w:val="auto"/>
              </w:rPr>
            </w:pPr>
          </w:p>
        </w:tc>
        <w:tc>
          <w:tcPr>
            <w:tcW w:w="3920" w:type="dxa"/>
            <w:vAlign w:val="bottom"/>
            <w:gridSpan w:val="2"/>
            <w:shd w:val="clear" w:color="auto" w:fill="CCEEFF"/>
          </w:tcPr>
          <w:p>
            <w:pPr>
              <w:ind w:left="60"/>
              <w:spacing w:after="0" w:line="179" w:lineRule="exact"/>
              <w:rPr>
                <w:sz w:val="20"/>
                <w:szCs w:val="20"/>
                <w:color w:val="auto"/>
              </w:rPr>
            </w:pPr>
            <w:r>
              <w:rPr>
                <w:rFonts w:ascii="Arial" w:cs="Arial" w:eastAsia="Arial" w:hAnsi="Arial"/>
                <w:sz w:val="14"/>
                <w:szCs w:val="14"/>
                <w:color w:val="auto"/>
              </w:rPr>
              <w:t>Operations and support</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9,767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10,619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5,075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5,988</w:t>
            </w:r>
          </w:p>
        </w:tc>
        <w:tc>
          <w:tcPr>
            <w:tcW w:w="0" w:type="dxa"/>
            <w:vAlign w:val="bottom"/>
          </w:tcPr>
          <w:p>
            <w:pPr>
              <w:spacing w:after="0"/>
              <w:rPr>
                <w:sz w:val="1"/>
                <w:szCs w:val="1"/>
                <w:color w:val="auto"/>
              </w:rPr>
            </w:pPr>
          </w:p>
        </w:tc>
      </w:tr>
      <w:tr>
        <w:trPr>
          <w:trHeight w:val="169"/>
        </w:trPr>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costs and operating expenses</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135,139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187,386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84,670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103,723</w:t>
            </w:r>
          </w:p>
        </w:tc>
        <w:tc>
          <w:tcPr>
            <w:tcW w:w="0" w:type="dxa"/>
            <w:vAlign w:val="bottom"/>
          </w:tcPr>
          <w:p>
            <w:pPr>
              <w:spacing w:after="0"/>
              <w:rPr>
                <w:sz w:val="1"/>
                <w:szCs w:val="1"/>
                <w:color w:val="auto"/>
              </w:rPr>
            </w:pPr>
          </w:p>
        </w:tc>
      </w:tr>
      <w:tr>
        <w:trPr>
          <w:trHeight w:val="16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2,810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79"/>
        </w:trPr>
        <w:tc>
          <w:tcPr>
            <w:tcW w:w="40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 expense (income), net</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94"/>
              </w:rPr>
              <w:t>986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(20,566)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(18,572)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169"/>
        </w:trPr>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Income before income taxes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78,589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139,229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78,246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73,982</w:t>
            </w:r>
          </w:p>
        </w:tc>
        <w:tc>
          <w:tcPr>
            <w:tcW w:w="0" w:type="dxa"/>
            <w:vAlign w:val="bottom"/>
          </w:tcPr>
          <w:p>
            <w:pPr>
              <w:spacing w:after="0"/>
              <w:rPr>
                <w:sz w:val="1"/>
                <w:szCs w:val="1"/>
                <w:color w:val="auto"/>
              </w:rPr>
            </w:pPr>
          </w:p>
        </w:tc>
      </w:tr>
      <w:tr>
        <w:trPr>
          <w:trHeight w:val="179"/>
        </w:trPr>
        <w:tc>
          <w:tcPr>
            <w:tcW w:w="40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1,623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(55,218)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(54,063)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13,294</w:t>
            </w:r>
          </w:p>
        </w:tc>
        <w:tc>
          <w:tcPr>
            <w:tcW w:w="0" w:type="dxa"/>
            <w:vAlign w:val="bottom"/>
          </w:tcPr>
          <w:p>
            <w:pPr>
              <w:spacing w:after="0"/>
              <w:rPr>
                <w:sz w:val="1"/>
                <w:szCs w:val="1"/>
                <w:color w:val="auto"/>
              </w:rPr>
            </w:pPr>
          </w:p>
        </w:tc>
      </w:tr>
      <w:tr>
        <w:trPr>
          <w:trHeight w:val="194"/>
        </w:trPr>
        <w:tc>
          <w:tcPr>
            <w:tcW w:w="4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76,966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194,447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132,309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60,688</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gridSpan w:val="2"/>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040" w:type="dxa"/>
            <w:vAlign w:val="bottom"/>
            <w:gridSpan w:val="3"/>
            <w:shd w:val="clear" w:color="auto" w:fill="CCEEFF"/>
          </w:tcPr>
          <w:p>
            <w:pPr>
              <w:ind w:left="20"/>
              <w:spacing w:after="0" w:line="179"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920" w:type="dxa"/>
            <w:vAlign w:val="bottom"/>
            <w:gridSpan w:val="2"/>
          </w:tcPr>
          <w:p>
            <w:pPr>
              <w:ind w:left="6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3.39</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9"/>
        </w:trPr>
        <w:tc>
          <w:tcPr>
            <w:tcW w:w="120" w:type="dxa"/>
            <w:vAlign w:val="bottom"/>
            <w:shd w:val="clear" w:color="auto" w:fill="CCEEFF"/>
          </w:tcPr>
          <w:p>
            <w:pPr>
              <w:spacing w:after="0"/>
              <w:rPr>
                <w:sz w:val="15"/>
                <w:szCs w:val="15"/>
                <w:color w:val="auto"/>
              </w:rPr>
            </w:pPr>
          </w:p>
        </w:tc>
        <w:tc>
          <w:tcPr>
            <w:tcW w:w="39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5"/>
              </w:rPr>
              <w:t>0.86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41"/>
        </w:trPr>
        <w:tc>
          <w:tcPr>
            <w:tcW w:w="4260" w:type="dxa"/>
            <w:vAlign w:val="bottom"/>
            <w:gridSpan w:val="4"/>
          </w:tcPr>
          <w:p>
            <w:pPr>
              <w:ind w:left="20"/>
              <w:spacing w:after="0" w:line="141" w:lineRule="exact"/>
              <w:rPr>
                <w:sz w:val="20"/>
                <w:szCs w:val="20"/>
                <w:color w:val="auto"/>
              </w:rPr>
            </w:pPr>
            <w:r>
              <w:rPr>
                <w:rFonts w:ascii="Arial" w:cs="Arial" w:eastAsia="Arial" w:hAnsi="Arial"/>
                <w:sz w:val="14"/>
                <w:szCs w:val="14"/>
                <w:color w:val="auto"/>
              </w:rPr>
              <w:t>Weighted-average shares outstanding used in computing earnings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3920" w:type="dxa"/>
            <w:vAlign w:val="bottom"/>
            <w:gridSpan w:val="2"/>
          </w:tcPr>
          <w:p>
            <w:pPr>
              <w:ind w:left="20"/>
              <w:spacing w:after="0" w:line="185" w:lineRule="exact"/>
              <w:rPr>
                <w:sz w:val="20"/>
                <w:szCs w:val="20"/>
                <w:color w:val="auto"/>
              </w:rPr>
            </w:pPr>
            <w:r>
              <w:rPr>
                <w:rFonts w:ascii="Arial" w:cs="Arial" w:eastAsia="Arial" w:hAnsi="Arial"/>
                <w:sz w:val="14"/>
                <w:szCs w:val="14"/>
                <w:color w:val="auto"/>
              </w:rPr>
              <w:t>per share</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shd w:val="clear" w:color="auto" w:fill="CCEEFF"/>
          </w:tcPr>
          <w:p>
            <w:pPr>
              <w:spacing w:after="0"/>
              <w:rPr>
                <w:sz w:val="15"/>
                <w:szCs w:val="15"/>
                <w:color w:val="auto"/>
              </w:rPr>
            </w:pPr>
          </w:p>
        </w:tc>
        <w:tc>
          <w:tcPr>
            <w:tcW w:w="39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37,297,221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38,990,556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38,998,847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40,386,351</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3920" w:type="dxa"/>
            <w:vAlign w:val="bottom"/>
            <w:gridSpan w:val="2"/>
          </w:tcPr>
          <w:p>
            <w:pPr>
              <w:ind w:left="6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143,878,296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4"/>
                <w:szCs w:val="14"/>
                <w:color w:val="auto"/>
              </w:rPr>
              <w:t>138,660,318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139,351,193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142,121,531</w:t>
            </w:r>
          </w:p>
        </w:tc>
        <w:tc>
          <w:tcPr>
            <w:tcW w:w="0" w:type="dxa"/>
            <w:vAlign w:val="bottom"/>
          </w:tcPr>
          <w:p>
            <w:pPr>
              <w:spacing w:after="0"/>
              <w:rPr>
                <w:sz w:val="1"/>
                <w:szCs w:val="1"/>
                <w:color w:val="auto"/>
              </w:rPr>
            </w:pPr>
          </w:p>
        </w:tc>
      </w:tr>
      <w:tr>
        <w:trPr>
          <w:trHeight w:val="204"/>
        </w:trPr>
        <w:tc>
          <w:tcPr>
            <w:tcW w:w="4040" w:type="dxa"/>
            <w:vAlign w:val="bottom"/>
            <w:gridSpan w:val="3"/>
          </w:tcPr>
          <w:p>
            <w:pPr>
              <w:spacing w:after="0"/>
              <w:rPr>
                <w:sz w:val="20"/>
                <w:szCs w:val="20"/>
                <w:color w:val="auto"/>
              </w:rPr>
            </w:pPr>
            <w:r>
              <w:rPr>
                <w:rFonts w:ascii="Arial" w:cs="Arial" w:eastAsia="Arial" w:hAnsi="Arial"/>
                <w:sz w:val="13"/>
                <w:szCs w:val="13"/>
                <w:color w:val="auto"/>
              </w:rPr>
              <w:t>______________</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20"/>
                <w:szCs w:val="20"/>
                <w:color w:val="auto"/>
              </w:rPr>
            </w:pPr>
            <w:r>
              <w:rPr>
                <w:rFonts w:ascii="Arial" w:cs="Arial" w:eastAsia="Arial" w:hAnsi="Arial"/>
                <w:sz w:val="8"/>
                <w:szCs w:val="8"/>
                <w:color w:val="auto"/>
              </w:rPr>
              <w:t>(1)</w:t>
            </w:r>
          </w:p>
        </w:tc>
        <w:tc>
          <w:tcPr>
            <w:tcW w:w="3920" w:type="dxa"/>
            <w:vAlign w:val="bottom"/>
            <w:gridSpan w:val="2"/>
            <w:vMerge w:val="restart"/>
          </w:tcPr>
          <w:p>
            <w:pPr>
              <w:ind w:left="120"/>
              <w:spacing w:after="0"/>
              <w:rPr>
                <w:sz w:val="20"/>
                <w:szCs w:val="20"/>
                <w:color w:val="auto"/>
              </w:rPr>
            </w:pPr>
            <w:r>
              <w:rPr>
                <w:rFonts w:ascii="Arial" w:cs="Arial" w:eastAsia="Arial" w:hAnsi="Arial"/>
                <w:sz w:val="13"/>
                <w:szCs w:val="13"/>
                <w:color w:val="auto"/>
              </w:rPr>
              <w:t>Includes stock-based compensation expense as follows: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9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60" w:type="dxa"/>
            <w:vAlign w:val="bottom"/>
            <w:gridSpan w:val="7"/>
          </w:tcPr>
          <w:p>
            <w:pPr>
              <w:jc w:val="right"/>
              <w:ind w:right="515"/>
              <w:spacing w:after="0"/>
              <w:rPr>
                <w:sz w:val="20"/>
                <w:szCs w:val="20"/>
                <w:color w:val="auto"/>
              </w:rPr>
            </w:pPr>
            <w:r>
              <w:rPr>
                <w:rFonts w:ascii="Arial" w:cs="Arial" w:eastAsia="Arial" w:hAnsi="Arial"/>
                <w:sz w:val="11"/>
                <w:szCs w:val="11"/>
                <w:b w:val="1"/>
                <w:bCs w:val="1"/>
                <w:color w:val="auto"/>
              </w:rPr>
              <w:t>Fiscal Year Ended January 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60" w:type="dxa"/>
            <w:vAlign w:val="bottom"/>
            <w:gridSpan w:val="7"/>
          </w:tcPr>
          <w:p>
            <w:pPr>
              <w:jc w:val="right"/>
              <w:ind w:right="112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2025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6"/>
          </w:tcPr>
          <w:p>
            <w:pPr>
              <w:jc w:val="right"/>
              <w:ind w:right="70"/>
              <w:spacing w:after="0"/>
              <w:rPr>
                <w:sz w:val="20"/>
                <w:szCs w:val="20"/>
                <w:color w:val="auto"/>
              </w:rPr>
            </w:pPr>
            <w:r>
              <w:rPr>
                <w:rFonts w:ascii="Arial" w:cs="Arial" w:eastAsia="Arial" w:hAnsi="Arial"/>
                <w:sz w:val="11"/>
                <w:szCs w:val="11"/>
                <w:b w:val="1"/>
                <w:bCs w:val="1"/>
                <w:i w:val="1"/>
                <w:iCs w:val="1"/>
                <w:color w:val="auto"/>
              </w:rPr>
              <w:t>(in thousands)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Product development</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8,692</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7,325</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1"/>
                <w:szCs w:val="11"/>
                <w:color w:val="auto"/>
              </w:rPr>
              <w:t>General and administrative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2,647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2,041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1,085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640</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Marketing</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Operations and support</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1,334</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1,099</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 expense, net of amounts capitalized</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13,255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3,450</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Capitalized stock-based compensation expense</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(1,409)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(1,637)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stock-based compensation expense</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11,846</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9,364</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780" w:hanging="257"/>
        <w:spacing w:after="0" w:line="234" w:lineRule="auto"/>
        <w:tabs>
          <w:tab w:leader="none" w:pos="775"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See Notes 2 and 15 to our audited consolidated financial statements and Note 15 to our unaudited consolidated financial statements included elsewhere in this prospectus for an explanation of the method used to calculate basic and diluted net income attributable to common stockholders and the weighted-average shares of common stock outstanding used in computing the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760"/>
          </w:cols>
          <w:pgMar w:left="300" w:top="209" w:right="8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525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525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The following table sets forth the computation of unaudited pro forma basic and diluted earnings per share attributable to common stockholders for the periods presented:</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Fiscal Year Ended</w:t>
            </w:r>
          </w:p>
        </w:tc>
        <w:tc>
          <w:tcPr>
            <w:tcW w:w="200" w:type="dxa"/>
            <w:vAlign w:val="bottom"/>
          </w:tcPr>
          <w:p>
            <w:pPr>
              <w:spacing w:after="0"/>
              <w:rPr>
                <w:sz w:val="13"/>
                <w:szCs w:val="13"/>
                <w:color w:val="auto"/>
              </w:rPr>
            </w:pPr>
          </w:p>
        </w:tc>
        <w:tc>
          <w:tcPr>
            <w:tcW w:w="1440" w:type="dxa"/>
            <w:vAlign w:val="bottom"/>
          </w:tcPr>
          <w:p>
            <w:pPr>
              <w:jc w:val="center"/>
              <w:ind w:right="132"/>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January 31, 2025</w:t>
            </w:r>
          </w:p>
        </w:tc>
        <w:tc>
          <w:tcPr>
            <w:tcW w:w="200" w:type="dxa"/>
            <w:vAlign w:val="bottom"/>
          </w:tcPr>
          <w:p>
            <w:pPr>
              <w:spacing w:after="0"/>
              <w:rPr>
                <w:sz w:val="10"/>
                <w:szCs w:val="10"/>
                <w:color w:val="auto"/>
              </w:rPr>
            </w:pPr>
          </w:p>
        </w:tc>
        <w:tc>
          <w:tcPr>
            <w:tcW w:w="1440" w:type="dxa"/>
            <w:vAlign w:val="bottom"/>
          </w:tcPr>
          <w:p>
            <w:pPr>
              <w:jc w:val="center"/>
              <w:ind w:right="132"/>
              <w:spacing w:after="0" w:line="120" w:lineRule="exact"/>
              <w:rPr>
                <w:sz w:val="20"/>
                <w:szCs w:val="20"/>
                <w:color w:val="auto"/>
              </w:rPr>
            </w:pPr>
            <w:r>
              <w:rPr>
                <w:rFonts w:ascii="Arial" w:cs="Arial" w:eastAsia="Arial" w:hAnsi="Arial"/>
                <w:sz w:val="11"/>
                <w:szCs w:val="11"/>
                <w:b w:val="1"/>
                <w:bCs w:val="1"/>
                <w:color w:val="auto"/>
                <w:w w:val="98"/>
              </w:rPr>
              <w:t>July 31,</w:t>
            </w:r>
          </w:p>
        </w:tc>
        <w:tc>
          <w:tcPr>
            <w:tcW w:w="0" w:type="dxa"/>
            <w:vAlign w:val="bottom"/>
          </w:tcPr>
          <w:p>
            <w:pPr>
              <w:spacing w:after="0"/>
              <w:rPr>
                <w:sz w:val="1"/>
                <w:szCs w:val="1"/>
                <w:color w:val="auto"/>
              </w:rPr>
            </w:pPr>
          </w:p>
        </w:tc>
      </w:tr>
      <w:tr>
        <w:trPr>
          <w:trHeight w:val="143"/>
        </w:trPr>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right="132"/>
              <w:spacing w:after="0"/>
              <w:rPr>
                <w:sz w:val="20"/>
                <w:szCs w:val="20"/>
                <w:color w:val="auto"/>
              </w:rPr>
            </w:pPr>
            <w:r>
              <w:rPr>
                <w:rFonts w:ascii="Arial" w:cs="Arial" w:eastAsia="Arial" w:hAnsi="Arial"/>
                <w:sz w:val="11"/>
                <w:szCs w:val="11"/>
                <w:b w:val="1"/>
                <w:bCs w:val="1"/>
                <w:color w:val="auto"/>
                <w:w w:val="97"/>
              </w:rPr>
              <w:t>2025</w:t>
            </w:r>
          </w:p>
        </w:tc>
        <w:tc>
          <w:tcPr>
            <w:tcW w:w="0" w:type="dxa"/>
            <w:vAlign w:val="bottom"/>
          </w:tcPr>
          <w:p>
            <w:pPr>
              <w:spacing w:after="0"/>
              <w:rPr>
                <w:sz w:val="1"/>
                <w:szCs w:val="1"/>
                <w:color w:val="auto"/>
              </w:rPr>
            </w:pPr>
          </w:p>
        </w:tc>
      </w:tr>
      <w:tr>
        <w:trPr>
          <w:trHeight w:val="159"/>
        </w:trPr>
        <w:tc>
          <w:tcPr>
            <w:tcW w:w="676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Pro forma basic earnings per share</w:t>
            </w: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60,688</w:t>
            </w:r>
          </w:p>
        </w:tc>
        <w:tc>
          <w:tcPr>
            <w:tcW w:w="0" w:type="dxa"/>
            <w:vAlign w:val="bottom"/>
          </w:tcPr>
          <w:p>
            <w:pPr>
              <w:spacing w:after="0"/>
              <w:rPr>
                <w:sz w:val="1"/>
                <w:szCs w:val="1"/>
                <w:color w:val="auto"/>
              </w:rPr>
            </w:pPr>
          </w:p>
        </w:tc>
      </w:tr>
      <w:tr>
        <w:trPr>
          <w:trHeight w:val="143"/>
        </w:trPr>
        <w:tc>
          <w:tcPr>
            <w:tcW w:w="6760" w:type="dxa"/>
            <w:vAlign w:val="bottom"/>
          </w:tcPr>
          <w:p>
            <w:pPr>
              <w:ind w:left="20"/>
              <w:spacing w:after="0" w:line="143" w:lineRule="exact"/>
              <w:rPr>
                <w:sz w:val="20"/>
                <w:szCs w:val="20"/>
                <w:color w:val="auto"/>
              </w:rPr>
            </w:pPr>
            <w:r>
              <w:rPr>
                <w:rFonts w:ascii="Arial" w:cs="Arial" w:eastAsia="Arial" w:hAnsi="Arial"/>
                <w:sz w:val="14"/>
                <w:szCs w:val="14"/>
                <w:color w:val="auto"/>
              </w:rPr>
              <w:t>Pro forma adjustment to record stock-based compensation expense related to RSUs for which the time-</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(108,827)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(44,855)</w:t>
            </w:r>
          </w:p>
        </w:tc>
        <w:tc>
          <w:tcPr>
            <w:tcW w:w="0" w:type="dxa"/>
            <w:vAlign w:val="bottom"/>
          </w:tcPr>
          <w:p>
            <w:pPr>
              <w:spacing w:after="0"/>
              <w:rPr>
                <w:sz w:val="1"/>
                <w:szCs w:val="1"/>
                <w:color w:val="auto"/>
              </w:rPr>
            </w:pPr>
          </w:p>
        </w:tc>
      </w:tr>
      <w:tr>
        <w:trPr>
          <w:trHeight w:val="183"/>
        </w:trPr>
        <w:tc>
          <w:tcPr>
            <w:tcW w:w="6760" w:type="dxa"/>
            <w:vAlign w:val="bottom"/>
          </w:tcPr>
          <w:p>
            <w:pPr>
              <w:ind w:left="140"/>
              <w:spacing w:after="0"/>
              <w:rPr>
                <w:sz w:val="20"/>
                <w:szCs w:val="20"/>
                <w:color w:val="auto"/>
              </w:rPr>
            </w:pPr>
            <w:r>
              <w:rPr>
                <w:rFonts w:ascii="Arial" w:cs="Arial" w:eastAsia="Arial" w:hAnsi="Arial"/>
                <w:sz w:val="14"/>
                <w:szCs w:val="14"/>
                <w:color w:val="auto"/>
              </w:rPr>
              <w:t>based and performance-based vesting conditions were satisfied in connection with this offering</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 forma adjustment to reverse fair value adjustment for SAFE Settlement</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169"/>
        </w:trPr>
        <w:tc>
          <w:tcPr>
            <w:tcW w:w="6760" w:type="dxa"/>
            <w:vAlign w:val="bottom"/>
          </w:tcPr>
          <w:p>
            <w:pPr>
              <w:ind w:left="20"/>
              <w:spacing w:after="0"/>
              <w:rPr>
                <w:sz w:val="20"/>
                <w:szCs w:val="20"/>
                <w:color w:val="auto"/>
              </w:rPr>
            </w:pPr>
            <w:r>
              <w:rPr>
                <w:rFonts w:ascii="Arial" w:cs="Arial" w:eastAsia="Arial" w:hAnsi="Arial"/>
                <w:sz w:val="14"/>
                <w:szCs w:val="14"/>
                <w:color w:val="auto"/>
              </w:rPr>
              <w:t>Pro forma net income attributable to common stockholders</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86,593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17,515</w:t>
            </w: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Arial" w:cs="Arial" w:eastAsia="Arial" w:hAnsi="Arial"/>
                <w:sz w:val="14"/>
                <w:szCs w:val="14"/>
                <w:color w:val="auto"/>
              </w:rPr>
              <w:t>Weighted-average number of common stock outstanding used in computing earnings per share, basic</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38,990,556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40,386,351</w:t>
            </w:r>
          </w:p>
        </w:tc>
        <w:tc>
          <w:tcPr>
            <w:tcW w:w="0" w:type="dxa"/>
            <w:vAlign w:val="bottom"/>
          </w:tcPr>
          <w:p>
            <w:pPr>
              <w:spacing w:after="0"/>
              <w:rPr>
                <w:sz w:val="1"/>
                <w:szCs w:val="1"/>
                <w:color w:val="auto"/>
              </w:rPr>
            </w:pPr>
          </w:p>
        </w:tc>
      </w:tr>
      <w:tr>
        <w:trPr>
          <w:trHeight w:val="143"/>
        </w:trPr>
        <w:tc>
          <w:tcPr>
            <w:tcW w:w="67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Pro forma adjustment to reflect the Capital Stock Conversion resulting in conversion of all series of preferred</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69,914,359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69,852,421</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22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Arial" w:cs="Arial" w:eastAsia="Arial" w:hAnsi="Arial"/>
                <w:sz w:val="14"/>
                <w:szCs w:val="14"/>
                <w:color w:val="auto"/>
              </w:rPr>
              <w:t>Pro forma adjustment to reflect the Option Exercise</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1,855,240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1,855,240</w:t>
            </w: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 forma adjustment to reflect the RSU Net Settlement in connection with this offering</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15,044,470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18,743,123</w:t>
            </w: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Arial" w:cs="Arial" w:eastAsia="Arial" w:hAnsi="Arial"/>
                <w:sz w:val="14"/>
                <w:szCs w:val="14"/>
                <w:color w:val="auto"/>
              </w:rPr>
              <w:t>Pro forma adjustment to reflect the SAFE Settlement in connection with this offering</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437,415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437,415</w:t>
            </w:r>
          </w:p>
        </w:tc>
        <w:tc>
          <w:tcPr>
            <w:tcW w:w="0" w:type="dxa"/>
            <w:vAlign w:val="bottom"/>
          </w:tcPr>
          <w:p>
            <w:pPr>
              <w:spacing w:after="0"/>
              <w:rPr>
                <w:sz w:val="1"/>
                <w:szCs w:val="1"/>
                <w:color w:val="auto"/>
              </w:rPr>
            </w:pPr>
          </w:p>
        </w:tc>
      </w:tr>
      <w:tr>
        <w:trPr>
          <w:trHeight w:val="143"/>
        </w:trPr>
        <w:tc>
          <w:tcPr>
            <w:tcW w:w="67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Weighted-average number of common stock outstanding used in computing pro forma earnings per share,</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126,242,040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131,274,550</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60" w:type="dxa"/>
            <w:vAlign w:val="bottom"/>
          </w:tcPr>
          <w:p>
            <w:pPr>
              <w:ind w:left="20"/>
              <w:spacing w:after="0" w:line="170" w:lineRule="exact"/>
              <w:rPr>
                <w:sz w:val="20"/>
                <w:szCs w:val="20"/>
                <w:color w:val="auto"/>
              </w:rPr>
            </w:pPr>
            <w:r>
              <w:rPr>
                <w:rFonts w:ascii="Arial" w:cs="Arial" w:eastAsia="Arial" w:hAnsi="Arial"/>
                <w:sz w:val="14"/>
                <w:szCs w:val="14"/>
                <w:color w:val="auto"/>
              </w:rPr>
              <w:t>Pro forma earnings per share attributable to common stockholders, basic</w:t>
            </w:r>
            <w:r>
              <w:rPr>
                <w:rFonts w:ascii="Arial" w:cs="Arial" w:eastAsia="Arial" w:hAnsi="Arial"/>
                <w:sz w:val="18"/>
                <w:szCs w:val="18"/>
                <w:color w:val="auto"/>
                <w:vertAlign w:val="superscript"/>
              </w:rPr>
              <w:t>(1)</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0.13</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Arial" w:cs="Arial" w:eastAsia="Arial" w:hAnsi="Arial"/>
                <w:sz w:val="14"/>
                <w:szCs w:val="14"/>
                <w:color w:val="auto"/>
              </w:rPr>
              <w:t>Pro forma diluted earnings per share</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Arial" w:cs="Arial" w:eastAsia="Arial" w:hAnsi="Arial"/>
                <w:sz w:val="14"/>
                <w:szCs w:val="14"/>
                <w:color w:val="auto"/>
              </w:rPr>
              <w:t>Pro forma net income attributable to common stockholders, basic</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86,593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17,515</w:t>
            </w: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adjustment for convertible note, net of tax effect</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 forma net income attributable to common stockholders, dilutive</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73,898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17,515</w:t>
            </w:r>
          </w:p>
        </w:tc>
        <w:tc>
          <w:tcPr>
            <w:tcW w:w="0" w:type="dxa"/>
            <w:vAlign w:val="bottom"/>
          </w:tcPr>
          <w:p>
            <w:pPr>
              <w:spacing w:after="0"/>
              <w:rPr>
                <w:sz w:val="1"/>
                <w:szCs w:val="1"/>
                <w:color w:val="auto"/>
              </w:rPr>
            </w:pPr>
          </w:p>
        </w:tc>
      </w:tr>
      <w:tr>
        <w:trPr>
          <w:trHeight w:val="159"/>
        </w:trPr>
        <w:tc>
          <w:tcPr>
            <w:tcW w:w="6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Denominator:</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760" w:type="dxa"/>
            <w:vAlign w:val="bottom"/>
          </w:tcPr>
          <w:p>
            <w:pPr>
              <w:ind w:left="20"/>
              <w:spacing w:after="0" w:line="143" w:lineRule="exact"/>
              <w:rPr>
                <w:sz w:val="20"/>
                <w:szCs w:val="20"/>
                <w:color w:val="auto"/>
              </w:rPr>
            </w:pPr>
            <w:r>
              <w:rPr>
                <w:rFonts w:ascii="Arial" w:cs="Arial" w:eastAsia="Arial" w:hAnsi="Arial"/>
                <w:sz w:val="14"/>
                <w:szCs w:val="14"/>
                <w:color w:val="auto"/>
              </w:rPr>
              <w:t>Weighted-average number of common stock outstanding used in computing pro forma earnings per share,</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126,242,040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131,274,550</w:t>
            </w:r>
          </w:p>
        </w:tc>
        <w:tc>
          <w:tcPr>
            <w:tcW w:w="0" w:type="dxa"/>
            <w:vAlign w:val="bottom"/>
          </w:tcPr>
          <w:p>
            <w:pPr>
              <w:spacing w:after="0"/>
              <w:rPr>
                <w:sz w:val="1"/>
                <w:szCs w:val="1"/>
                <w:color w:val="auto"/>
              </w:rPr>
            </w:pPr>
          </w:p>
        </w:tc>
      </w:tr>
      <w:tr>
        <w:trPr>
          <w:trHeight w:val="183"/>
        </w:trPr>
        <w:tc>
          <w:tcPr>
            <w:tcW w:w="6760" w:type="dxa"/>
            <w:vAlign w:val="bottom"/>
          </w:tcPr>
          <w:p>
            <w:pPr>
              <w:ind w:left="14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convertible note</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Arial" w:cs="Arial" w:eastAsia="Arial" w:hAnsi="Arial"/>
                <w:sz w:val="14"/>
                <w:szCs w:val="14"/>
                <w:color w:val="auto"/>
              </w:rPr>
              <w:t>Dilutive effect of stock options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26,107,667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28,676,114</w:t>
            </w: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unvested RSUs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7,174,141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8,174,311</w:t>
            </w: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Arial" w:cs="Arial" w:eastAsia="Arial" w:hAnsi="Arial"/>
                <w:sz w:val="14"/>
                <w:szCs w:val="14"/>
                <w:color w:val="auto"/>
              </w:rPr>
              <w:t>Dilutive effect of equity-classified common stock warrants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1,300,400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1,351,405</w:t>
            </w:r>
          </w:p>
        </w:tc>
        <w:tc>
          <w:tcPr>
            <w:tcW w:w="0" w:type="dxa"/>
            <w:vAlign w:val="bottom"/>
          </w:tcPr>
          <w:p>
            <w:pPr>
              <w:spacing w:after="0"/>
              <w:rPr>
                <w:sz w:val="1"/>
                <w:szCs w:val="1"/>
                <w:color w:val="auto"/>
              </w:rPr>
            </w:pPr>
          </w:p>
        </w:tc>
      </w:tr>
      <w:tr>
        <w:trPr>
          <w:trHeight w:val="143"/>
        </w:trPr>
        <w:tc>
          <w:tcPr>
            <w:tcW w:w="67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Weighted-average number of common stock outstanding used in computing pro forma earnings per share,</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161,316,344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169,476,380</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60" w:type="dxa"/>
            <w:vAlign w:val="bottom"/>
          </w:tcPr>
          <w:p>
            <w:pPr>
              <w:ind w:left="20"/>
              <w:spacing w:after="0" w:line="170" w:lineRule="exact"/>
              <w:rPr>
                <w:sz w:val="20"/>
                <w:szCs w:val="20"/>
                <w:color w:val="auto"/>
              </w:rPr>
            </w:pPr>
            <w:r>
              <w:rPr>
                <w:rFonts w:ascii="Arial" w:cs="Arial" w:eastAsia="Arial" w:hAnsi="Arial"/>
                <w:sz w:val="14"/>
                <w:szCs w:val="14"/>
                <w:color w:val="auto"/>
              </w:rPr>
              <w:t>Pro forma earnings per share attributable to common stockholders, diluted</w:t>
            </w:r>
            <w:r>
              <w:rPr>
                <w:rFonts w:ascii="Arial" w:cs="Arial" w:eastAsia="Arial" w:hAnsi="Arial"/>
                <w:sz w:val="18"/>
                <w:szCs w:val="18"/>
                <w:color w:val="auto"/>
                <w:vertAlign w:val="superscript"/>
              </w:rPr>
              <w:t>(1)</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0.10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______________</w:t>
      </w:r>
    </w:p>
    <w:p>
      <w:pPr>
        <w:spacing w:after="0" w:line="8" w:lineRule="exact"/>
        <w:rPr>
          <w:sz w:val="20"/>
          <w:szCs w:val="20"/>
          <w:color w:val="auto"/>
        </w:rPr>
      </w:pPr>
    </w:p>
    <w:p>
      <w:pPr>
        <w:ind w:left="780" w:hanging="257"/>
        <w:spacing w:after="0" w:line="225" w:lineRule="auto"/>
        <w:tabs>
          <w:tab w:leader="none" w:pos="775"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Basic and diluted pro forma earnings per share attributable to common stockholders for the fiscal year ended January 31, 2025 and the six months ended July 31, 2025, gives effect to (i) the Capital Stock Conversion,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760"/>
          </w:cols>
          <w:pgMar w:left="300" w:top="209" w:right="8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692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69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80"/>
        <w:spacing w:after="0" w:line="284" w:lineRule="auto"/>
        <w:rPr>
          <w:sz w:val="20"/>
          <w:szCs w:val="20"/>
          <w:color w:val="auto"/>
        </w:rPr>
      </w:pPr>
      <w:r>
        <w:rPr>
          <w:rFonts w:ascii="Arial" w:cs="Arial" w:eastAsia="Arial" w:hAnsi="Arial"/>
          <w:sz w:val="13"/>
          <w:szCs w:val="13"/>
          <w:color w:val="auto"/>
        </w:rPr>
        <w:t xml:space="preserve">the Option Exercise, (iii) the RSU Net Settlement, (iv) the SAFE Settlement, and (v) the sale and issuance by us of </w:t>
      </w:r>
      <w:r>
        <w:rPr>
          <w:rFonts w:ascii="Arial" w:cs="Arial" w:eastAsia="Arial" w:hAnsi="Arial"/>
          <w:sz w:val="14"/>
          <w:szCs w:val="14"/>
          <w:color w:val="auto"/>
        </w:rPr>
        <w:t>21,468,038</w:t>
      </w:r>
      <w:r>
        <w:rPr>
          <w:rFonts w:ascii="Arial" w:cs="Arial" w:eastAsia="Arial" w:hAnsi="Arial"/>
          <w:sz w:val="13"/>
          <w:szCs w:val="13"/>
          <w:color w:val="auto"/>
        </w:rPr>
        <w:t xml:space="preserve"> shares of our common stock in this offering, each as though it had occurred as of the beginning of the period.</w:t>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Consolidated Balance Sheet Data</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57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As of July 31, 2025</w:t>
            </w:r>
          </w:p>
        </w:tc>
        <w:tc>
          <w:tcPr>
            <w:tcW w:w="8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222"/>
        </w:trPr>
        <w:tc>
          <w:tcPr>
            <w:tcW w:w="5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Actual</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4"/>
              <w:spacing w:after="0"/>
              <w:rPr>
                <w:sz w:val="20"/>
                <w:szCs w:val="20"/>
                <w:color w:val="auto"/>
              </w:rPr>
            </w:pPr>
            <w:r>
              <w:rPr>
                <w:rFonts w:ascii="Arial" w:cs="Arial" w:eastAsia="Arial" w:hAnsi="Arial"/>
                <w:sz w:val="11"/>
                <w:szCs w:val="11"/>
                <w:b w:val="1"/>
                <w:bCs w:val="1"/>
                <w:color w:val="auto"/>
                <w:w w:val="97"/>
              </w:rPr>
              <w:t xml:space="preserve">Pro Forma </w:t>
            </w:r>
            <w:r>
              <w:rPr>
                <w:rFonts w:ascii="Arial" w:cs="Arial" w:eastAsia="Arial" w:hAnsi="Arial"/>
                <w:sz w:val="14"/>
                <w:szCs w:val="14"/>
                <w:b w:val="1"/>
                <w:bCs w:val="1"/>
                <w:color w:val="auto"/>
                <w:w w:val="97"/>
                <w:vertAlign w:val="superscript"/>
              </w:rPr>
              <w:t>(1)</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Pro Forma As</w:t>
            </w:r>
            <w:r>
              <w:rPr>
                <w:rFonts w:ascii="Arial" w:cs="Arial" w:eastAsia="Arial" w:hAnsi="Arial"/>
                <w:sz w:val="14"/>
                <w:szCs w:val="14"/>
                <w:b w:val="1"/>
                <w:bCs w:val="1"/>
                <w:color w:val="auto"/>
                <w:w w:val="90"/>
                <w:vertAlign w:val="subscript"/>
              </w:rPr>
              <w:t>(3)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 xml:space="preserve">Adjusted </w:t>
            </w:r>
            <w:r>
              <w:rPr>
                <w:rFonts w:ascii="Arial" w:cs="Arial" w:eastAsia="Arial" w:hAnsi="Arial"/>
                <w:sz w:val="14"/>
                <w:szCs w:val="14"/>
                <w:b w:val="1"/>
                <w:bCs w:val="1"/>
                <w:color w:val="auto"/>
                <w:w w:val="94"/>
                <w:vertAlign w:val="superscript"/>
              </w:rPr>
              <w:t>(2)</w:t>
            </w:r>
          </w:p>
        </w:tc>
      </w:tr>
      <w:tr>
        <w:trPr>
          <w:trHeight w:val="180"/>
        </w:trPr>
        <w:tc>
          <w:tcPr>
            <w:tcW w:w="5780" w:type="dxa"/>
            <w:vAlign w:val="bottom"/>
          </w:tcPr>
          <w:p>
            <w:pPr>
              <w:ind w:left="20"/>
              <w:spacing w:after="0"/>
              <w:rPr>
                <w:sz w:val="20"/>
                <w:szCs w:val="20"/>
                <w:color w:val="auto"/>
              </w:rPr>
            </w:pPr>
            <w:r>
              <w:rPr>
                <w:rFonts w:ascii="Arial" w:cs="Arial" w:eastAsia="Arial" w:hAnsi="Arial"/>
                <w:sz w:val="11"/>
                <w:szCs w:val="11"/>
                <w:b w:val="1"/>
                <w:bCs w:val="1"/>
                <w:color w:val="auto"/>
              </w:rPr>
              <w:t>Consolidated Balance Sheet Data:</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1"/>
                <w:szCs w:val="11"/>
                <w:b w:val="1"/>
                <w:bCs w:val="1"/>
                <w:i w:val="1"/>
                <w:iCs w:val="1"/>
                <w:color w:val="auto"/>
              </w:rPr>
              <w:t>(in thousands)</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222,749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426,571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481,792</w:t>
            </w:r>
          </w:p>
        </w:tc>
      </w:tr>
      <w:tr>
        <w:trPr>
          <w:trHeight w:val="179"/>
        </w:trPr>
        <w:tc>
          <w:tcPr>
            <w:tcW w:w="5780" w:type="dxa"/>
            <w:vAlign w:val="bottom"/>
          </w:tcPr>
          <w:p>
            <w:pPr>
              <w:ind w:left="20"/>
              <w:spacing w:after="0"/>
              <w:rPr>
                <w:sz w:val="20"/>
                <w:szCs w:val="20"/>
                <w:color w:val="auto"/>
              </w:rPr>
            </w:pPr>
            <w:r>
              <w:rPr>
                <w:rFonts w:ascii="Arial" w:cs="Arial" w:eastAsia="Arial" w:hAnsi="Arial"/>
                <w:sz w:val="14"/>
                <w:szCs w:val="14"/>
                <w:color w:val="auto"/>
              </w:rPr>
              <w:t>Cash segregated and on deposit for regulatory purposes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10,850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10,850</w:t>
            </w:r>
          </w:p>
        </w:tc>
      </w:tr>
      <w:tr>
        <w:trPr>
          <w:trHeight w:val="179"/>
        </w:trPr>
        <w:tc>
          <w:tcPr>
            <w:tcW w:w="5780" w:type="dxa"/>
            <w:vAlign w:val="bottom"/>
            <w:shd w:val="clear" w:color="auto" w:fill="CCEEFF"/>
          </w:tcPr>
          <w:p>
            <w:pPr>
              <w:ind w:left="20"/>
              <w:spacing w:after="0" w:line="179" w:lineRule="exact"/>
              <w:rPr>
                <w:sz w:val="20"/>
                <w:szCs w:val="20"/>
                <w:color w:val="auto"/>
              </w:rPr>
            </w:pPr>
            <w:r>
              <w:rPr>
                <w:rFonts w:ascii="Arial" w:cs="Arial" w:eastAsia="Arial" w:hAnsi="Arial"/>
                <w:sz w:val="14"/>
                <w:szCs w:val="14"/>
                <w:color w:val="auto"/>
              </w:rPr>
              <w:t xml:space="preserve">Working capital </w:t>
            </w:r>
            <w:r>
              <w:rPr>
                <w:rFonts w:ascii="Arial" w:cs="Arial" w:eastAsia="Arial" w:hAnsi="Arial"/>
                <w:sz w:val="18"/>
                <w:szCs w:val="18"/>
                <w:color w:val="auto"/>
                <w:vertAlign w:val="superscript"/>
              </w:rPr>
              <w:t>(4)</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340,755</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392,378</w:t>
            </w:r>
          </w:p>
        </w:tc>
      </w:tr>
      <w:tr>
        <w:trPr>
          <w:trHeight w:val="179"/>
        </w:trPr>
        <w:tc>
          <w:tcPr>
            <w:tcW w:w="578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50,467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50,467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50,467</w:t>
            </w:r>
          </w:p>
        </w:tc>
      </w:tr>
      <w:tr>
        <w:trPr>
          <w:trHeight w:val="179"/>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851,435</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903,058</w:t>
            </w:r>
          </w:p>
        </w:tc>
      </w:tr>
      <w:tr>
        <w:trPr>
          <w:trHeight w:val="179"/>
        </w:trPr>
        <w:tc>
          <w:tcPr>
            <w:tcW w:w="578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336,056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648,690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448,690</w:t>
            </w:r>
          </w:p>
        </w:tc>
      </w:tr>
      <w:tr>
        <w:trPr>
          <w:trHeight w:val="179"/>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578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84,359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202,745</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454,368</w:t>
            </w:r>
          </w:p>
        </w:tc>
      </w:tr>
    </w:tbl>
    <w:p>
      <w:pPr>
        <w:spacing w:after="0" w:line="4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______________</w:t>
      </w:r>
    </w:p>
    <w:p>
      <w:pPr>
        <w:spacing w:after="0" w:line="17" w:lineRule="exact"/>
        <w:rPr>
          <w:sz w:val="20"/>
          <w:szCs w:val="20"/>
          <w:color w:val="auto"/>
        </w:rPr>
      </w:pPr>
    </w:p>
    <w:p>
      <w:pPr>
        <w:jc w:val="both"/>
        <w:ind w:left="780" w:hanging="257"/>
        <w:spacing w:after="0" w:line="250" w:lineRule="auto"/>
        <w:tabs>
          <w:tab w:leader="none" w:pos="775" w:val="left"/>
        </w:tabs>
        <w:numPr>
          <w:ilvl w:val="0"/>
          <w:numId w:val="31"/>
        </w:numPr>
        <w:rPr>
          <w:rFonts w:ascii="Arial" w:cs="Arial" w:eastAsia="Arial" w:hAnsi="Arial"/>
          <w:sz w:val="15"/>
          <w:szCs w:val="15"/>
          <w:color w:val="auto"/>
          <w:vertAlign w:val="superscript"/>
        </w:rPr>
      </w:pPr>
      <w:r>
        <w:rPr>
          <w:rFonts w:ascii="Arial" w:cs="Arial" w:eastAsia="Arial" w:hAnsi="Arial"/>
          <w:sz w:val="12"/>
          <w:szCs w:val="12"/>
          <w:color w:val="auto"/>
        </w:rPr>
        <w:t xml:space="preserve">The pro forma column above reflects (i) the Capital Stock Conversion, the Option Exercise, the RSU Net Settlement, and the SAFE Settlement, as if each had occurred on July 31, 2025, (ii) the filing and effectiveness of our restated certificate of incorporation that will become effective immediately prior to the completion of this offering, (iii) the borrowing of an aggregate of $200.0 million under the Revolving Credit Facility prior to the expected effective date of the registration statement of which this prospectus forms a part to pay the estimated tax withholding and remittance obligations in connection with the RSU Net Settlement, and (iv) the related $312.6 million net increase in total liabilities resulting from (a) the borrowing of $200.0 million from the Revolving Credit Facility, (b) </w:t>
      </w:r>
      <w:r>
        <w:rPr>
          <w:rFonts w:ascii="Arial" w:cs="Arial" w:eastAsia="Arial" w:hAnsi="Arial"/>
          <w:sz w:val="12"/>
          <w:szCs w:val="12"/>
          <w:color w:val="auto"/>
          <w:highlight w:val="white"/>
        </w:rPr>
        <w:t>$119.7 million</w:t>
      </w:r>
      <w:r>
        <w:rPr>
          <w:rFonts w:ascii="Arial" w:cs="Arial" w:eastAsia="Arial" w:hAnsi="Arial"/>
          <w:sz w:val="12"/>
          <w:szCs w:val="12"/>
          <w:color w:val="auto"/>
        </w:rPr>
        <w:t xml:space="preserve"> tax withholding and remittance obligations associated with the RSU Net Settlement, offset by</w:t>
      </w:r>
    </w:p>
    <w:p>
      <w:pPr>
        <w:spacing w:after="0" w:line="2" w:lineRule="exact"/>
        <w:rPr>
          <w:rFonts w:ascii="Arial" w:cs="Arial" w:eastAsia="Arial" w:hAnsi="Arial"/>
          <w:sz w:val="15"/>
          <w:szCs w:val="15"/>
          <w:color w:val="auto"/>
          <w:vertAlign w:val="superscript"/>
        </w:rPr>
      </w:pPr>
    </w:p>
    <w:p>
      <w:pPr>
        <w:jc w:val="both"/>
        <w:ind w:left="780" w:hanging="5"/>
        <w:spacing w:after="0" w:line="262" w:lineRule="auto"/>
        <w:tabs>
          <w:tab w:leader="none" w:pos="986" w:val="left"/>
        </w:tabs>
        <w:numPr>
          <w:ilvl w:val="1"/>
          <w:numId w:val="31"/>
        </w:numPr>
        <w:rPr>
          <w:rFonts w:ascii="Arial" w:cs="Arial" w:eastAsia="Arial" w:hAnsi="Arial"/>
          <w:sz w:val="12"/>
          <w:szCs w:val="12"/>
          <w:color w:val="auto"/>
        </w:rPr>
      </w:pPr>
      <w:r>
        <w:rPr>
          <w:rFonts w:ascii="Arial" w:cs="Arial" w:eastAsia="Arial" w:hAnsi="Arial"/>
          <w:sz w:val="12"/>
          <w:szCs w:val="12"/>
          <w:color w:val="auto"/>
        </w:rPr>
        <w:t>a $7.1 million liability decrease in connection with the SAFE Settlement, and the $118.4 million increase in additional paid-in capital resulting from (I) $227.2 million in connection with the Capital Stock Conversion, (II) $3.8 million of selling stockholders proceeds from the Option Exercise, (III) $7.1 million in connection with the SAFE Settlement, (IV) offset by $74.9 million decrease resulting from the RSU Net Settlement and the related estimated tax withholding and remittance obligations, and (V) $44.9 million stock-based compensation expense related to RSUs for which the time-based and performance-based vesting conditions were satisfied in connection with this offering.</w:t>
      </w:r>
    </w:p>
    <w:p>
      <w:pPr>
        <w:jc w:val="both"/>
        <w:ind w:left="780" w:hanging="257"/>
        <w:spacing w:after="0" w:line="230" w:lineRule="auto"/>
        <w:tabs>
          <w:tab w:leader="none" w:pos="775"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The pro forma as adjusted column above gives effect to (i) the pro forma adjustments set forth in footnote (1) above and (ii) the sale and issuance by us of 21,468,038 shares of our common stock in this offering, based upon the assumed initial public offering price of $13.00 per share, which is the midpoint of the offering price range set forth on the cover page of this prospectus, and after deducting estimated underwriting discounts and commissions and estimated offering expenses payable by us, and (iii) the application of the net proceeds from this offering to repay the entire amount outstanding under the Revolving Credit Facility.</w:t>
      </w:r>
    </w:p>
    <w:p>
      <w:pPr>
        <w:jc w:val="both"/>
        <w:ind w:left="780" w:hanging="257"/>
        <w:spacing w:after="0" w:line="238" w:lineRule="auto"/>
        <w:tabs>
          <w:tab w:leader="none" w:pos="775"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Each $1.00 increase (decrease) in the assumed initial public offering price of $13.00 per share, which is the midpoint of the offering price range set forth on the cover page of this prospectus, would increase (decrease) the amount of our pro forma as adjusted cash and cash equivalents, working capital, total assets, additional paid-in capital, and total stockholders’ equity by $20.1 million, assuming that the number of shares of our common stock offered by us, as set forth on the cover page of this prospectus, remains the same, after deducting estimated underwriting discounts and commissions payable by us. An increase (decrease) of 1.0 million shares in the number of shares offered by us would increase (decrease) the amount of our pro forma as adjusted cash and cash equivalents, working capital, total assets, additional paid-in capital, and total stockholders’ equity by $12.2 million, assuming the assumed initial public offering of $13.00 per share, and after deducting estimated underwriting discounts and commissions payable by us. Each $1.00 increase (decrease) in the assumed initial public offering price of $13.00 per share, which is the midpoint of the offering price range set forth on the cover page of this prospectus, would increase (decrease) the amount of estimated tax withholding and remittance obligations related to the RSU Net Settlement by $9.1 million. In addition, each 1.0% increase (decrease) in the assumed tax withholding rates would increase (decrease) the amount of estimated tax withholding and remittance obligations related to the RSU Net Settlement by $1.2 million. Pro forma adjustments in the footnotes above and the related information in the balance sheet data are illustrative only and may differ from actual amounts based on, among other things, the actual initial public offering price and other terms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760"/>
          </w:cols>
          <w:pgMar w:left="300" w:top="209" w:right="8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8515" cy="4345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434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80"/>
        <w:spacing w:after="0"/>
        <w:rPr>
          <w:sz w:val="20"/>
          <w:szCs w:val="20"/>
          <w:color w:val="auto"/>
        </w:rPr>
      </w:pPr>
      <w:r>
        <w:rPr>
          <w:rFonts w:ascii="Arial" w:cs="Arial" w:eastAsia="Arial" w:hAnsi="Arial"/>
          <w:sz w:val="13"/>
          <w:szCs w:val="13"/>
          <w:color w:val="auto"/>
        </w:rPr>
        <w:t>determined at pricing, the actual tax withholding rates, as well as the actual amount of RSUs settled in connection with this offering.</w:t>
      </w:r>
    </w:p>
    <w:p>
      <w:pPr>
        <w:ind w:left="760" w:hanging="237"/>
        <w:spacing w:after="0" w:line="227" w:lineRule="auto"/>
        <w:tabs>
          <w:tab w:leader="none" w:pos="760" w:val="left"/>
        </w:tabs>
        <w:numPr>
          <w:ilvl w:val="0"/>
          <w:numId w:val="32"/>
        </w:numPr>
        <w:rPr>
          <w:rFonts w:ascii="Arial" w:cs="Arial" w:eastAsia="Arial" w:hAnsi="Arial"/>
          <w:sz w:val="16"/>
          <w:szCs w:val="16"/>
          <w:color w:val="auto"/>
          <w:vertAlign w:val="superscript"/>
        </w:rPr>
      </w:pPr>
      <w:r>
        <w:rPr>
          <w:rFonts w:ascii="Arial" w:cs="Arial" w:eastAsia="Arial" w:hAnsi="Arial"/>
          <w:sz w:val="13"/>
          <w:szCs w:val="13"/>
          <w:color w:val="auto"/>
        </w:rPr>
        <w:t>Working capital is defined as current assets less current liabilities.</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Key Business Metrics and Non-GAAP Financial Measures</w:t>
      </w:r>
    </w:p>
    <w:p>
      <w:pPr>
        <w:spacing w:after="0" w:line="133" w:lineRule="exact"/>
        <w:rPr>
          <w:sz w:val="20"/>
          <w:szCs w:val="20"/>
          <w:color w:val="auto"/>
        </w:rPr>
      </w:pPr>
    </w:p>
    <w:p>
      <w:pPr>
        <w:jc w:val="both"/>
        <w:ind w:left="520"/>
        <w:spacing w:after="0" w:line="254" w:lineRule="auto"/>
        <w:rPr>
          <w:sz w:val="20"/>
          <w:szCs w:val="20"/>
          <w:color w:val="auto"/>
        </w:rPr>
      </w:pPr>
      <w:r>
        <w:rPr>
          <w:rFonts w:ascii="Arial" w:cs="Arial" w:eastAsia="Arial" w:hAnsi="Arial"/>
          <w:sz w:val="14"/>
          <w:szCs w:val="14"/>
          <w:color w:val="auto"/>
        </w:rPr>
        <w:t>We review a number of operating and financial metrics, including the following key business metrics and financial measures not calculated in accordance with U.S. Generally Accepted Accounting Principles (“GAAP”) to evaluate and manage our business, measure our performance, identify trends affecting our business, formulate business plans, and make strategic decisions. We believe that these non-GAAP financial measures (noted in the “Non-GAAP Financial Measures” table below), when taken collectively, may be helpful to investors because they allow for greater transparency into what measures we use in operating our business and measuring our performance and enable comparison of financial trends and results between periods where items may vary independent of business performance. These non-GAAP financial measures are presented for supplemental informational purposes only, should not be considered a substitute for financial information presented in accordance with GAAP, and may be different from similarly titled non-GAAP measures used by other companies. See the sections titled “Management’s Discussion and Analysis of Financial Condition and Results of Operations—Key Business Metrics” for additional information regarding our key business metrics and “Management’s Discussion and Analysis of Financial Condition and Results of Operations—Non-GAAP Financial Measures” for additional information and reconciliations of our non-GAAP financial measures to the most directly comparable financial measures prepared in accordance with GAAP.</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Key Business Metrics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1"/>
                <w:szCs w:val="11"/>
                <w:b w:val="1"/>
                <w:bCs w:val="1"/>
                <w:color w:val="auto"/>
              </w:rPr>
              <w:t>Fiscal Year Ended January 31,</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6"/>
          </w:tcPr>
          <w:p>
            <w:pPr>
              <w:jc w:val="right"/>
              <w:ind w:right="693"/>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0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2025</w:t>
            </w:r>
          </w:p>
        </w:tc>
      </w:tr>
      <w:tr>
        <w:trPr>
          <w:trHeight w:val="16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Platform assets ($ millions)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57,601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80,175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71,360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88,175</w:t>
            </w:r>
          </w:p>
        </w:tc>
      </w:tr>
      <w:tr>
        <w:trPr>
          <w:trHeight w:val="179"/>
        </w:trPr>
        <w:tc>
          <w:tcPr>
            <w:tcW w:w="4020" w:type="dxa"/>
            <w:vAlign w:val="bottom"/>
          </w:tcPr>
          <w:p>
            <w:pPr>
              <w:ind w:left="260"/>
              <w:spacing w:after="0"/>
              <w:rPr>
                <w:sz w:val="20"/>
                <w:szCs w:val="20"/>
                <w:color w:val="auto"/>
              </w:rPr>
            </w:pPr>
            <w:r>
              <w:rPr>
                <w:rFonts w:ascii="Arial" w:cs="Arial" w:eastAsia="Arial" w:hAnsi="Arial"/>
                <w:sz w:val="14"/>
                <w:szCs w:val="14"/>
                <w:color w:val="auto"/>
              </w:rPr>
              <w:t>Cash management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4"/>
                <w:szCs w:val="14"/>
                <w:color w:val="auto"/>
              </w:rPr>
              <w:t>29,361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42,411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38,085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46,579</w:t>
            </w:r>
          </w:p>
        </w:tc>
      </w:tr>
      <w:tr>
        <w:trPr>
          <w:trHeight w:val="179"/>
        </w:trPr>
        <w:tc>
          <w:tcPr>
            <w:tcW w:w="4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Investment advisory</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28,240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37,764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33,275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41,596</w:t>
            </w:r>
          </w:p>
        </w:tc>
      </w:tr>
      <w:tr>
        <w:trPr>
          <w:trHeight w:val="210"/>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deposits ($ millions)</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20,858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17,714</w:t>
            </w: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10,653</w:t>
            </w:r>
          </w:p>
        </w:tc>
        <w:tc>
          <w:tcPr>
            <w:tcW w:w="420" w:type="dxa"/>
            <w:vAlign w:val="bottom"/>
            <w:gridSpan w:val="3"/>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5,452</w:t>
            </w:r>
          </w:p>
        </w:tc>
      </w:tr>
      <w:tr>
        <w:trPr>
          <w:trHeight w:val="210"/>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Funded clients (thousands)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r>
      <w:tr>
        <w:trPr>
          <w:trHeight w:val="336"/>
        </w:trPr>
        <w:tc>
          <w:tcPr>
            <w:tcW w:w="4020" w:type="dxa"/>
            <w:vAlign w:val="bottom"/>
          </w:tcPr>
          <w:p>
            <w:pPr>
              <w:spacing w:after="0"/>
              <w:rPr>
                <w:sz w:val="20"/>
                <w:szCs w:val="20"/>
                <w:color w:val="auto"/>
              </w:rPr>
            </w:pPr>
            <w:r>
              <w:rPr>
                <w:rFonts w:ascii="Arial" w:cs="Arial" w:eastAsia="Arial" w:hAnsi="Arial"/>
                <w:sz w:val="14"/>
                <w:szCs w:val="14"/>
                <w:b w:val="1"/>
                <w:bCs w:val="1"/>
                <w:i w:val="1"/>
                <w:iCs w:val="1"/>
                <w:color w:val="auto"/>
              </w:rPr>
              <w:t>Non-GAAP Financial Measures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5"/>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8"/>
          </w:tcPr>
          <w:p>
            <w:pPr>
              <w:jc w:val="right"/>
              <w:ind w:right="800"/>
              <w:spacing w:after="0"/>
              <w:rPr>
                <w:sz w:val="20"/>
                <w:szCs w:val="20"/>
                <w:color w:val="auto"/>
              </w:rPr>
            </w:pPr>
            <w:r>
              <w:rPr>
                <w:rFonts w:ascii="Arial" w:cs="Arial" w:eastAsia="Arial" w:hAnsi="Arial"/>
                <w:sz w:val="11"/>
                <w:szCs w:val="11"/>
                <w:b w:val="1"/>
                <w:bCs w:val="1"/>
                <w:color w:val="auto"/>
              </w:rPr>
              <w:t>Fiscal Year Ended January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6"/>
          </w:tcPr>
          <w:p>
            <w:pPr>
              <w:jc w:val="right"/>
              <w:ind w:right="753"/>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0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2025</w:t>
            </w:r>
          </w:p>
        </w:tc>
      </w:tr>
      <w:tr>
        <w:trPr>
          <w:trHeight w:val="180"/>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7"/>
          </w:tcPr>
          <w:p>
            <w:pPr>
              <w:jc w:val="right"/>
              <w:ind w:right="7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102,962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142,688</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71,212</w:t>
            </w: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82,663</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46 %</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760"/>
          </w:cols>
          <w:pgMar w:left="300" w:top="209" w:right="839" w:bottom="1440"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1054100</wp:posOffset>
            </wp:positionH>
            <wp:positionV relativeFrom="page">
              <wp:posOffset>288925</wp:posOffset>
            </wp:positionV>
            <wp:extent cx="5447030" cy="70491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447030" cy="704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 FACTORS</w:t>
      </w:r>
    </w:p>
    <w:p>
      <w:pPr>
        <w:spacing w:after="0" w:line="135" w:lineRule="exact"/>
        <w:rPr>
          <w:sz w:val="20"/>
          <w:szCs w:val="20"/>
          <w:color w:val="auto"/>
        </w:rPr>
      </w:pPr>
    </w:p>
    <w:p>
      <w:pPr>
        <w:jc w:val="both"/>
        <w:ind w:firstLine="505"/>
        <w:spacing w:after="0" w:line="257"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and uncertainties described below, together with all of the other information in this prospectus, before making a decision to invest in our common stock. If any of the following risks occur, our business, operating results, financial condition, and future growth prospects could be materially and adversely affected. In that event, the market price of our common stock could decline, and you could lose all or a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 See the section titled “Special Note Regarding Forward-Looking Statements” for additional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experienced historical growth and we expect to continue to invest broadly across our organization to support our growth. Our revenue was $ 216.7 million and $ 308.9 million for the fiscal years ended January 31, 2024 and 2025, respectively, and $145.9 million and $175.6 million for the six months ended July 31, 2024 and 2025, respectively. Our number of employees has grown from 246 as of July 31, 2023 to 359 as of July 31, 2025. Although we have experienced growth in the past, we may not sustain our current growth rates, and we cannot assure you that our investments to support our growth will be successful. Even if our revenue continues to increase, we expect our revenue growth rate to decline in the future as our business matures and our platform achieves more widespread adoption. Accordingly, our historical growth makes it difficult to evaluate our business and future prospects and you should not rely on the revenue growth of any prior quarterly or annual period as an indication of our future performance. Overall growth of our revenue will depend on a number of factors, including, but not limited to, our ability to:</w:t>
      </w:r>
    </w:p>
    <w:p>
      <w:pPr>
        <w:spacing w:after="0" w:line="101" w:lineRule="exact"/>
        <w:rPr>
          <w:sz w:val="20"/>
          <w:szCs w:val="20"/>
          <w:color w:val="auto"/>
        </w:rPr>
      </w:pPr>
    </w:p>
    <w:p>
      <w:pPr>
        <w:ind w:left="500" w:hanging="244"/>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adapt to changing macroeconomic conditions, including through introducing new products and services;</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compete with other companies in our industry, including, but not limited to, those with more industry experience, greater name and brand recognition, and greater financial, technical, marketing, sales, and other resources, as well as with startup companies with innovative and novel products and services that compete with ours;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retain and increase adoption of our platform, products, and services by existing clients, as well as attract new clients and grow our client base;</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develop new, and successfully optimize our existing, products and services;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successfully expand our business domestically;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successfully enter into partnerships to enhance our business, products, and services;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successfully hire and retain personnel;</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increase awareness of our brand; and</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successfully identify and acquire or invest in businesses, partnerships, products, offerings, or technologies that we believe could complement or expand our platform and successfully integrate such businesses, products, offerings, or technologies into our business.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209"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may not successfully accomplish any of these objectives and, as a result, it is difficult for us to accurately forecast our future operating results. If the assumptions that we use to plan our business are incorrect or change in reaction to changes in our markets, we may be unable to maintain consistent revenue or revenue growth, the value of our stock could be volatile, and it may be difficult to maintain profitability. We base our expense levels and the growth of our platform assets on estimates. We have made significant investment in the growth of our business and, if that investment is not sufficient, we may not be able to adjust our spending quickly enough if our revenue is less than expected. In addition, we have observed in the past changes in our clients’ investment behaviors on our platform that coincide with global events. Changes in the global macroeconomic environment, including changes in tariffs or trade restrictions, volatile interest rates and inflation, actual or perceived global banking and finance related issues, labor shortages, high unemployment rates, labor displacement, supply chain disruptions, changes in investment and spending environments, geopolitical instability, warfare and uncertainty, including the effects of geopolitical conflicts, and weak economic conditions, may result in market volatility and could impact our clients’ or potential clients’ willingness to invest, thus impacting our growth.</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cannot assure you that our investments to support our growth will be successful. Failure to manage our growth in an efficient and timely manner could result in difficulty or delays in attracting new clients, declines in the quality of our platform or client satisfaction with and demand for our platform, declines in our reputation and brand, increases in costs, difficulties in introducing new products and offerings or enhancing our platform, including difficulties identifying and managing added complexity to our organization, loss of clients, difficulties in attracting or retaining talent, or other operational difficulties, any of which could adversely impact our business, operating results, and financial condition.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addition, as we have grown, our offerings have also increased, and we have increasingly managed more complex financial products. The rapid growth and expansion of our business places a significant strain on our management, operational, engineering, and financial resources. To manage any future growth effectively, we must continue to improve and expand our infrastructure, including information technology and financial infrastructure, our operating and administrative systems and controls, and our ability to manage headcount, capital, and processes in an efficient manner. Failure to effectively upgrade our technology or network infrastructure to support the expected increased demand by clients and traffic volume could result in unanticipated system disruptions, slow response times, and poor experiences for clients, and could materially affect our business, operating results, and financial condition and affect our reputation and brand. Our platform, products, and services, and the technology and code on which our platform is built, are continually being modified, changed, updated, and improved, which could intentionally or unintentionally affect the performance of our operations. To manage the expected growth of our operations, technology, and personnel and to support financial reporting requirements, we will need to continually improve our transaction processing and reporting, operational and financial systems, procedures, and controls. These improvements will be particularly challenging as we expand our platform, product, and service offerings. Further, as we grow, our existing systems, processes, and controls may not prevent or detect all errors, omissions, or fraud. Any future growth will continue to add complexity to our organization and require effective coordination throughout our organization. Our current and planned personnel, systems, procedures, and controls may not be adequate to support our future operations. If we do not manage future growth effectively, our business, operating results, and financial condition would be adversely impacted.</w:t>
      </w:r>
    </w:p>
    <w:p>
      <w:pPr>
        <w:spacing w:after="0" w:line="11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have a limited operating history with certain of our products and services, which makes it difficult to evaluate our current business and future prospects and increases the risks associated with an investment in our common stock.</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added, and intend to add in the future, products and features to our platform and have entered into partnerships that are designed to drive asset and revenue growth, and we intend to promote the usage of these offerings through marketing and promotion. For example, in May 2024, we launched our Automated Bond Ladder and in December 2024, we launched our new S&amp;P 500 Direct portfolio. There can be no assurance that these new products and services will be effective, and any new products or services could fail to attract clients, generate revenue, perform well, or integrate effectively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20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other offerings. We will incur costs, risks, and difficulties related to the introduction of new products and services, including challenges in financial planning associated with such new products and services and uncertainty with respect to client engagement. If the assumptions regarding the risks and uncertainties related to new products and services are incorrect or change, or if we do not address these risks successfully, our operating and financial results could differ materially from our expectations and our business, operating results, and financial condition could be adversely impacted, and we may not be able to maintain or increase our current rate of growth. In addition, developing our offerings, marketing new products and services, designing and implementing promotions to encourage product adoption, and forming new partnerships could have higher costs or otherwise require more resources than anticipated and could adversely impact our business, operating results, and financial condition or dilute our brand.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While we have recently achieved profitability, we have a history of net losses and there can be no guarantee that we will maintain profitability in the future.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Prior to the fiscal year ended January 31, 2024, we incurred losses each year since our incorporation in 2007. We achieved a net profit of $77.0 million and $194.4 million in the fiscal years ended January 31, 2024 and 2025, respectively, and $ 132.3 million and $60.7 million for the six months ended July 31, 2024 and 2025, respectively, and had an accumulated deficit of approximately $39.2 million as of July 31, 2025. We expect our operating expenses to increase in the future, including our general and administrative expenses as a result of increased costs associated with operating as a public company and as we continue to invest for our future growth, including investing in our operating infrastructure, developing our platform, products, and services, investing in research and development, and expanding our marketing activity. As a result of these efforts, there is no guarantee that we will be able to maintain profitability in future periods at the same level or at all. Further, these anticipated increases in operating expenses will negatively affect our operating results if our total revenue does not increase.</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The amount of our platform assets is subject to significant fluctuations. Fluctuations in the amount of our platform assets may be attributable in part to market conditions outside of our control that have had, and in the future could have, an adverse impact on our business, operating results, and financial condition.</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currently derive substantially all of our revenue from providing investment and cash management-related products and services to our clients. The level of our revenue depends largely on the level of our platform assets, and our investment advisory fee is based in part on a variable percentage of the value of our clients’ accounts. Any decrease in the value or amount of our platform assets or Cash Account assets because of market volatility or other factors, such as a decline in stock prices, change in the level of interest rates, or new competitive dynamics, would negatively impact our business, operating results, and financial condition.</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are subject to significant risk of asset volatility from changes in the domestic and global financial, equity, and debt markets. In recent years, the domestic and global financial, equity, and debt markets have experienced substantial volatility. In this regard, such markets may be adversely affected by financial, economic, political, diplomatic, or other instabilities that are particular to the country or region in which a market is located, including changes in tariffs or trade restrictions, acts of terrorism, economic crises, political protests, insurrection, or other business, social, or political crises. Furthermore, global economic conditions, exacerbated by changes in tariffs or trade restrictions; changes in currency exchange rates, interest rates, inflation rates or the yield curve; war; terrorism; natural disasters; financial crises; pandemics; changes in the equity and debt marketplaces; defaults by trading counterparties; bond defaults; revaluation and bond market liquidity risks; other geopolitical risks; the imposition of economic sanctions; and other factors that are difficult to predict. If global economic conditions deteriorate, market values may decline and clients may decide to move their assets, resulting in a decline in the value of our platform assets and harming our business, operating results, and financial condition. For example, changes in financial market prices, currency exchange rates, or interest rates have caused, and could in the future cause, the value of our platform assets to decline, resulting in lower investment advisory fee and/or Cash Account fees. Changing market conditions could also cause an impairment to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20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intangible assets. Further, the portfolios we manage may be subject to liquidity risks or an unanticipated large number of withdrawals as a result of the events or conditions described above, causing the portfolios to sell securities they hold, possibly at a loss. In the event our platform assets decline significantly, our business, operating results, and financial condition could be adversely impacted.</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imposition of new tariffs, border taxes, or other barriers to trade may directly or indirectly impact our business, operating results, and financial condition and our stock price. For example, in 2025, the United States announced tariffs on imported goods from most countries. Such U.S. tariffs, and any new or additional retaliatory tariffs that may be imposed by other countries in response, may adversely affect our clients and, consequently, demand for our platform. Moreover, the announcement of these tariffs resulted in significant volatility in the stock market and temporarily resulted in a decrease in platform assets, but which fully recovered to pre-announcement levels within one month of the tariffs announcement. We are closely monitoring this evolving situation and there can be no assurance that we will be able to mitigate the impacts of any trade measures on our clients, which could adversely impact our business, operating results, and financial conditions and our stock price.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significant fluctuations in our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Our operating results and financial condition in any given quarter can be influenced by numerous factors, including the occurrence of any of the risks described elsewhere in this “Risk</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Factors” section, many of which we are unable to predict or are outside of our control. Factors contributing to quarterly fluctuations could include, among others:</w:t>
      </w:r>
    </w:p>
    <w:p>
      <w:pPr>
        <w:spacing w:after="0" w:line="119" w:lineRule="exact"/>
        <w:rPr>
          <w:sz w:val="20"/>
          <w:szCs w:val="20"/>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volatility or instability in global and/or domestic financial markets, as well as any resulting loss of market or client confidence and subsequent withdrawal of client funds;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general economic conditions, both domestically and internationally;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attract new clients and retain existing clients;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expand platform assets;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investing cycles and practices of our clients;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fluctuations in interest rates;</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timing and success of new product and service introductions by us or our competitors or any other change in the competitive landscape of the financial advisory services industry, including consolidation among our competitors;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our fee structure or those of our competitors;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and potential outcomes of ongoing or future regulatory investigations or examinations, or of future litigation;</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future changes in applicable laws, rules and regulations, including both securities and tax laws, rules and regulations, particularly those relating to investment advisers and broker-dealers;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or practices;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expansion of our business; and</w:t>
      </w:r>
    </w:p>
    <w:p>
      <w:pPr>
        <w:spacing w:after="0" w:line="133" w:lineRule="exact"/>
        <w:rPr>
          <w:rFonts w:ascii="Arial" w:cs="Arial" w:eastAsia="Arial" w:hAnsi="Arial"/>
          <w:sz w:val="14"/>
          <w:szCs w:val="14"/>
          <w:color w:val="auto"/>
        </w:rPr>
      </w:pPr>
    </w:p>
    <w:p>
      <w:pPr>
        <w:jc w:val="both"/>
        <w:ind w:left="500" w:hanging="244"/>
        <w:spacing w:after="0" w:line="268"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political, economic, and social instability, including due to changes in tariffs or trade restrictions, interest rate volatility, fluctuating rates of inflation, global economic slowdowns, actual or perceived global banking and finance related issues, potential uncertainty with respect to the federal debt ceiling and budget and potential government shutdowns related thereto,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20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disruptions, labor shortages, slowing population growth, and potential global recession, as well as terrorist activities and events such as global health pandemics.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experience seasonal fluctuations in our financial results as Cash Account assets typically decrease during the first fiscal quarter as compared to other quarters due to the timing of the U.S. tax payment deadline and related federal and state tax refunds. Moreover, any of the above discussed fluctuations could result in our failure to meet our operating plan or the expectations of investors or analysts for any period. If we fail to meet such expectations for the reasons described above or other reasons, our stock price could fall substantially, and we could face costly lawsuits, including securities class action lawsuits.</w:t>
      </w:r>
    </w:p>
    <w:p>
      <w:pPr>
        <w:spacing w:after="0" w:line="9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face intense competition, and we may be unable to compete effectively in our efforts to attract new clients and retain existing clients, which would adversely affect our business, operating results, and financial condition.</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Although we believe our platform, product, and service offerings are unique, we compete against a variety of companies within our industry to attract and retain clients. Our principal competitors include other automated investment advisers or “robo-advisers,” traditional and online brokers, banks, financial service companies, and investment management companies.</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principal competitive factors in our markets include product and service features, financial performance, support, fee structure, design, ease of use, and the breadth and competitiveness of offerings. Many of our existing competitors have, and some of our potential competitors could have, substantial competitive advantages such as:</w:t>
      </w:r>
    </w:p>
    <w:p>
      <w:pPr>
        <w:spacing w:after="0" w:line="79" w:lineRule="exact"/>
        <w:rPr>
          <w:sz w:val="20"/>
          <w:szCs w:val="20"/>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greater name and brand recognition;</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significant market share;</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longer operating histories and larger client bases;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larger marketing budgets and organizations;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more established marketing, banking, and compliance relationships;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stronger client support services;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greater resources to make acquisitions;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lower labor, personnel, and operational costs;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larger and more mature intellectual property portfolios;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substantially greater financial, technical, and other resources.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our industry is evolving rapidly and has become increasingly competitive, especially with the increase in market share captured by financial technology companies. In this environment, other companies could, and often do, launch new products and services that we do not offer and that could ultimately gain market acceptance more quickly than our platform, products, and services. When we introduce new products, we are often entering markets where established providers have greater experience, deeper industry knowledge, and more entrenched client and other material relationships, which may put us at a disadvantage as we seek to gain market share. Aggressive pricing by competitors could force us to reduce margins in order to remain competitive and our competitors could offer products or services at a price below ours or with an interest rate higher than ours, all of which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209"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cannot accurately predict new client engagement, continued engagement by existing clients, or expansion of existing client engagement, and the impact that such engagement levels may have on our future revenue and operating results.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order for us to improve our operating results and continue to grow our business, it is important that we continually attract new clients and that existing clients continue to use our platform and increase the amount that they invest on our platform. The amounts our clients invest on our platform may decline or fluctuate, and their decision to invest on our platform at all may be impacted, as a result of various factors, which may not be entirely within our control, including their satisfaction with our platform, products, and services and with our client support, the performance of their investments, interest rates offered to clients, our fee structure, our reputation and brand, competing products or services, the effects of domestic or global economic conditions, changes in our clients’ investment strategies, and reductions in our clients’ investible assets or investment levels. We may not be able to accurately predict future engagement trends. These difficulties in predicting and planning for client engagement may cause our revenue to grow more slowly than expected and may adversely impact our business, operating results, and financial condition.</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we are unable to maintain or increase our client base, platform assets, and client engagement, our business, operating results, and financial condition may be adversely affected. Any decrease in client retention, growth, or engagement could render our products and services less attractive to clients, which may negatively impact our revenue and could have a further adverse impact on our business, operating results, and financial condition.</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market for financial products and services is characterized by rapidly changing technologies, frequent new product and service introductions, and evolving industry standards. The rapid growth and intense competition in our industry exacerbate these market characteristics. We expect new services and technologies to continue to emerge and evolve, which may be superior to the products and services we currently provide, and we cannot predict the effects of new services and technologies on our business. Accordingly, our future success and our ability to attract new clients and retain existing clients will depend on our ability to adapt to rapidly changing technologies by continually improving the performance, features, and reliability of our platform, products, and services. We intend to invest over the long term in personnel and other resources related to our engineering, research and development, marketing, and platform support functions in connection with these improvements.</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Developing and incorporating new products and services into our business may require substantial expenditures, may take considerable time, and ultimately may not be successful. Our new products or services could fail to attract clients, generate revenue, perform or integrate well with our platform or other products and services or with third-party applications and platforms, or effectively compete with similar products offered by our competitors. Our success will depend, in part, on our ability to build scalable infrastructure, hire and retain experienced personnel, establish reliable processes and controls, and integrate appropriate technology systems. As we scale these capabilities, we may face risks associated with system performance, personnel oversight, and process execution. If we fail to manage these functions effectively or in compliance with applicable laws and regulations, whether due to human error, technology malfunctions, negligence, misconduct or other reasons, we may be unable to effectively launch or continue any such new product or be unable to complete, or be delayed in completing, transactions in connection therewith. Such failures could result in lost revenue, reputational harm, regulatory penalties, or, to the extent we sell loans or other assets, obligations to repurchase previously sold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20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are likely to recognize costs associated with our investments in new products or services earlier than most of the anticipated benefits, and the return on these investments may be lower, or may develop more slowly, than we expect, or may not develop at all. In addition, our ability to compete with other companies’ new products and services may be inhibited by regulatory requirements,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clients. As a result, we expect to expend significant costs and expenses to develop and upgrade our technical infrastructure to meet the evolving needs of the industry. If we are unable to develop and incorporate new offerings and adapt to technological changes and evolving industry practices in a timely or cost-effective manner, if we do not achieve the benefits anticipated from our planned developments and investments, or if the achievement of any expected benefits is delayed, our business, operating results, and financial condition may be adversely impacted.</w:t>
      </w:r>
    </w:p>
    <w:p>
      <w:pPr>
        <w:spacing w:after="0" w:line="10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fail to successfully develop, maintain, and enhance our brand, or if our reputation is harmed, our business, operating results, and financial condition could be adversely impacted.</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business and success depends on earning and maintaining the trust and confidence of clients, regulators, and other market participants, and on the value and reputation of our brand. The importance of our brand and name recognition will increase as competition further intensifies. Maintaining, promoting, and positioning our brand will largely depend on our ability to provide a consistent, high-quality, and secure experience on our platform; our clients’ satisfaction with the products and services, investment returns, fee structure, user experience, service and support and software updates that we provide; the success of our marketing efforts; and our ability to successfully secure, maintain and defend our intellectual property. If our efforts to develop, maintain, and enhance our brand and name identity do not succeed, our business, operating results, and financial condition may be adversely impacted.</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growth is heavily dependent on the willingness of our clients to provide good reviews and word-of-mouth recommendations. Criticism of or negative publicity about our company or our platform, products, and services could severely diminish consumer confidence in, and use of, our platform. If we do not respond effectively, clients and potential clients may lose confidence in our platform, products, and services, and our reputation may suffer. As a result of this criticism or any potential negative publicity, clients may reduce their investment on, or discontinue entirely their use of, our platform, clients may become less willing to provide positive reviews and recommendations of our products and services, we may have difficulty attracting new clients, and we may have to spend significantly more on marketing or advertising, each of which could adversely impact our business, operating results, and financial condition.</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Further, our reputation is vulnerable to many threats that can be difficult or impossible to control, or costly or impossible to remediate. Regulatory inquiries, investigations or findings of wrongdoing, intentional or unintentional misrepresentation of our products and services in regulatory filings, product literature, advertising materials, public relations information, social media or other external communications, operational failures (including portfolio management errors or cyber breaches), actions by our third-party partners, employee dishonesty, or other misconduct and rumors, among other things, can substantially damage our reputation, even if they are baseless or eventually satisfactorily addressed. Additionally, damage to our reputation, even if based on inaccurate information, may impact regulator confidence in our business and result in further regulatory inquiries or investigations by governmental authorities.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While we have policies, procedures, and controls that are designed to address and manage these risks, if any of our policies or procedures are inadequately designed or ineffective in practice, or our controls fail, our brand or reputation could be damaged. Any damage to our brand or reputation could impede our ability to attract and retain clients and key personnel, and lead to a reduction in the amount of our platform assets, any of which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209"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Any failure to securely store and manage our clients’ assets, or other software or equipment failures that may impair our ability to provide our services, could adversely affect our business, operating results, and financial condition.</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hold cash and securities at financial institutions in accounts designated as for the benefit of our clients and we maintain our own internal ledgering process with respect to such accounts. We have also entered into partnerships with third parties where we or our partners receive and hold client funds and securities. Our financial partners’ abilities to manage and accurately hold client cash and securities requires a high level of internal controls. We are limited in our ability to influence or manage the controls and processes of third-party partners or vendors and may be dependent on our partners’ and vendors’ operations, liquidity, and financial condition to manage the risk associated with managing or accurately holding client cash or securities. As we maintain, grow, and expand our product and services offerings we also must scale and strengthen our internal controls and processes, including maintenance and monitoring of client asset balances through our own internal ledgering process, and monitoring our third-party partners’ and vendors’ ability to similarly scale and strengthen. Failure to do so could adversely affect our business, operating results, and financial condition. This is important both to the actual controls and processes and the public perception of the same. Further, any material failure by us or our partners to maintain the necessary controls or to manage client assets and funds appropriately and in compliance with applicable regulatory requirements could result in reputational harm, litigation, regulatory enforcement actions, significant financial losses, lead clients to discontinue or reduce their use of our platform, products, and services, and result in significant penalties and fines and additional restrictions, which could adversely affect our business, operating results, and financial condition.</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security technology is designed to prevent, detect, and mitigate inappropriate access to our systems by internal or external threats. We believe we have developed and maintained administrative, technical, and physical measures designed to comply with applicable regulatory requirements and industry standards. However, it is nevertheless possible that hackers, employees, or service providers acting contrary to our policies or others could circumvent these measures to improperly access our systems or documents, or the systems or documents of our business partners, agents, or service providers, and improperly access, obtain, or misuse client assets and funds. The methods used to obtain unauthorized access, disable, or degrade service or sabotage systems are also constantly changing and evolving and may be difficult to anticipate or detect for long periods of time. Additionally, transactions undertaken through our websites or other electronic channels may create risks of fraud, hacking, unauthorized access or acquisition, and other deceptive practices. Any security incident resulting in a compromise of client assets could result in substantial costs to us and require us to notify impacted individuals, and in some cases regulators, of a possible or actual incident, expose us to regulatory enforcement actions, including substantial fines, limit our ability to provide services, subject us to litigation, significant financial losses, damage our reputation, and adversely affect our business, operating results, and financial condition. For additional risks regarding our security measures and cybersecurity incidents, see “—Our business could be materially and adversely affected by a cybersecurity breach or other attack involving our computer systems or data or those of our clients, our third-party service providers, or such service providers’ vendors.”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 each of Wealthfront Advisers LLC and Wealthfront Brokerage LLC delivers its investment advisory and brokerage services, respectively, exclusively through software or software-based tools. Although we rigorously design, develop, and test our software before deploying it for our advisory services and we periodically monitor the behaviors of our software after its deployment, it is possible that our software may not perform as intended, due to design error, implementation error, or otherwise. Furthermore, it is possible that clients, Wealthfront Advisers LLC, or Wealthfront Brokerage LLC may experience computer equipment failure, loss of internet access, viruses, or other events that may impair, limit, or prevent us or our clients from accessing or using our software-based advisory or brokerage services. We do not currently maintain an infrastructure to provide investment advisory services other than through our software enabled platform. As a result, the failure of Wealthfront Advisers LLC’s or Wealthfront Brokerage LLC’s software, computer equipment, internet access, viruses,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20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could have a material impact on our reputation, as well as our business, operating results, and financial condition. These risks may be heightened by the rapid growth and complexity of new software or software-based tools, evolving data sets and standards, and market volatility.</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directly and indirectly exposed to fluctuations in interest rates, and changing interest rate environments have in the past, and could in the future, impact our business, operating results, and financial condition.</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historically experienced, and expect to experience in the future, changes in our clients’ behavior and in our business due to changes in the interest rate environment. In the past, during periods of low interest rates, we have at times experienced declines in revenue from Cash Account fees received as clients move their assets out of their Cash Accounts. Additionally, if prevailing interest rates offered by our program banks decline more quickly than the interest rates we offer to our clients, our revenues from Cash Account fees will decline. Higher interest rates can result in clients moving cash out of investments. Moreover, high interest rates can lead to higher payment obligations for our clients with respect to mortgage, credit card, and other consumer and merchant loans, which could adversely impact our clients’ ability or willingness to invest through our platform. Changes to the level or mix of interest earning balances could also negatively impact our growth, as well as our business, operating results, and financial condition, if clients react to the interest rate environment by moving cash from our platform into non-Wealthfront accounts. In addition, a portion of our revenue comes from receivables from clients’ margin-borrowing activities, which are impacted by changes in prevailing interest rates. Reductions in interest rates, including the reductions implemented by the Federal Reserve since September 2024, have impacted our business and a return to a low interest rate environment could further impact our business, operating results,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growth depends in part on the success of our strategic relationships with our service providers and other third parties.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entered into strategic relationships with service providers and other third parties, including our clearing broker, program banks, deposit placement network, other banking partners, and various third-party vendors (such as wholesale lending partners, credit providers, appraisal companies, fraud prevention service providers, and document generation providers), in connection with the development, operation, and improvement of our platform, products, and services. Our future growth will depend on our ability to enter into and maintain successful strategic relationships with third parties, and these relationships may not result in additional clients, retention of existing clients, or increased investment levels from existing clients. Identifying suitable partners and vendors, as well as negotiating and documenting relationships with them requires significant time and resources. Our contracts for these relationships may be non-exclusive and may not prohibit the other party from working with our competitors or from offering competing products or services. If we are unsuccessful in establishing or maintaining our relationships with these third parties, or if these third parties fail to perform as expected, our ability to compete in the marketplace or to grow our revenue could be impaired and our business, operating results, and financial condition may be adversely impacted.</w:t>
      </w:r>
    </w:p>
    <w:p>
      <w:pPr>
        <w:spacing w:after="0" w:line="10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may require additional capital to satisfy our liquidity needs and support business growth and objectives, and this capital might not be available to us on reasonable terms, if at all, may result in stockholder dilution, or may be delayed or prohibited by applicable regulations.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Maintaining adequate liquidity is crucial to our securities brokerage operations, including key functions such as transaction settlement, custody requirements, and margin lending. We meet our liquidity needs primarily from working capital and cash generated from our platform, products, and services, as well as from external debt and equity financing. Increases in the number of clients, fluctuations in platform assets and related activity, as well as market conditions or changes in regulatory treatment of platform assets, may affect our ability to meet our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209"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reduction in our liquidity position could reduce our clients’ confidence in us, which could result in the withdrawal of client assets and loss of clients,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self-regulatory organizations (“SROs”) or state regulators, and could ultimately lead to the liquidation of our broker-dealer or other regulated entities. Factors which may adversely affect our liquidity positions include temporary liquidity demands due to changes in regulatory guidance or interpretations, other regulatory changes, a loss of market or client confidence resulting in fluctuations in cash held in client accounts, or a significant increase in our margin lending activities.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addition to requiring liquidity for our regulated businesses, we may also require additional capital to continue to support the growth of our business and respond to competitive challenges, including the need to promote our products and services, develop new products and services, enhance our existing technology, platform, products, and services, and acquire and invest in complementary businesses and technologies.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When available cash is not sufficient for our liquidity and growth needs, we may need to engage in equity or debt financings to secure additional funds. There can be no assurance that such additional funding will be available on terms attractive to us or at all, and our inability to obtain additional funding when needed could have an adverse effect on our business, operating results, and financial condition.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are unable to continue to successfully market our platform, it could negatively impact our ability to attract and onboard new clients and could adversely impact our business, operating results, and financial condition.</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Many new clients find our platform by searching for financial advisory services through internet search engines or from word-of-mouth or other personal recommendations. A critical factor in attracting new clients to our platform is how prominently we are displayed in response to search queries. Accordingly, we use search engine marketing to provide a significant portion of our visitor acquisition. Search engine marketing includes both paid acquisition on a cost-per-click basis and acquisition on an unpaid basis, often referred to as organic or algorithmic search. One method we employ to acquire clients through organic search is commonly known as search engine optimization (“SEO”). SEO involves deploying methods to rank high for search queries for which our website’s content may be relevant. Our competitors may be able to spend more money and resources to achieve better SEO discovery or other marketing results. If our platform is listed less prominently than those of our competitors or fails to appear in search result listings for any reason, it is likely that we will attract fewer visitors to our platform, which could adversely affect our business, operating results, and financial condition.</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also rely in large part on word-of-mouth marketing, including the use of incentives such as promotional rates and fee reductions, to encourage our existing clients to provide client referrals. To the extent our existing clients are unable or unwilling to refer others to our platform, whether due to complaints, dissatisfaction, or other factors that may be outside of our control (including macroeconomic factors which may lead to loss of client assets invested through our platform), our business, operating results, and financial condition would be adversely impacted. In addition, we use a broad mix of marketing and other brand-building measures to attract clients to our platform. We use television and online advertising, billboards, as well as third-party social media platforms as marketing tools. As these marketing channels continue to rapidly evolve or grow more competitive, we must continue to maintain a presence on these platforms and establish a presence on new or emerging popular social media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209"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advertising and marketing platforms. If we cannot cost effectively use these marketing tools, if we fail to promote our platform, products and services efficiently and effectively, or if our marketing campaigns attract negative media attention, our ability to acquire new clients and our financial condition may suffer and the price of our common stock could decline. In addition, an increase in the use of television, online, and social media for marketing may increase the burden on us to monitor compliance of such materials and increase the risk that such materials could contain problematic product or marketing claims in violation of applicable regulations.</w:t>
      </w:r>
    </w:p>
    <w:p>
      <w:pPr>
        <w:spacing w:after="0" w:line="9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Existing and future acquisitions, strategic investments, partnerships, or alliances could be difficult to identify and integrate, divert the attention of key management personnel, disrupt our business, dilute stockholder value, and adversely affect our business, operating results, and financial condition.</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part of our business strategy, we have in the past and may in the future acquire or make investments in complementary companies, services, products, technologies, or talent. For example, we recently completed an acquisition of Wealthfront Home Lending, LLC (f/k/a Unified National Mortgage LLC, d/b/a Afford Lending). All of our acquisitions and investments are subject to a risk of partial or total loss of investment capital. Our ability as an organization to acquire and integrate other companies, services, or technologies in a successful manner is not guaranteed.</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future, we may not be able to find suitable acquisition candidates, and we may not be able to complete such acquisitions on favorable terms, if at all. Our due diligence efforts may fail to identify all of the challenges, problems, liabilities, or other shortcomings involved in a potential acquisition. Further, current and future changes to the U.S. and foreign regulatory approval processes and requirements related to acquisitions may cause approvals to take longer than anticipated, not be forthcoming, or contain burdensome conditions, which may prevent the completion of the transaction or jeopardize, delay, or reduce the anticipated benefits of the transaction, and impede the execution of our business strategy. If we complete acquisitions, we may not ultimately strengthen our competitive position or ability to achieve our business objectives, and any acquisitions we announce or complete could be viewed negatively by our clients or investors.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if we are unsuccessful at integrating any recent or future acquisitions, or the technologies and personnel associated with such acquisitions, into our company, the revenue and operating results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(including goodwill) charges. Additionally, integrations could take longer than expected, or if we move too quickly in trying to integrate an acquisition, strategic investment, partnership, or other alliance, we may fail to achieve the desired efficiencies.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had, and may in the future have, to pay cash, incur debt, or issue equity securities to pay for acquisitions. Any such future acquisitions could adversely affect our financial condition and the market price of our common stock. The sale of equity or issuance of convertible debt to finance any such acquisitions could result in dilution to our stockholders, which, depending on the size of the acquisition, may be significant and may cause the market price of our common stock to decline. The incurrence of indebtedness would result in increased fixed obligations and could also include covenants or other restrictions that would impede our ability to manage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Additional risks we may face in connection with acquisitions and strategic investments include:</w:t>
      </w:r>
    </w:p>
    <w:p>
      <w:pPr>
        <w:spacing w:after="0" w:line="133" w:lineRule="exact"/>
        <w:rPr>
          <w:sz w:val="20"/>
          <w:szCs w:val="20"/>
          <w:color w:val="auto"/>
        </w:rPr>
      </w:pPr>
    </w:p>
    <w:p>
      <w:pPr>
        <w:ind w:left="500" w:hanging="244"/>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diversion of management’s time and focus from operating our business;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inability to integrate product and service offerings of an acquired company;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20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line="286" w:lineRule="auto"/>
        <w:tabs>
          <w:tab w:leader="none" w:pos="496"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relationships with strategic partners or the loss of clients or partners as a result of acquisitions or strategic positioning resulting from the acquisition or strategic investment;</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cultural challenges associated with integrating employees from the acquired company into our organization;</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integration of the acquired company’s finance, accounting, client relationship management, management information, human resources, and other administrative systems;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unexpected security risks or higher than expected costs to improve the security posture of the acquired company;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higher than expected costs to bring the acquired company’s information technology infrastructure up to our standards;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additional legal, regulatory, or compliance requirements;</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need to implement or improve controls, procedures, and policies at a business that prior to the acquisition may have lacked sufficiently effective controls, procedures, and policies;</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financial reporting, revenue recognition, or other financial or control deficiencies of the acquired company that we do not adequately address and that cause our reported results to be incorrect;</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failing to achieve the expected benefits of the acquisition or investment; and</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litigation or other claims in connection with the acquired company, including claims from or against terminated employees, clients, current and former stockholders, or other third parties.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estimates of market opportunity and forecasts of market growth included in this prospectus may prove to be inaccurate, and even if the markets in which we compete achieve the forecasted growth, our business could fail to grow at similar rates, if at all.</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market opportunity may change over time and there is no guarantee that any particular number or percentage of addressable clients covered by our market opportunity estimates will use our platform, products, or services at all or generate any particular level of revenue for us. Any expansion in the markets in which we operate depends on a number of factors, including the cost, performance, and perceived value associated with our platform, products, and services and those of our competitors. Our growth is subject to many factors, including our success in implementing our business strategy, which is subject to many risks and uncertainties. Accordingly, our forecasts of market growth included in this prospectus should not be taken as indicative of our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20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regularly review key business metrics to evaluate growth trends, measure our performance, and make strategic decisions. These key business metrics are calculated using internal company data and have not been validated by an independent third party. While these numbers are based on what we believe to be reasonable estimates for the applicable period of measurement at the time of reporting, there are inherent challenges in such measurements. If we fail to maintain effective processes and systems, our key business metrics calculations may be inaccurate, and we may not be able to identify those inaccuracies. We regularly review our processes for calculating these metrics, and from time to time we make adjustments to improve their accuracy. We generally will not update previously disclosed key business metrics for any such inaccuracies or adjustments that are immaterial.</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may change our key business metrics from time to time, which may be perceived negatively. Given the rapid evolution of the financial services market, we regularly evaluate whether our key business metrics remain meaningful indicators of the performance of our business. As a result of these evaluations, we may in the future make changes to our key business metrics, including eliminating or replacing existing metrics. Further, if investors or the media perceive any changes to our key business metrics disclosures negatively, our business could be adversely affected.</w:t>
      </w:r>
    </w:p>
    <w:p>
      <w:pPr>
        <w:spacing w:after="0" w:line="9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ability to maintain client satisfaction depends in part on the quality of our client support. Failure to maintain high-quality client support could have an adverse effect on our business, operating results, and financial condition.</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the successful use of our platform, products, and services requires high-quality support and engagement with our clients. Increased demand for client support, without corresponding increases in revenue or potentially personnel, could increase our costs and adversely affect our business, operating results, and financial condition.</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Moreover, there can be no assurance that we will be able to hire sufficient qualified support personnel as and when needed. To the extent that we are unsuccessful in hiring, training, and retaining adequate support resources, our ability to provide high-quality and timely support to our clients will be negatively impacted, and our clients’ satisfaction and their usage of our platform, products, or services could be adversely affected.</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We could incur substantial losses from our corporate operating accounts if one or more of the financial institutions that we use fails or is taken over by the FDIC. Similarly, if one or more of our cash sweep program banks were to fail or be taken over by the FDIC, our business, operating results, and financial condition could be adversely affected.</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maintain corporate operating accounts at multiple financial institutions in amounts that are significantly in excess of the limits insured by the FDIC. In March 2023, certain U.S. banks failed and were taken over by the FDIC. If any of the financial institutions that hold significant deposits were to fail or be taken over by the FDIC, our ability to access such accounts could be temporarily or permanently limited and we could lose all amounts in excess of applicable deposit insurance limits, which could adversely affect our business, operating results, and financial condition. In particular, the failure of a financial institution where our corporate accounts are held has in the past required us to move funds to another bank and may in the future again require us to do so, which could cause a temporary delay in making payments to our vendors and employees, or under other contractual arrangements, and could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20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to our corporate operating accounts, Cash Account assets are swept to one or more program banks where funds earn a variable rate of interest and are eligible for FDIC insurance. FDIC insurance is not provided, and interest is not earned, until the funds arrive at the program banks. If one or more of our program banks were to fail or be taken over by the FDIC, our clients’ ability to access such accounts could be temporarily or permanently limited and they could lose all amounts in excess of applicable deposit insurance limits, which could adversely affect our business, operating results, and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Wealthfront Advisers LLC’s and Wealthfront Strategies LLC’s duties to act as fiduciaries for our clients could conflict with the short-term interests of our business.</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paramount ethical, professional, and legal duty of our subsidiaries, Wealthfront Advisers LLC and Wealthfront Strategies LLC, is to act at all times as fiduciaries for our clients and their investments. We are subject to stringent regulatory oversight by federal and state authorities. Non-compliance with the fiduciary duties of Wealthfront Advisers LLC and Wealthfront Strategies LLC can lead to enforcement actions, fines, and other regulatory sanctions that could adversely affect our operations and reputation. In addition to being a legal requirement, we believe that fulfilling Wealthfront Advisers LLC’s and Wealthfront Strategies LLC’s fiduciary duties is essential to our success. It helps us increase our growth rate and engagement with clients, while serving the long-term interests of our company and our stockholders. Therefore, we may have forgone, and may in the future forgo, certain expansion or short-term revenue opportunities that we do not believe are in the long-term interests of our clients, our company, and our stockholders, even if such decisions negatively impact our business, operating results, and financial condition. However, our decisions may not always result in the long-term benefits that we expect, in which case our business, operating results, and financial condition could be harmed. Additionally, failure to comply with these fiduciary duties can result in legal claims and significant financial liability.</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Misconduct and errors by our employees and third-party service providers could harm our business and reputation and subject us to significant legal liability.</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Employee, vendor, or service provider misconduct or errors could subject us to legal liability, financial losses, and regulatory sanctions and could seriously harm our reputation and negatively affect our business, operating results, and financial condition. Such misconduct could include engaging in improper or unauthorized transactions or activities, misappropriation of client funds, insider trading and misappropriation of information, failing to supervise other employees, vendors, or service providers, improperly using confidential information, as well as other improper trading activity. Employee, vendor, or service provider errors, including mistakes in executing, recording, or processing transactions for clients, could expose us to the risk of material losses even if the errors are detected. Although we have implemented processes and procedures and provide training to our employees to reduce the likelihood of misconduct and errors, these efforts may not be successful. Moreover, the risk of employee, vendor, or service provider errors or misconduct may be even greater for novel products and services and may be compounded by the fact that many of our employees, vendors, and service providers may not have previously worked for or with companies which maintain the same compliance customs and rules as financial services firms. This can lead to a high risk of confusion or a relative lack of familiarity among employees, vendors, and service providers, particularly in a growing company like ours, with respect to applicable compliance obligations, particularly including confidentiality, data access, trading, and conflicts of interest. It is not always possible to deter misconduct, and the precautions we take to prevent and detect this activity may not be effective in all cases. If we were found to have not met our regulatory oversight and compliance and other obligations, we may face serious damage to our reputation and could be subject to regulatory sanctions, financial penalties, restrictions on our activities for failure to properly identify, monitor, and respond to potentially problematic activity. Further, if we were found to have not met such obligations, we could have indemnification obligations to service providers and limited remedies for any misconduct. Our employees, vendors, and service providers could also commit errors that subject us to financial claims for negligence, as well as regulatory actions, or result in financial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20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expanded operations, evolving business, and unpredictable periods of rapid growth make it difficult to predict all of the risks and challenges we might encounter and therefore increase the risk that our policies and procedures for identifying, monitoring, and managing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clients,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operating results, and financial condition.</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might be applied to our business, particularly as we introduce new products and services and potentially expand into new jurisdictions, and how we may be required to update our policies and procedures in response. If we are unable to implement current and effective policies and procedures, we may be subject to regulatory actions, which may have an adverse effect on our business, operating results, and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funding transaction losses due to reversals or insufficient funds.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products and services are primarily funded by electronic funds transfer from clients’ external bank accounts, which exposes us to risks associated with reversals and insufficient funds. Fraud, misuse, unintentional use, settlement delay, or other client activities could result in the need to unwind funds transfers due to reversals and/or insufficient funds, which could cause us to incur losses. Also, criminals are using increasingly sophisticated methods to engage in illegal activities, such as cyber fraud and identity theft. If we are unable to collect and retain the amount of the chargeback, refund, or return from the client, or if the client refuses or is unable, due to bankruptcy or other reasons, to reimburse us, we bear the loss of such amount.</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which could adversely affect our business, operating results, and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exposure to credit risk with clients, market makers, and other counterparties could result in losses.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extend cash loans to certain clients and those loans are collateralized by client securities holdings. By lending cash to clients, we are subject to risks inherent in extending credit, especially during periods of rapidly declining markets (including rapid declines in the trading price of individual securities) in which the value of the collateral held by us could fall below the amount of a client’s indebtedness. We also lend and borrow securities in connection with our broker-dealer business. Sharp changes in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20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values of substantial amounts of securities in a short period of time and the failure by clients to honor their commitments could result in substantial losses. Such changes could also adversely impact our capital because our operations require a commitment of our capital and, despite safeguards implemented by our software, involve risks of losses due to the potential failure of our clients to perform their obligations under these transactions. We have policies and procedures designed to manage credit risk, but we face a risk that such policies and procedures might not be fully effective.</w:t>
      </w:r>
    </w:p>
    <w:p>
      <w:pPr>
        <w:spacing w:after="0" w:line="9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To the extent we expand our operations into international jurisdictions, we would be exposed to significant new risks, and our international expansion efforts might not succeed.</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Currently, we exclusively offer our products and services, and generate all of our revenue, in the United States, but we may in the future seek to expand into international markets. International expansion would require significant resources and management attention and would subject us to additional regulatory, economic, operational, and political risks on top of those we already face in the United States. There are significant risks and costs inherent in establishing and doing business in international markets, including:</w:t>
      </w:r>
    </w:p>
    <w:p>
      <w:pPr>
        <w:spacing w:after="0" w:line="91" w:lineRule="exact"/>
        <w:rPr>
          <w:sz w:val="20"/>
          <w:szCs w:val="20"/>
          <w:color w:val="auto"/>
        </w:rPr>
      </w:pPr>
    </w:p>
    <w:p>
      <w:pPr>
        <w:ind w:left="500" w:hanging="244"/>
        <w:spacing w:after="0" w:line="286" w:lineRule="auto"/>
        <w:tabs>
          <w:tab w:leader="none" w:pos="4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difficulty establishing and managing international entities, offices, or operations and the increased operations, travel, infrastructure, and legal and compliance costs associated with operations, entities, or people in different countries or regions;</w:t>
      </w:r>
    </w:p>
    <w:p>
      <w:pPr>
        <w:spacing w:after="0" w:line="78" w:lineRule="exact"/>
        <w:rPr>
          <w:rFonts w:ascii="Arial" w:cs="Arial" w:eastAsia="Arial" w:hAnsi="Arial"/>
          <w:sz w:val="14"/>
          <w:szCs w:val="14"/>
          <w:color w:val="auto"/>
        </w:rPr>
      </w:pPr>
    </w:p>
    <w:p>
      <w:pPr>
        <w:jc w:val="both"/>
        <w:ind w:left="500" w:hanging="244"/>
        <w:spacing w:after="0" w:line="268" w:lineRule="auto"/>
        <w:tabs>
          <w:tab w:leader="none" w:pos="4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need to understand, interpret and comply with local laws, regulations, and customs in multiple jurisdictions, including laws and regulations governing broker-dealer, investment adviser, mortgage broker, or other regulated entity practices, some of which might require permissions, registrations, authorizations, licenses, or consents, or might be different from, or conflict with, those of other jurisdictions or foreign cybersecurity, data privacy, or labor and employment laws;</w:t>
      </w:r>
    </w:p>
    <w:p>
      <w:pPr>
        <w:spacing w:after="0" w:line="91" w:lineRule="exact"/>
        <w:rPr>
          <w:rFonts w:ascii="Arial" w:cs="Arial" w:eastAsia="Arial" w:hAnsi="Arial"/>
          <w:sz w:val="14"/>
          <w:szCs w:val="14"/>
          <w:color w:val="auto"/>
        </w:rPr>
      </w:pPr>
    </w:p>
    <w:p>
      <w:pPr>
        <w:ind w:left="500" w:hanging="244"/>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additional complexities of any merger or acquisition activity internationally, which would be new for us and could subject us to additional regulatory scrutiny or approvals;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need to adapt, localize, and position our platform, products, and services for specific countries;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increased exposure to foreign fraud vectors;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increased competition from local providers of similar products and services;</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need to offer client support and other aspects of our offering (including websites, articles, blog posts, and client support documentation) in various languages or locations;</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compliance with anti-bribery and anti-corruption laws, such as the U.S. Foreign Corrupt Practices Act of 1977, as amended (“FCPA”) and equivalent anti-money laundering and sanctions rules and requirements in local markets, by us, our employees, and our business partners;</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need to recruit and manage staff in new countries and regions to support international operations, and comply with employment law, tax, payroll, and benefits requirements in multiple countries;</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need to enter into new business partnerships with third-party service providers in order to provide our platform, products, and services in the local market, or to meet regulatory obligations;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20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line="286" w:lineRule="auto"/>
        <w:tabs>
          <w:tab w:leader="none" w:pos="496" w:val="left"/>
        </w:tabs>
        <w:numPr>
          <w:ilvl w:val="0"/>
          <w:numId w:val="39"/>
        </w:numPr>
        <w:rPr>
          <w:rFonts w:ascii="Arial" w:cs="Arial" w:eastAsia="Arial" w:hAnsi="Arial"/>
          <w:sz w:val="14"/>
          <w:szCs w:val="14"/>
          <w:color w:val="auto"/>
        </w:rPr>
      </w:pPr>
      <w:r>
        <w:rPr>
          <w:rFonts w:ascii="Arial" w:cs="Arial" w:eastAsia="Arial" w:hAnsi="Arial"/>
          <w:sz w:val="14"/>
          <w:szCs w:val="14"/>
          <w:color w:val="auto"/>
        </w:rPr>
        <w:t>varying levels of internet technology adoption and infrastructure, and increased or varying network and hosting service provider costs and differences in technology service delivery in different countries;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fluctuations in currency exchange rates and the requirements of currency control regulations, which might restrict or prohibit conversion of other currencies into U.S. dollars;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treatment of revenue from international sources, evolving domestic and international tax environments;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other potential tax issues, including, but not limited to, with respect to our corporate operating structure and intercompany arrangements;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political or social change or unrest or economic instability in a specific country or region in which we operate.</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 although we do not currently offer any products or services outside the United States, a small number of our employees currently reside in, and work remotely from, Canada. We recently formed a Canadian subsidiary so that we may employ these individuals through a Canadian entity, and a number of the risks and costs set out above may apply in connection with the management and operation of our Canadian subsidiary. For example, we may experience difficulties understanding and complying with applicable Canadian laws, regulations, and customs, including with respect to labor and employment laws, payroll and benefits requirements, and tax laws, we may be exposed to increased tax obligations in connection with our intercompany arrangements, and we may bear increased legal, compliance, facilities, infrastructure, and administrative costs in connection with the operation of our Canadian subsidiary and management of our Canadian employees. If our efforts to efficiently manage our Canadian subsidiary are unsuccessful, or if we experience legal, regulatory, or tax-related difficulties in connection with our Canadian subsidiary or employees, our business, operating results, and financial condition could be adversely affected.</w:t>
      </w:r>
    </w:p>
    <w:p>
      <w:pPr>
        <w:spacing w:after="0" w:line="101" w:lineRule="exact"/>
        <w:rPr>
          <w:sz w:val="20"/>
          <w:szCs w:val="20"/>
          <w:color w:val="auto"/>
        </w:rPr>
      </w:pPr>
    </w:p>
    <w:p>
      <w:pPr>
        <w:ind w:right="3540" w:firstLine="3538"/>
        <w:spacing w:after="0" w:line="438" w:lineRule="auto"/>
        <w:rPr>
          <w:sz w:val="20"/>
          <w:szCs w:val="20"/>
          <w:color w:val="auto"/>
        </w:rPr>
      </w:pPr>
      <w:r>
        <w:rPr>
          <w:rFonts w:ascii="Arial" w:cs="Arial" w:eastAsia="Arial" w:hAnsi="Arial"/>
          <w:sz w:val="14"/>
          <w:szCs w:val="14"/>
          <w:b w:val="1"/>
          <w:bCs w:val="1"/>
          <w:color w:val="auto"/>
        </w:rPr>
        <w:t xml:space="preserve">Risks Related to Our Cash Management Products and Services </w:t>
      </w:r>
      <w:r>
        <w:rPr>
          <w:rFonts w:ascii="Arial" w:cs="Arial" w:eastAsia="Arial" w:hAnsi="Arial"/>
          <w:sz w:val="14"/>
          <w:szCs w:val="14"/>
          <w:b w:val="1"/>
          <w:bCs w:val="1"/>
          <w:i w:val="1"/>
          <w:iCs w:val="1"/>
          <w:color w:val="auto"/>
        </w:rPr>
        <w:t>Our cash management products and services subject us to risks related to our bank partnerships.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partner with Green Dot and UMB to provide cash management services to our clients in connection with our Cash Account. Green Dot establishes direct banking relationships with our clients and provides services that include a Wealthfront-branded debit card, ATM network access, and mobile check deposit. UMB provides limited ACH capabilities and does not have a direct banking relationship with our clients. We help with recordkeeping and reconciliation of balances between our clients’ brokerage accounts, our program banks, and our banking partners.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not a bank and do not provide banking products and services, and so we rely on our program banks to accept client assets and to provide certain banking products or services to them. Regulatory changes or changes in market conditions could affect the willingness of our program banks, or other banks we may choose to partner with in the future, to accept client assets. Program banks may refuse to accept our clients’ assets in the future and there is no guarantee that we will be able to replace program banks or add new program banks to support our growth, which would negatively affect our business, operating results, and financial condition. Similarly, a change in regulatory treatment of cash sweep programs, for example treating our cash sweep program balances as “brokered deposits,” or changes in the interpretations concerning the circumstances under which bank sweeps may obtain FDIC insurance protection, as well as changes in market conditions (such as very low or negative interest rates)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209"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make program banks less willing to accept sweep balances (or limit the amount of sweep balances the program banks are willing to accept) and also could affect the gross amount program banks are willing to pay on program deposits and the fees that we receive. Furthermore, technical failures or security incidents may occur that could prevent program banks from accepting sweep balances (or limit the amount of sweep balances the program banks can accept). Any of these changes could reduce the attractiveness of the bank sweep program to clients and could reduce the revenue earned by our company in connection with the bank sweep program.</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agreements with our banking partners, any successor bank, program banks, and related service providers may be terminated or may not be renewed on terms favorable to us or at all. Our agreements with such parties generally do not prohibit them from working with our competitors, and they could decide to enter into an exclusive or more favorable relationship with one or more of our competitors. They could also offer solutions competing with ours. In addition, our banking partners, any successor bank, program banks, and related service providers may not perform as expected under our agreements. We could in the future have disagreements or disputes with such parties, which could negatively impact or threaten our relationship with such parties or other parties with whom we may seek to partner.</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program banks, our banking partners, any successor bank, and other banks or parties with which we may engage are subject to oversight and supervision by regulatory bodies in various jurisdictions and must comply with applicable rules and regulations and examination requirements. Certain of such partners, including our banking partners, have in the past been, and may in the future be, subject to adverse regulatory orders. Any future adverse orders or regulatory enforcement actions, even if unrelated to us, could impose restrictions on, or prohibit or otherwise make it infeasible for our program banks, our banking partners, any successor bank, or other partners to continue to support our operations. Our relationship with program banks, our banking partners, any successor bank, and related service providers may also subject us to additional, indirect regulatory scrutiny, requirements, and supervision. For example, in order to facilitate our banking partners’ compliance with federal banking agency guidance regarding their management of third-party relationship risks, we commit to, and do, cooperate in the examination by federal banking agencies of the banking partners’ relationships with us.</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If our existing arrangements with our banking partners, any successor bank, program banks, and related service providers were limited, suspended, or terminated, if any of such parties ceased operations, or if our relationship with any of them were to otherwise terminate for any reason (including, but not limited to, due to failure to comply with regulatory orders or other actions), we may need to implement substantially similar arrangements with new banks and service providers or clients may lose access to certain of the services that we currently offer through our partners. If we need to enter into an alternative arrangement with a different bank to replace an existing arrangement, we may not be able to negotiate a comparable alternative arrangement in a timely manner or at all. In addition, banks in the United States with which we may partner in the future either in addition to or in lieu of our existing arrangements, in particular program banks that commonly enter into similar relationships with other financial services companies, may be prohibited from partnering with us, or may terminate our relationship once established, as a result of increased regulatory scrutiny or changes to applicable laws and regulations. In the event that our existing relationships with our banking partners, program banks, or related service providers were terminated and we were not able to replace them with similar alternatives in a timely manner, on comparable or more favorable terms, or at all, our business, operating results, and financial condition could be adversely affected.</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participate in a deposit placement program operated by R&amp;T in order to enable our deposit sweeps to program banks. Our three largest program banks are all highly regulated global systemically important banks, as designated by the Financial Stability Board as of November 2024. As such, we believe our largest program banks are less likely to fail or suddenly determine to cease participating in our cash sweep program or materially limit or terminate the acceptance of deposits through us. If a large program bank did suddenly withdraw from the program or cease or materially limit the amount of deposits it will accept through us, we would need to reallocate those funds among the other program banks, and likely would need to engage new program banks in order to have sufficient deposit capacity to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20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offer the same level of pass-through deposit insurance. If we are unable to do so, we would need to lower the amount of pass-through deposit insurance we offer, which would likely adversely affect client participation in the sweep program and our income from that program. In addition, if a large program bank were to fail and we were unable to withdraw client funds in advance of that failure, there could be a disruption in client access to their insured deposits until the accounts from the failed institution are assigned to a successor selected by the FDIC or are paid out. Any such disruption, which would affect all broker-dealers participating in our cash sweep program with the failed institution, would likely adversely affect our reputation with our clients, potentially resulting in a loss of business and associated income.</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are subject to reputational risk in connection with our partnerships with our program banks and our banking partners in connection with our Cash Account product. If our program banks or our banking partners are subject to regulatory inquiries, investigations, or other actions, experience liquidity issues, or are otherwise subject to negative publicity, it may have an adverse impact on client confidence in our platform, products, and services, which may cause our clients to move their assets from the Wealthfront platform to other platforms or otherwise may impact our business, operating results, and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FDIC pass-through insurance requirements in connection with our cash management products and services.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connection with our cash management products and services, we are subject to certain FDIC insurance requirements. We believe our record keeping for our clients’ funds held at our banking partners and held for Cash Account clients in deposits at our other program banks, and other functions we perform related to FDIC insurance requirements, comply with all applicable requirements for each participating client’s assets to be eligible for FDIC pass-through insurance coverage, up to the applicable maximum deposit insurance amount. However, the FDIC does not make determinations in advance of a bank’s failure as to whether the conditions have been satisfied for pass-through deposit insurance coverage to apply. If the FDIC were to disagree, the FDIC might not recognize clients’ claims as covered by deposit insurance in the event of bank failure and bank receivership proceedings under the Federal Deposit Insurance Act. If the FDIC were to determine that our clients’ funds held at our program banks are not covered by deposit insurance, participating clients might not be able to access those deposits, and may lose some or all of those deposits, if a program bank failed, or might decide to withdraw their funds in advance of such a failure, each of which could adversely affect our brand, as well as our business, operating results,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Cash Account program and other cash management products and services could subject us to a number of federal and state regulatory requirements.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Cash Account program and the Wealthfront-branded debit card could subject us to federal and state consumer protection laws and regulations, including the Electronic Fund Transfer Act and Regulation E as implemented by the Consumer Financial Protection Bureau (“CFPB”), and to payment card association operating rules, including data security rules and certification requirements, which could change or be reinterpreted to make it difficult or impossible for us to comply. As a result of our portfolio line of credit product, we are also subject to a number of state licensing and other regulatory requirements. Failure to comply with the laws and regulations applicable to us in connection with our Cash Account, debit card or portfolio line of credit product, including failure to maintain required licenses, could result in the assessment of significant actual damages or statutory damages or penalties (including treble damages in some instances) and plaintiffs’ attorneys’ fees. Similarly, as the regulatory environment at both the federal and state level continues to evolve, changing expectations as to the content of disclosures related to our Cash Account and portfolio line of credit products may expose us to claims regarding the adequacy of those disclosures. In addition, we could incur liability if there is breach or compromise of the security of our systems for these products or we fail to detect or prevent fraudulent activity in their use. See “— Our business could be materially and adversely affected by a cybersecurity breach or other attack involving our computer systems or data or those of our clients, our third-party service providers, or such service providers’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20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 due to the fact that we are deemed a service-provider to our program banks, we are subject to audit standards for third-party vendors in accordance with bank regulatory guidance and examinations by federal bank regulatory authorities and the CFPB. In addition, we offer, in conjunction with our program banks, a referral reward program that allows eligible clients to receive promotional benefits, including a 0.50% annual percentage yield increase from program banks on their Cash Account, for referring new clients to our platform. Referral programs in the financial services industry, particularly those involving cash or yield incentives, are subject to oversight by regulatory authorities, including the SEC, FINRA, CFPB, and state banking regulators. Regulators may view such programs as potentially misleading or improperly structured if they disproportionately benefit certain clients or advertise benefits without appropriate risk disclosures. Any failure by us to comply with these regulatory requirements may result in regulatory inquiries, investigations, fines, or other proceedings or actions, which may have a negative effect on our business, operating results,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Client or third-party use of our cash management services for illegal activities or improper purposes could harm our business.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highly automated nature of, and liquidity offered by, our cash management services make us and our clients a target for illegal or improper uses, including scams and fraud directed at our Cash Account, Wealthfront-branded debit card, and portfolio line of credit clients,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client might be found responsible for intentionally or inadvertently importing or exporting illegal goods, resulting in liability for us. While we invest in measures intended to prevent and detect illegal activities with respect to our cash management services, these measures require continuous improvement and might not be effective in detecting and preventing illegal activity or improper uses.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Any illegal or improper uses of our cash management services by our clients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cash management services for illegal or improper activity, and our failure to detect or prevent such use. Illegitimate transactions can also prevent us from satisfying our contractual obligations to our third-party partners, which might cause us to be in breach of our obligations. In addition, if the federal government or any state government took the position that we are a money services business or a money transmitter business, they could require us to register as such with the Financial Crimes Enforcement Network and/or obtain money transmitter licenses, as applicable. Furthermore, should a federal or state regulator make a determination that we have operated as an unlicensed or unregistered money services business or money transmitter business, we could be subject to civil and criminal fines, penalties, costs, legal fees, reputational damage, or other negative consequences, all of which may have an adverse effect on our business, operating results, and financial condition.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Investment Advisory and Brokerage Services</w:t>
      </w:r>
    </w:p>
    <w:p>
      <w:pPr>
        <w:spacing w:after="0" w:line="135"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i w:val="1"/>
          <w:iCs w:val="1"/>
          <w:color w:val="auto"/>
        </w:rPr>
        <w:t>Errors in Wealthfront Advisers LLC’s automated advisory services or misrepresentations, inaccuracies, or fraud may subject us to liability for any losses that result.</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Wealthfront Advisers LLC relies on automated investment technology to provide investment advisory and financial planning services, including administration of our clients’ investment portfolios. As investment technology evolves, increasing complexity requires more expertise and efforts to manage and test. No automatic tools are guaranteed to function completely without error. While we believe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209"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automated investment technology improves our services, automated systems are subject to a variety of risks including, but not limited to, technical system flaws, outages, system failures, or latency that could prevent timely trades or rebalancing, or employee tampering or manipulation of those systems, which may result in losses to our clients. The computer software that underlies our automated investing technology are constructed based on models and assumptions that may be inaccurate, may not reflect a client's risk profile and tolerance, including, but not limited to, as a result of incorrect, incomplete or outdated client inputs, and may be subject to errors or bugs that cause the software to operate differently than intended. Even if we institute additional controls, it is possible our automated systems may not behave in accordance with our protocols and processes due to human error or influence. Problems could arise if our investment advisory services do not work as intended, particularly if Wealthfront Advisers LLC fails to detect program errors over an extended period. We may also be found to be liable for such errors, which may include liability for breach of Wealthfront Advisers LLC’s fiduciary duty or applicable law. As a result, dependence on automated systems may further increase the risk of operational system flaws as compared to systems using more constant human managing and oversight. If our automated systems are found to be materially inaccurate, if investors believe these metrics are materially inaccurate, or if we uncover significant inaccuracies in these figures, our reputation could suffer greatly. This could negatively impact our business, operating results, and financial condition. Additionally, some of our systems depend on the accuracy and completeness of information provided by clients, borrowers, and other third parties. If this information is inaccurate, incomplete, or misrepresented, whether intentionally or unintentionally, our systems or models may produce incorrect results or fail to function as intended. Such program errors may not be detected despite our quality assurance practices. Further, as a registered investment adviser, we are subject to periodic examinations with the SEC, during which we are required to provide the SEC with, among other things, information regarding controls we implement in connection with our automated advisory services. In the event the SEC does not find our controls to be sufficient, we may be required to implement additional, and potentially costly, remedial measures to protect our clients’ investments, or may otherwise be required to make changes to our operations, which could adversely impact our business, operating results, and financial condition.</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High-profile instances of fraud or error can also damage our brand, lead to increased regulatory scrutiny, and result in higher costs. There is a need to continually invest in training to develop and maintain in-house expertise to manage these systems effectively and to educate clients and participants in the capabilities, proper use, and competitive differentiation of these offerings, which can be costly and time consuming. Any of these or other errors may negatively impact our reputation, as well as our business, operating results, and financial condition.</w:t>
      </w:r>
    </w:p>
    <w:p>
      <w:pPr>
        <w:spacing w:after="0" w:line="9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will be adversely affected if we, or any of our subsidiaries, or our investment advisory programs, are determined to have been subject to registration as an investment company under the 1940 Act.</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Generally, a company is an “investment company” required to register under the Investment Company Act of 1940, as amended (the “1940 Act”) if, absent an applicable exception or exemption, it (i) is, or holds itself out as being, engaged primarily, or proposes to engage primarily, in the business of investing, reinvesting or trading in securities; or (ii) engages,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do not consider our investment adviser subsidiaries to be investment companies, nor do we hold them out to be. Our investment adviser subsidiaries hold themselves out as investment management firms and do not propose to engage primarily in the business of investing, reinvesting or trading in securities. We believe we are engaged primarily in the business of providing investment management services and not in the business of investing, reinvesting or trading in securities. We also believe our primary source of income is properly characterized as income earned in exchange for the provision of services. We believe that less than 40% of our total assets (exclusive of U.S. government securities and cash items) on an unconsolidated basis comprise assets that could be considered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209"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Wealthfront Advisers LLC provides automated digital investment advisory services that are designed to offer clients discretionary portfolio management through software-based platforms. These services typically involve allocating client assets among exchange-traded funds or other investments based on a client’s target portfolio allocation and rebalancing algorithms. Rule 3a-4 under the 1940 Act provides a nonexclusive safe harbor from the definition of an “investment company” for investment advisory programs like the ones we sponsor and sets out specific conditions that such programs must meet to avoid being deemed investment companies. While we believe our investment advisory programs are properly structured to rely on Rule 3a-4, there is a risk that the SEC, the staff of the SEC (the “SEC Staff”), or a court could conclude otherwise. If Rule 3a-4 were to be rescinded, or if the SEC or SEC Staff were to modify the rule or its interpretation of how the rule is applied, or if the SEC, the SEC Staff or a court were to determine that our investment advisory programs do not satisfy the conditions of the Rule 3a-4 safe harbor, Wealthfront Advisers LLC could be deemed to be operating one or more unregistered investment companies, which could subject Wealthfront Advisers LLC to significant regulatory consequences, including enforcement actions, injunctions or penalties. Additionally, we could be required to restructure our operations to avoid having to register our investment advisory programs under the 1940 Act, which could involve substantial expense and disruption to our business.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intend to continue to conduct our operations so that neither we nor our investment advisory programs will be deemed investment companies required to register under the 1940 Act. However, if we or our investment advisory programs were to be deemed investment companies required to register under the 1940 Act, restrictions imposed by the 1940 Act, including capital structure limitations and restrictions on transactions with affiliates, could make it impractical for us to continue our business as currently conducted. Any changes to the structure of our business, our platform or the products and services we offer to clients due to restrictions imposed by the 1940 Act could have a material adverse effect on our financial performance and operations.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Sponsorship of 1940 Act-registered investment products carries regulatory, reputational, and market risks, which could adversely affect our business or financial condition.</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sponsor the Wealthfront Treasury Money Market Fund, which is registered as an investment company under the 1940 Act. In the future, we may sponsor one or more other investment products that would be registered as investment companies under the 1940 Act. Our subsidiary, Wealthfront Strategies, LLC, serves as the investment adviser to the Wealthfront Treasury Money Market Fund. 1940 Act-registered investment products are subject to extensive regulation under the 1940 Act and the rules thereunder. Sponsoring a 1940 Act-registered investment product exposes us to additional legal, regulatory, and reputational risks that are distinct from those currently associated with our automated investment advisory business.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our role as investment adviser to a 1940 Act-registered investment product presents perceived or actual conflicts of interest with our current investment advisory clients, particularly with respect to additional revenue we earn through advisory fees. If clients or regulators believe that our operation of a 1940 Act-registered investment product raises conflicts of interest that are not appropriately mitigated in accordance with applicable law, our reputation and client trust may be adversely affected. We also may face competitive pressures from larger, more established sponsors of registered investment products, and there can be no assurance that our current or future investment products will attract or retain sufficient assets to be economically viable.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Any of the foregoing risks, if realized, could materially and adversely affect our business or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Providing investment education tools could subject us to additional risks if such tools are construed to be investment advice or recommendations.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provide clients with a variety of educational materials, investment tools, and financial news and information, such as our blog. Based on current law and regulations, we believe these services do not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20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constitute investment advice or investment recommendations. If the law were to change or if a court or regulator were to interpret current law and regulations in a novel manner, we face a risk that these services could come to be considered to be investment advice. If services that we do not consider to be recommendations (such as educational materials, and our editorial offerings, including our blog) are construed as constituting investment advice or recommendations, we could be subject to examinations, inquiries, regulatory focus, or investigations by regulatory agencies.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clients, or improperly advise our clients, or if risks associated with advisory services otherwise materialize, we could be found liable for losses suffered by such clients, or could be subject to regulatory fines, penalties, and other actions such as business limitations, any of which could harm our reputation and business.</w:t>
      </w:r>
    </w:p>
    <w:p>
      <w:pPr>
        <w:spacing w:after="0" w:line="9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SEC and FINRA have stringent rules or proposed rules with respect to the maintenance of specific levels of net capital by securities broker-dealers. For example, Wealthfront Brokerage LLC, our broker-dealer subsidiary, is subject to Rule 15c3-1 under the Exchange Act, the Uniform Net Capital Rule, which specifies minimum capital requirements intended to ensure the general financial soundness and liquidity of broker-dealers, as well as Rule 15c3-3 under the Exchange Act, which requires broker-dealers to maintain a reserve account to ensure client securities are protected and accessible, even in cases of firm insolvency. A large operating loss or charge against net capital could have adverse effects on our ability to maintain or expand our business. Our failure to maintain the required net capital levels or client reserve levels or to protect client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subsidiary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In addition, in December 2024, the SEC adopted amendments to Rule 15c3-3 that require certain broker-dealers, including Wealthfront Brokerage LLC, to increase the frequency with which they perform required customer reserve account calculations and funding from weekly to daily, and compliance is required by June 2026.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Mortgage Services</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mortgage business will depend on U.S. government-sponsored entities and government agencies, as well as our ability to comply with their guidelines and related investor requirements, and any changes in their roles or policies could materially and adversely affect our ability to market and sell mortgages.</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plan to originate loans that are eligible for sale to Fannie Mae and Freddie Mac (collectively, the “GSEs”), which will require us to satisfy standard GSE guidelines, in addition to any investor requirements. As a result, our ability to sell loans and access liquidity in the secondary market depends not only on the GSEs’ programs, guidelines, and capital markets activity, but also on the requirements of these intermediary investors.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Any disruption to the operations of the GSEs, whether due to regulatory reform, changes in conservatorship, or shifts in policy, could materially impact loan pricing, market access, and client demand. We may be sensitive to regulatory or structural changes that impact eligibility criteria, credit standards, servicing obligations, and fees. The Federal Housing Finance Agency, as conservator of the GSEs since 2008, continues to influence their market footprint and strategic direction. Although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20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GSE restrictions were suspended in 2021, future changes remain uncertain and may affect the GSEs’ willingness or ability to purchase loans with certain risk characteristics.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failure to comply with GSE and agency guidelines, or with investor overlays, could subject us to penalties or loss of the ability to sell loans to certain investors. These guidelines and investor requirements may be updated unilaterally and without negotiation, requiring us to make operational adjustments. Increases in guarantee fees, changes to GSE capital rules, or a potential reduction or elimination of government involvement in the mortgage market could further increase our costs or reduce loan sale proceeds. Any such developments could significantly affect our mortgage origination and any servicing activities and harm our business, operating results, and financial condition, particularly if alternative market participants are unavailable on comparable terms.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reliance on a limited number of investor outlets could have a material adverse effect on our business.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business model will depend heavily on our ability to sell or securitize the mortgage loans we originate through a small number of loan purchasers or aggregators. We expect to rely on a few counterparties to purchase or securitize our loans. This concentration exposes us to significant counterparty risk, as our ability to sell loans, manage liquidity, and fund new originations will be directly tied to the continued interest, capacity, and financial health of these few loan purchasers.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any of these loan purchasers reduces their loan acquisitions, changes their underwriting or pricing criteria, or experiences operational or financial difficulties, we may be unable to sell loans on acceptable terms or at all. This could force us to hold loans on our balance sheet longer than intended, which would increase our exposure to credit and interest rate risk and potentially strain our liquidity and funding capacity.</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Reduced competition among loan purchasers may also result in less favorable pricing, wider bid-ask spreads, and more stringent terms, which could negatively impact our profitability. Any disruption in our relationships with these limited loan purchasers, or any changes in their willingness or ability to acquire our loans, could materially and adversely affect our business, operating results, and financial condition. If we cannot access a sufficient number of investor outlets, our ability to fund new originations, manage liquidity, and achieve targeted execution prices could be materially and adversely affected.</w:t>
      </w:r>
    </w:p>
    <w:p>
      <w:pPr>
        <w:spacing w:after="0" w:line="9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exposed to credit risk arising from our mortgage product, expect to be exposed to credit risk as we develop mortgage products, and any defaults by our mortgage clients would result in harm to our business, operating results, and financial condition.</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exposed to credit risk arising from our mortgage loan originations, and expect to be exposed to credit risk in the future as we develop mortgage products. Our mortgage origination processes rely on models, policies, and procedures to assess borrower creditworthiness and predict the likelihood of default. These models and processes are inherently limited and may not accurately capture all relevant risk factors, particularly for certain borrower types such as self-employed individuals or non-owner-occupants. These also include the risk of early payment default and early payoff, both of which may result in penalties or the obligation to return a portion of the compensation received on the sale of the loan. Further, we will face the risk of repurchase requests from investors if there are defects, inaccuracies, or misrepresentations in the loan file, or if the loan fails to meet required standards.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our mortgage origination processes fail to accurately predict defaults, we and our third-party underwriting service providers may experience higher-than-expected credit losses, be required to repurchase loans, or face increased regulatory scrutiny and compliance costs. Inaccurate underwriting by our third-party service providers could also harm our reputation and adversely affect our ability to grow our business, which may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20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Regulatory and Legal Matters</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subject to a wide variety of local, state, federal, and international laws, regulations, licensing schemes, and industry standards. These laws, regulations, and standards govern numerous areas that are important to our business, and include, or might in the future include, those relating to: all aspects of the securities industry; financial services; investment advisory and brokerage services; money transmission; the origination, marketing (including customer referral and incentive programs), servicing, and collection of consumer debt; foreign exchange; payments services and products (such as payment processing, settlement services, and credit cards); derivatives; trading in shares and fractional shares; fraud detection; consumer protection; anti-money laundering; escheatment; sanctions regimes and export controls; and data privacy, data protection, and data security.</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clients and their assets. These regulations could limit our business activities through capital, client protection, and market conduct requirements, as well as restrictions on the activities that we are authorized to conduct.</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are subject to evolving laws, regulations, policies, and international accords relating to matters beyond our platform, products and services, including, but not limited to, environmental sustainability, climate change, human capital, and employment matters. Compliance with such laws, regulations, and policies may require significant investment and expense. We have been, and in the future may be, subject to litigation if we fail to implement the necessary programs, frameworks, and principles for compliance, and our reputation, business, operating results, and financial condition may be adversely affected.</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operate in a highly regulated industry and,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Changing laws and regulations may impose onerous compliance requirements, which may adversely affect our cost of doing business and increase our compliance risk. Despite our efforts to comply with applicable legal requirements, we might fail to establish and enforce procedures that comply with these applicable legal requirements and regulations. Moreover, the nature of some of our products, such as our PLOC and FPSL, may subject us to a higher level of regulatory scrutiny. As further discussed below, we might be adversely affected by new laws or regulations, changes in the interpretation of existing laws or regulations, or more rigorous enforcement.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We also might be adversely affected by other regulatory changes related to our obligations, or applicability, with regard to suitability of financial products, supervision, sales practices, application of fiduciary or best interest standards (including the interpretation of what constitutes an “investment recommendation” for the purpose of the SEC’s “Regulation Best Interest” and state securities laws) and best execution in the context of our business and market structure, any of which could limit our business, increase our costs, and damage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20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New laws or regulations, or new interpretations of existing laws or regulations, could have a materially adverse impact on our ability to operate as currently intended, and cause us to incur significant expense in order to ensure compliance. If federal and state financial services regulators once again begin enforcing existing laws, regulations, and rules aggressively and enhancing their supervisory expectations regarding the management of legal and regulatory compliance risks, the resulting uncertainties regarding our compliance obligations would make our business planning more difficult and could result in changes to our business model and potentially adversely impact our business, operating results, and financial condition.</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Proposals to change the statutes affecting financial services companies are frequently introduced in Congress and state legislatures that, if enacted, may affect their operating environment in substantial and unpredictable ways. In addition, numerous federal and state regulators and SROs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New laws, regulations, or policies, or changes in enforcement of existing laws or regulations applicable to our business, or reexamination of current practices, could adversely impact our profitability, limit our ability to continue existing or to pursue new business activities, require us to change certain of our business practices, affect retention of key personnel, or expose us to additional costs (including increased compliance costs and/or client remediation). These changes have in the past and may in the future require us to invest significant resources, and devote significant management attention, to make any necessary changes and could adversely affect our business, operating results, and financial condition. See “— Previous statements by lawmakers, regulators, and other public officials and proposed rules have signaled an increased focus on new or additional regulations that could impact our business and require us to make significant changes to our business model and practices” for additional risks relating to recent or proposed changes impacting the financial services business.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Broker-Dealer Regulations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As a broker-dealer, our wholly owned subsidiary Wealthfront Brokerage LLC is subject to extensive regulation by federal and state regulators and SROs, and is subject to laws and regulations covering all aspects of the securities industry. Federal and state regulators and SROs, including the SEC and FINRA, can, among other things, investigate, censure or fine Wealthfront Brokerage LLC, issue cease-and-desist orders, or otherwise restrict its operations, require changes to its business practices, platform, products, or services, limit its acquisition activities, or suspend or expel a broker-dealer or any of its officers or employees. Notably, the Exchange Act generally grants the SEC broad authority, including the power to bring civil or administrative proceedings to limit or restrict Wealthfront Brokerage LLC’s activities in the event of its failure to comply with federal securities laws. In addition, FINRA has adopted extensive regulatory requirements relating to registration of personnel, compliance and supervision, and compensation and disclosure, to which Wealthfront Brokerage LLC and its personnel are subject. Additionally, material expansions of the business in which Wealthfront Brokerage LLC engages are subject to approval by FINRA. This could delay, or even prevent, our ability to expand our securities and brokerage offerings in the future. The SEC, FINRA, and state securities commissions also have the authority to conduct periodic examinations of Wealthfront Brokerage LLC, and may also institute civil or administrative proceedings, in which they have the authority to seek civil money penalties, disgorgement and other sanctions on Wealthfront Brokerage LLC and its associated persons. Additional sanctions that may be imposed for failure to comply with applicable law include the prohibition of individuals from associating with a broker-dealer or other regulated entity, the suspension or revocation of registrations, disgorgement, civil money penalties, censures and other sanctions.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209"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proceedings against Wealthfront Brokerage LLC for violating applicable laws, rules, or regulations. The failure by Wealthfront Brokerage LLC to comply with relevant regulations could therefore have a material adverse effect on our business, operating results, and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Adviser Regulations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Each of Wealthfront Advisers LLC and Wealthfront Strategies LLC is registered and subject to regulation as an investment adviser under the Investment Advisers Act of 1940, as amended (the “Advisers Act”), including the antifraud provisions of the Advisers Act and other federal securities laws, and the rules promulgated thereunder. The SEC is authorized to institute civil or administrative proceedings and impose sanctions for violations of the Advisers Act or other federal securities laws against an investment adviser or its supervised persons, ranging from the prohibition of individuals from associating with an investment adviser or other regulated entity, suspension or revocation of registrations, disgorgement, civil money penalties, censures and other sanctions. As investment advisers, Wealthfront Advisers LLC and Wealthfront Strategies LLC each have a fiduciary duty to their respective clients. The SEC has interpreted that fiduciary duty to impose standards, requirements, and limitations on, among other things: investment advice to clients, trading for proprietary, personal and client accounts; allocations of investment opportunities among clients; and execution of transactions. Each of Wealthfront Advisers LLC and Wealthfront Strategies LLC is also subject to additional requirements under the Advisers Act, including, among other things, requirements and restrictions relating to: maintenance of written, effective, and comprehensive compliance policies and procedures; maintenance of extensive books and records; disclosure of information to advisory business clients; restrictions on the types of fees it may charge; custody of client assets; client privacy; and marketing to clients. The SEC has authority to inspect any investment adviser and typically inspects a registered adviser periodically to determine whether the 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 could therefore have a material adverse effect on our business, operating results,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Mortgage-Related Regulations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loan origination and related activities are governed by a broad and evolving set of federal, state, and local laws and regulations. These requirements affect nearly every aspect of the operation of our mortgage business, including how we originate loans, the fees we may charge, compensation practices, and the handling of consumer personal information. We are required to comply with a wide range of consumer protection and financial services laws, such as the Truth in Lending Act, Real Estate Settlement Procedures Act, Equal Credit Opportunity Act, Fair Credit Reporting Act, Fair Housing Act, Home Mortgage Disclosure Act, and Gramm-Leach-Bliley Act, among others. These laws are complex, frequently amended, and subject to varying interpretations by courts and regulators.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mortgage business will face heightened scrutiny from multiple government agencies, especially the CFPB, which oversees both federal and state non-depository lenders and has supervisory authority over non-depository mortgage originators and servicers. If we fail to comply with CFPB regulations and guidance, we could face enforcement actions, fines, penalties, and other regulatory measures. Routine examinations by the CFPB and other agencies will increase our administrative and compliance costs and may affect the availability and cost of mortgage credit. The CFPB’s enforcement powers, including contract rescission or reformation, restitution, disgorgement, and civil money penalties, will create substantial supervisory risk.</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to federal oversight, we will be subject to state and local regulation. State attorneys general, regulators, and consumer protection offices will have authority to investigate complaints and initiate proceedings related to our activities. Any reduction in federal oversight, such as changes to the CFPB’s authority, could prompt states to increase their own regulatory and enforcement efforts. We will also be subject to periodic reviews by the GSEs, the Federal Housing Finance Agency, Ginnie Mae, the Federal Trade Commission, and the Department of Housing and Urban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209"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to the extent our geographic scope expands. The impact of these laws and regulations may disproportionately affect our business in comparison to our peers in the financial services industry that have greater resources. Any failure or perceived failure of compliance on our part to comply with the laws and regulations may subject us to significant liabilities or penalties, or otherwise adversely affect our business, operating results, and financial condition. Furthermore, it is possible that certain federal or state governmental agencies may seek to block or limit our platform or otherwise impose other restrictions that may affect the accessibility or usability of any or all our platform for an extended period of time or indefinitely.</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Previous statements by lawmakers, regulators, and other public officials and proposed rules have signaled an increased focus on new or additional regulations that could impact our business and require us to make significant changes to our business model and practices.</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Various lawmakers, regulators, and other public officials have previously made statements about the financial services industry, signaling an increased focus on new or additional laws or regulations that, if acted upon, could impact our business. Additionally, from time to time, we have received requests from regulators, including from the SEC, regarding our collection and uses of client data and related disclosures. While these requests have not resulted in any regulatory action or changes to our business, we may receive similar requests in the future that may result in further regulatory actions or changes to our business, which may have a negative impact on our business, operating results, and financial condition.</w:t>
      </w: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September 2021, FINRA announced that it is reviewing firms’ use of social media marketing, including social media influencers, certain of whom we continue to utilize, and in February 2023, FINRA provided updated guidance about firms’ practices related to their acquisition of clients through social media channels, as well as firms’ sharing of clients’ usage information with affiliates and non-affiliated third parties. In light of this updated guidance, we narrowed the scope of our social media influencer and affiliate publisher programs. Any additional limits that FINRA might impose on our use of this marketing channel, or other regulatory changes limiting our ability to communicate with potential clients, could make it more difficult for us to attract new clients or retain and expand relationships with existing clients, resulting in slower growth.</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operating results, and financial condition.</w:t>
      </w:r>
    </w:p>
    <w:p>
      <w:pPr>
        <w:spacing w:after="0" w:line="9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subject to anti-money laundering, anti-bribery, anti-corruption, and similar laws and non-compliance with such laws can subject us to criminal penalties or significant fines and harm our business and reputation.</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subject to anti-money laundering (“AML”) laws, anti-bribery and similar laws, such as the FCPA, the U.S. domestic bribery statute contained in 18 U.S.C. § 201, the USA PATRIOT Act, U.S. Travel Act, and possibly other AML, anti-bribery, and anti-corruption laws in countries in which we conduct activities. Anti-corruption laws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a public company, the FCPA separately requires that we keep accurate books and records and maintain internal accounting controls sufficient to assure management’s control, authority, and responsibility over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20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adopted policies and procedures and conduct training designed to prevent improper client or business relationships, transactions,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and/or sanctions could harm our reputation, business, operating results, and financial condition.</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subject to anti-money laundering laws, countering the financing of terrorism (“CFT”) laws, and similar laws, and non-compliance with such laws can subject us to criminal penalties or significant fines and harm our business and reputation.</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are subject to AML, CFT, and similar laws, such as the Bank Secrecy Act of 1970 (as amended from time to time, the “BSA”) and the USA PATRIOT Act, and possibly other AML and CFT laws in jurisdictions in which we conduct activities. We maintain an enterprise-wide program designed to ensure compliance with applicable AML and CFT laws and regulations, which includes policies, procedures, processes and other internal controls designed to identify, monitor, manage, and mitigate money laundering, terrorist financing and other illicit financial crimes risks. However, we cannot provide any assurance that our compliance program will be effective in ensuring compliance with all applicable AML and CFT laws and regulations. Any failure to comply with AML and CFT laws and regulations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or sanctions could harm our reputation, business, operating results, and financial condition.</w:t>
      </w:r>
    </w:p>
    <w:p>
      <w:pPr>
        <w:spacing w:after="0" w:line="10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subject to governmental economic sanctions requirements and export and import controls that could subject us to liability if we are not in compliance with applicable laws.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platform and associated products are subject to various restrictions under applicable economic and trade sanctions laws and regulations, including those administered by the U.S. Department of the Treasury’s Office of Foreign Assets Control, the U.S. Department of State, the U.S. Department of Commerce, the United Nations Security Council, and other relevant sanctions authorities. These laws and regulations include restrictions or prohibitions on the sale or supply of certain products, technology, and services to prohibited countries, governments, persons, and entities and require authorization for the export of certain services.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These laws and regulations may undergo changes or updates in the future, which could limit our ability to distribute our platform or subject us to liability.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substantially harm our reputation, business, operating results,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 the past been, and may in the future become, involved in litigation and regulatory inquiries, examinations, or proceedings that could negatively affect us.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From time to time, we have been, and in the future we may be, involved in various legal, administrative, and regulatory proceedings, claims, demands, and investigations relating to our and our subsidiaries’ business, which may include claims with respect to regulatory compliance, commercial liability, intellectual property, employment and other matters. Regulatory bodies that govern our business operations often conduct investigations in the ordinary course of their oversight of businesses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209"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ours. Such matters, or matters raised by other administrative bodies, can become time-consuming, divert management’s attention and resources and cause us to incur significant expenses. Any such matters may result in fines and media coverage that could create negative publicity for our company, which may adversely impact our business, operating results, and financial condition. For example, in December 2018, our subsidiary Wealthfront Advisers LLC entered into a settlement with the SEC in connection with an investigation regarding compliance with certain applicable investment advisory regulations and the application of those regulations to robo-advisers. In connection with this settlement, this subsidiary was required to pay a substantial fine, and resulting media coverage of the investigation and settlement created negative publicity for our company. Because litigation and the outcome of regulatory proceedings and investigations are inherently unpredictable, it is possible that our business, operating results, or financial condition could be negatively affected by an unfavorable resolution of one or more of such proceedings, claims, demands, or investigations.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People</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rely on our management team and other key employees and will need additional personnel to grow our business, and the loss of one or more key employees or our inability to attract and retain qualified personnel, including members of our board of directors, could harm our business.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future success is dependent, in part, on our ability to hire, integrate, train, manage, retain, and motivate the members of our management team and other key employees throughout our organization as well as members of our board of directors. The loss of key personnel, including David Fortunato, our Chief Executive Officer, as well as certain of our key product, finance, support, network development, people team, or technology personnel, could disrupt our operations and have an adverse effect on our ability to grow our business.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expect to continue to increase headcount and to hire more specialized personnel as we grow our business. We may need to invest significant amounts of cash and equity to attract new employees or retain employees, and we may never realize returns on these investments. We also will need to continue to hire, train, and manage additional qualified engineers, product development, design, financial experts, operations, compliance,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operating results, and financial condition may be harmed.</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Further, competition for highly skilled personnel is intense, especially in the San Francisco Bay area where we have a substantial presence and need for highly skilled personnel, and we may not be successful in hiring or retaining qualified personnel to fulfill our current or future needs. More generally, the financial services industry is also subject to substantial and continuous competition for software engineers, computer scientists, and other technical personnel. We may be required to provide more training to our personnel than we currently anticipate. Further, labor is subject to external factors that are beyond our control, including our industry’s highly competitive market for skilled workers and leaders, cost inflation, overall macroeconomics, and workforce participation rates. Should our competitors recruit our employees, our level of expertise and ability to execute our business plan would be negatively impacted.</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many of our key personnel are, or will soon be, vested in a substantial number of shares of our common stock, RSUs, or stock options. Employees may be more likely to terminate their employment with us if the shares they own or the shares underlying their vested RSUs or options have significantly appreciated in value relative to the original purchase prices of the shares, exercise price of the options, or grant date values of the RSUs, or, conversely, if the exercise price of the options that they hold are significantly above the trading price of our common stock.</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Moreover, many of the companies with which we compete for experienced personnel have greater resources than we have. Our competitors also may be successful in recruiting and hiring members of our management team, product development team, engineering team, or other key employees, and it may be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20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difficult for us to find suitable replacements on a timely basis, on competitive terms, or at all. We have been in the past, and may be in the future,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job candidates and existing employees often consider the value of the equity awards and other compensation they receive in connection with their employment. If the perceived value of our compensatory package declines or is subject to significant value fluctuations, it may adversely affect our ability to attract and retain highly skilled employees. We may also change the composition of our compensation package to employees, including the amount or ratio of cash and equity compensation. Any increases to the amount of cash compensation will increase our cash expenditures, which may impact our business, operating results, and financial condition. Further, our competitors may be successful in recruiting and hiring members of our management team or other key employees as well as directors, and it may be difficult for us to find suitable replacements on a timely basis, on competitive terms, or at all. In recent years, the increased availability of hybrid or remote working arrangements has expanded the pool of companies that can compete for our employees and employment candidates. Our employment relationships with our U.S.-based employees are on an “at-will” basis, meaning our employees are able to terminate their employment with us at any time. If we fail to attract new personnel or fail to retain and motivate our current personnel, our business and future growth prospects would be severely harmed.</w:t>
      </w:r>
    </w:p>
    <w:p>
      <w:pPr>
        <w:spacing w:after="0" w:line="10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cannot maintain our corporate culture as we grow, we could lose the innovation, teamwork, passion, and focus on client satisfaction that we believe contribute to our success, and our business, operating results, and financial condition may be adversely impacted.</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that our corporate culture has been vital to our success, including in attracting, developing and retaining personnel, as well as our clients. As we continue to grow and face industry challenges, it may become more challenging to maintain that culture. If we are unable to maintain our corporate culture, we could lose the innovation, passion and dedication of our team that has been integral to our business, in which case our platform, products, and services and our ability to focus on our corporate objectives may suffer, and our business, operating results, and financial condition could be adversely impacted.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Platform, Systems, and Technology</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Problems with the quality of, or disruptions in, our platform, products and services could adversely impact our brand and reputation and our business, operating results, and financial condition.</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reputation and ability to attract and retain clients and grow our business depend on our ability to operate our platform at high levels of reliability and performance. Our platform, products, and services rely on proprietary software. Our systems and the systems of third parties that we rely on for certain key functions have experienced from time to time, and may experience in the future, service interruptions or degradation, which may occur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client usage of our platform in the past has and may in the future cause our systems to operate at an unacceptably slow speed or even fail, temporarily or for a more prolonged period of time, which would affect our ability to process transactions and potentially result in some slower response times and delays in client actions, incomplete or inaccurate accounting, recording or processing of client instructions and orders, loss of client information, increased demand on limited client support resources, client claims, complaints with regulatory organizations, lawsuits, or enforcement actions. Although we currently have a business continuity and disaster recovery plan in place, it may not be sufficient nor do our systems provide absolute assurance of complete redundancy of data storage or processing. We cannot guarantee that our policies and procedures will be adequate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20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detect all issues that could interfere with, or weaken the efficiency and quality of, our platform, products, and services. Additionally, an inability to cure a defect could result in significant software re-engineering expenses.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Because our business is subject to regulation, frequent or persistent interruptions could also lead to regulatory scrutiny, significant fines and penalties, and mandatory changes to our business practices which could require significant expense and resources to implement and maintain, and ultimately could cause us to lose existing licenses or relationships that we need to operate or prevent or delay us from obtaining additional licenses that may be required for our business. Moreover, to the extent that any system failure or similar event results in damages to our clients or their business partners, these clients or partners could seek significant compensation or contractual penalties or damages from us for their losses, and those claims, even if unsuccessful, would likely be time-consuming and costly for us to address.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we are continually improving and upgrading our information systems and technologies, including in connection with the introduction of new products and services and other efforts taken in connection with expanding our business. Implementation of new systems and technologies is complex, expensive, time-consuming, and may not be successful, and in certain instances the efforts by our engineering team to modify and extend our systems may inadvertently introduce bugs or other system errors. If we fail to timely and successfully implement new information systems and technologies, or effectively improve and upgrade our existing information systems and technologies or otherwise improve the efficiency of our systems, including in order to prevent or quickly address potential platform outages caused by such updates, or if such systems and technologies do not operate as intended, it could cause system interruptions and delays and could have an adverse impact on our internal controls (including internal controls over financial reporting), as well as our business, operating results, and financial condition.</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currently rely on a small number of third-party service providers to provide important services to us, and any interruptions or delays in services from these third parties could impair the delivery of our platform, products and services and adversely impact our business, operating results, and financial condition.</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use a combination of third-party services and other vendors located in the United States. Such third- parties provide services to key aspects of our operations, including brokerage clearing services (which we depend on in order to be able to settle client trades and engage in lending), banking services, services necessary to facilitate compliance with various regulatory requirements (such as tax reporting), data processing, data storage, administrative platforms, online interfaces and services, internet connections, server hosting, and network access. We do not control the operation, physical security, or data security of any of the third-party providers we rely upon. Despite our efforts to use commercially reasonable diligence in the selection and retention of such third-party providers, and although we may have indemnification and other contractual provisions designed to allocate risks with such providers, such efforts may be insufficient or inadequate to prevent such risks, and these services are subject to decisions of our third-party service providers, including the potential closure of facilities without adequate notice, and their facilities and systems may be subject to hardware and software defects or malfunctions, distributed denial-of-service and other cyberattacks, insider threats, break-ins, sabotage, human error, vandalism, pandemics, earthquakes, hurricanes, floods, fires and other natural disasters, power losses, disruptions in telecommunications services, fraud, military or political conflicts, terrorist attacks, computer viruses or other malware, or other events. Additionally, any failure or security breaches by one or more of our third-party service providers that results in an interruption in service, unauthorized access, misuse, loss or destruction of data, or other similar occurrences could interrupt our business, cause us to incur losses, result in decreased client satisfaction and increase client attrition, subject us to client complaints, significant fines, litigation, disputes, claims, regulatory investigations, or other inquiries, and harm our reputation. In addition, there is no assurance that our third-party service providers will be able to continue to provide their services to meet our current needs in an efficient, cost-effective manner or that they will be able to adequately expand their services to meet our needs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209"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 substantial amount of our clients’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client usage of the Wealthfront app. For example, from time to time we may experience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clients.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clients’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operating results, or financial condition.</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Additionally, in order to deliver a high-quality mobile experience for our clients, it is important that our products and services work well with a range of mobile technologies, products, systems, networks, hardware and standards that we do not control. We need to continuously modify, enhance, and improve our platform,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clients choose not to update our app to the latest version, or if it is otherwise difficult for them to access or use our app on their mobile devices, or if they use mobile products that do not offer access to our app, our client growth and engagement could be adversely affected and our revenues might decline. In addition, if our clients use older versions of our app it may result in client complaints and regulatory inquiries that could lead to arbitration claims or regulatory sanctions.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We rely on third-party data hosting providers and colocation data centers to host and operate our platform, and any disruption of or interference with our use of these services and facilities may negatively affect our ability to maintain the performance and reliability of our platform, which could cause our business, operating results, and financial condition to suffer.</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clients depend on the continuous availability of our platform, products, and services. We currently host our platform and serve our clients using a mix of third-party data hosting providers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20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factors, many of which are beyond our control, can affect the delivery, availability, and the performance of our platform, products, and services:</w:t>
      </w:r>
    </w:p>
    <w:p>
      <w:pPr>
        <w:spacing w:after="0" w:line="133" w:lineRule="exact"/>
        <w:rPr>
          <w:sz w:val="20"/>
          <w:szCs w:val="20"/>
          <w:color w:val="auto"/>
        </w:rPr>
      </w:pPr>
    </w:p>
    <w:p>
      <w:pPr>
        <w:ind w:left="500" w:hanging="244"/>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development and maintenance of the infrastructure of the internet;</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performance and availability of third-party providers of data hosting services with the necessary speed, data capacity, and security for providing reliable internet access and services;</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0"/>
        </w:numPr>
        <w:rPr>
          <w:rFonts w:ascii="Arial" w:cs="Arial" w:eastAsia="Arial" w:hAnsi="Arial"/>
          <w:sz w:val="14"/>
          <w:szCs w:val="14"/>
          <w:color w:val="auto"/>
        </w:rPr>
      </w:pPr>
      <w:r>
        <w:rPr>
          <w:rFonts w:ascii="Arial" w:cs="Arial" w:eastAsia="Arial" w:hAnsi="Arial"/>
          <w:sz w:val="14"/>
          <w:szCs w:val="14"/>
          <w:color w:val="auto"/>
        </w:rPr>
        <w:t>physical or electronic break-ins, acts of war or terrorism, human error or interference (including by disgruntled employees, former employees, or contractors), and other catastrophic events;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cyberattacks, including denial of service attacks, targeted at us, our data centers, or the infrastructure of the internet;</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failure by us to maintain and update our cloud and physical infrastructure to meet our data capacity requirements;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errors, defects, or performance problems in our software, including third-party software incorporated in our software;</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failure of our redundancy systems, in the event of a service disruption at one of our data centers, to provide failover to other data centers in our data center network;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failure of our or our service providers’ disaster recovery and business continuity arrangements.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adverse effects of any service interruptions on our reputation, business, operating results, and financial condition may be disproportionately heightened due to the nature of our business. Interruptions or failures in the delivery of our products and services could result in a cyberattack or other security threat to us or to one of our clients during such periods of interruption or failure. Additionally, interruptions or failures in our service could cause clients to end their use of our platform, products, and services, and harm our ability to attract new clients.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clients, or otherwise harm our business, operating results, and financial condition.</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incorporating, and may in the future further incorporate, AI Technologies into some of our internal processes. These technologies may present business, compliance, and reputational risks.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Currently, we primarily use artificial intelligence (“AI”) tools from third-party vendors in certain of our internal processes to help increase employee efficiency and productivity and to optimize software coding, and we may decide to expand our use of AI in the future. Our financial planning product leverages an internally-developed AI model for classifying transactions in linked accounts, which are non-Wealthfront accounts that a client can choose to link to their Wealthfront account to view all of their financial accounts in one place, and when clients open a Wealthfront Brokerage LLC account, we use internally-developed AI models to evaluate fraud risk. These internally-developed AI models rely on client data. As with many new and emerging technologies, AI presents numerous risks and challenges that could adversely affect our business. If we fail to keep pace with rapidly evolving AI technological developments, including machine learning and automated decision-making technologies (“AI Technologies”), especially in the financial technology sector, our competitive position and business results may suffer. We expect that increased investment will be required in the future to continuously improve our use of AI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209"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do not currently use other AI models in the automated financial services we offer nor do we currently intend to develop new AI models for use in the automated financial services we offer, though we may decide in the future to develop new AI models when appropriate.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For example, AI Technologies can lead to unintended consequences, including generating content that appears correct but is factually inaccurate, misleading, or otherwise flawed, or that results in unintended biases and discriminatory outcomes, which could negatively impact our clients, harm our reputation and business, and expose us to liability.</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Laws, regulations or industry standards that develop in response to the use of AI may be burdensome or may restrict our ability to use, develop, or deploy AI, particularly generative AI Technologies, in our products or processes to the extent we may choose to do so in the future, or our efforts to expand our business. For example, California enacted a number of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 risk” AI Technologies to implement certain safeguards against algorithmic discrimination, and Utah’s Artificial Intelligence Policy Act, which establishes disclosure requirements and accountability measures for the use of generative AI in certain consumer interactions. Moreover, we are subject to a number of current sector-specific laws and regulations that may be implicated by our use of AI Technologies. For example, if we use AI or machine learning tools in fraud detection, and it becomes clear that the data that was used to train those models was biased, we could be accused of engaging in unfair, deceptive, or abusive practices in violation of the Dodd-Frank Act (as defined below) and the regulations thereunder. It is also possible that the AI Technologies we use may, or may be viewed as, having unintended biases or discriminatory outcomes, exposing us to risks that we have discriminated against persons belonging to a protected class. Any resulting investigation or litigation could have an adverse impact on our operating results and financial condition due to the associated costs and any related fines, and could also have an adverse impact on our client relationships.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also use AI Technologies from third parties, which may include open source software, but such use of third-party models is limited to using generative AI in internal tools to increase productivity. If we are unable to maintain rights to use these AI Technologies on commercially reasonable terms, or if any such third-party AI tools become incompatible with our platform,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Failure to obtain, maintain, protect, or enforce our intellectual property and proprietary rights could enable others to copy or use aspects of our platform without compensating us, which could harm our brand, business, and operating results.</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rely on a combination of patent, trademark, copyright, and trade secrets laws, and contractual provisions, including confidentiality agreements, to establish and protect our intellectual property and proprietary technology, including from unauthorized use or disclosure by our clients, third-party partners, vendors, employees, and consultants. However, despite our efforts to protect our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209"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unauthorized parties may attempt to copy aspects of our platform or obtain and use information we regard as proprietary. There can be no assurance that our intellectual property rights will be sufficient to protect against our competitors gaining access to our proprietary technology or developing and commercializing substantially identical products, services, or technologies, which could adversely affect our business, operating results, and financial condition. Furthermore, legal standards relating to the validity, enforceability, and scope of protection of intellectual property rights are uncertain, which may lead to increased costs and risks surrounding the prosecution, validity, ownership, enforcement, and defense of our issued patents, patent applications, and other intellectual property rights.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Valid patents may not be issued for our pending or future patent applications, and the claims allowed on any issued patents may not be sufficient to protect our technology or platform. Any issued patents that we have or may obtain may be challenged or circumvented, invalidated, or held unenforceable through administrative processes, including re-examination, inter partes review, interference and derivation proceedings, and equivalent proceedings in foreign jurisdictions (e.g., opposition proceedings) or litigation, and any rights granted under these patents may not actually provide adequate defensive protection or competitive advantages to us. In addition, there may be issued patents held by third parties of which we are not aware, that, if found to be valid and enforceable, could be alleged to be infringed by our current or future technologies or products. There may also be pending patent applications of which we are not aware that may result in issued patents, which could be alleged to be infringed by our current or future technologies or products.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patent laws in the United States may also bring into question the validity of certain software patents and may make it more difficult and costly to prosecute patent applications.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enter into confidentiality agreements or other agreements that contain confidentiality provisions with our employees, consultants, vendors, and clients, and limit access to and distribution of our proprietary information. However, such agreements may not be enforceable in full or in part in all jurisdictions and no assurance can be given that such agreements will be effective in controlling access to, or distribution, use, misuse, misappropriation, reverse-engineering, or disclosure of our proprietary information, know-how, and trade secrets. In addition, any breach of these agreements could negatively affect our business and our remedy for such breach may be limited. Further, these agreements may not prevent our competitors from independently developing technologies that are substantially equivalent or superior to our platform, products, and services. As such, we cannot guarantee that the steps taken by us to prevent unauthorized access, use, disclosure, and distribution of our proprietary information will prevent misappropriation of our technology.</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currently pursue, and may in the future pursue, the registration of our patents, copyrights, trademarks, service marks, and domain names in the United States and in certain foreign jurisdictions. These application processes are expensive and may not be successful in all jurisdictions or for every such application, and we may not pursue such protections in all jurisdictions that may be relevant, for all our goods or services, or in every class of goods and services in which we operate. Additionally, we may not be able to obtain, maintain, protect, exploit, defend, or enforce our intellectual property rights in jurisdictions in which we currently or may in the future operate. For example, effective trade secret protection may not be available in every country in which our products are or will be available or where we have employees or independent contractors. The loss of trade secret protection could make it easier for third parties to compete with our platform, product, and services by copying functionality. In addition, any changes in the trade secret, employment, and other intellectual property laws in any country in which we may potentially operate may compromise our ability to enforce our trade secrets and other intellectual property rights. The legal systems of certain foreign countries do not favor the enforcement of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209"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trademarks, copyrights, trade secrets, and other intellectual property and proprietary protection, which could make it difficult for us to prevent or stop any infringement, misappropriation, dilution, or other violation of our intellectual property rights. If we fail to maintain, protect, and enhance our intellectual property rights, our brand, business, operating results, and financial condition may be harmed.</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From time to time, legal action by us may be necessary to enforce our patents and other intellectual property rights, to protect our trade secrets, to determine the validity and scope of the proprietary rights of others, or to defend against claims of infringement or invalidity. Protecting our intellectual property rights, both as a defendant and plaintiff, as applicable, through litigation in the United States and potentially internationally may entail significant time and expense.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expense, time, and effort required to create our platform and other innovative products that have enabled us to be successful to date. Moreover, we may in the future need to expend additional resources to defend our intellectual property rights in foreign countries, and our inability to do so could impair our business.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Third parties have claimed, and may claim in the future, that aspects of our platform or website infringe, misappropriate, or otherwise violate their intellectual property rights and such claims could be time-consuming or costly to defend or settle, result in the loss of significant rights, or harm our relationships with our clients or reputation in the industry.</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Our success depends, in part, on our ability to develop and commercialize our platform, products, and services without infringing, misappropriating, or otherwise violating the intellectual property rights of third parties. However, we may not be aware that aspects of our platform, products, or services are infringing, misappropriating, or otherwise violating third-party intellectual property rights and such third parties may bring claims alleging that our current or future platform capabilities, products, and services infringe their intellectual property rights. Such claims may also result in legal claims against our third-party partners and our clients. We cannot predict the outcome of lawsuits and cannot ensure that the results of any such claims will not have an adverse effect on our business, operating results, or financial condition. These claims may be time consuming, costly to defend or settle, damage our brand and reputation, harm our client relationships, and create liability for us. Contractually, we are expected to, and generally do agree to, indemnify our partners for certain expenses or liabilities they may incur as a result of any such third-party intellectual property infringement claims associated with our platform. In addition, to the extent that any claim arises as a result of third-party technology we have licensed for use in our platform, we may be unable to recover from the appropriate third party any expenses or other liabilities that we incur and may be forced to discontinue our use of such third-party technology. We expect the number of such claims (whether warranted or not) to increase, particularly as a public company with an increased profile and visibility, as our platform, the number of products and services we offer, and the level of competition in our market grows, as the functionality of our platform overlaps with that of other products and services, and as the volume of issued software patents and patent applications continues to increase.</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Companies in the financial services and technology industries, including some of our current and potential competitors, own large numbers of patents, copyrights, trademarks, and trade secrets and frequently engage in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Third parties have and may, in the future, assert patent, copyright, trademark, or other intellectual property rights against us, our third-party partners, or our clients. We have received, and we may in the future receive, notices that claim we have misappropriated, misused, or infringed other parties’ intellectual property rights. As we gain greater market visibility, we may face a higher risk of being the subject of intellectual property infringement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209"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There may be third-party intellectual property rights, including issued or pending patents and trademarks, that cover significant aspects of our technologies or business methods and assets. In the event that we engage engineers or other personnel who were previously engaged by competitors or other third parties, we may be subject to claims that those personnel have inadvertently or deliberately incorporated proprietary technology of third parties into our products or have otherwise improperly used or disclosed trade secrets or other proprietary information. We may also in the future be subject to claims by our third-party partners, employees, or contractors asserting an ownership right in our patents, patent applications, or other intellectual property rights as a result of the work they performed on our behalf. In addition, we may lose valuable intellectual property rights or personnel.</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Further, licensing technologies from third parties exposes us to increased risk of being the subject of intellectual property infringement claims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offer our platform.</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addition, we may use AI Technologies, including tools provided by third parties, to assist in the development of our own software code. While use of such tools makes our development process more efficient, AI Technologies have sometimes generated content that is “substantially similar” to proprietary or open source software code on which the AI tool was trained. If the AI Technologies we use generate code that is too similar to other proprietary code, or to software processes that are protected by patents, we could be subject to intellectual property infringement claims. We may also not be able to anticipate and detect security vulnerabilities in such AI-generated software code. If our tools generate code that is too similar to open source code, we risk losing protection of our own proprietary code that is commingled with such code. Further, to the extent we use third-party AI Technologies to develop software code, the terms of use of these tools may state that the third-party provider retains rights in the generated code. A number of aspects of intellectual property protection in the field of AI are currently under development, and there is uncertainty and ongoing litigation in different jurisdictions as to the degree and extent of protection warranted for AI Technologies and relevant system input and outputs. The law is also uncertain across jurisdictions regarding the copyright ownership of content that is produced in whole or in part by generative AI tools. If we fail to obtain protection for the intellectual property rights concerning our products which incorporate AI Technologies, or later have our intellectual property rights invalidated or otherwise diminished, our competitors may be able to take advantage of our research and development efforts to develop competing products which could adversely affect our reputation, business, operating results, financial condition, and future prospects.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Any intellectual property claims, whether with or without merit, could be very time-consuming, could be expensive to settle or litigate, and could divert our management’s attention and other resources, even if such claims do not result in litigation or are resolved in our favor. These claims could also subject us to significant liability for damages, potentially including treble damages if we are found to have willfully infringed patents or copyrights, and may require us to indemnify our clients for liabilities they incur as a result of such claims. Although we carry general liability insurance, our insurance may not cover potential claims of this type or may not be adequate to indemnify us for all liability that may be imposed. These claims could also result in our having to stop using technology found to be in violation of a third party’s rights. We might be required to seek a license for the applicable third-party intellectual property rights, which may not be available on reasonable terms or at all. Even if a license was available, we could be required to pay significant royalties, which would increase our operating expenses, or we could be required to develop alternative non-infringing technology, which may require significant time, effort, and expense, and may affect the performance or features of our platform. If we cannot license or develop alternative non-infringing substitutes for any infringing technology used in any aspect of our business, we may be forced to limit or stop offering our platform, products, and services and may be unable to compete effectively. Moreover, there could be public announcements of the results of hearings, motions, or other interim proceedings or developments, relating to our intellectual property rights, and if securities analysts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20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or investors perceive these results to be negative, it could have a substantial adverse effect on the price of our common stock. Any of these results would adversely affect our business, operating results, and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enter into licensing arrangements for certain of our products, and our inability to maintain those licenses could harm our business.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currently rely on or incorporate, and will in the future rely on or incorporate, technology that we license from third parties, including software, into our platform, products, and services. If we are unable to continue to use or license these technologies on reasonable terms, or if these technologies become unreliable, unavailable, or fail to operate properly, we may not be able to secure adequate alternatives in a timely or cost-effective manner or at all, and our ability to offer our platform, products, and services and remain competitive in our market would be harmed. Some of our third-party license agreements may be terminated by our licensors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offer solutions and services containing or dependent on that technology would be limited, and our business, including our financial conditions, cash flows, and operating results,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Third-party software we rely on may be updated infrequently, unsupported, or subject to vulnerabilities that may not be resolved in a timely manner, any of which may expose our solutions to vulnerabilities. Any impairment of the technologies of or our relationship with these third parties could harm our business, operating results, and financial condition.</w:t>
      </w:r>
    </w:p>
    <w:p>
      <w:pPr>
        <w:spacing w:after="0" w:line="10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Some of our technology incorporates “open source” software, which could under certain circumstances materially and adversely affect our ability to offer our platform, products, and services and subject us to possible litigation.</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Certain software used within our platform, products, and services is, and certain software of our clients, third-party partners, and vendors, may be, derived from “open source” software that is made generally available to the public by its authors or other third parties. Open source software is made available under licenses that in some instances may subject us to certain unfavorable conditions, including requirements that we offer our proprietary software, or portions of our proprietary software, which incorporates or links to such open source software, for no cost, that we make available source code for modifications or derivative works we create based upon, incorporating or using such open source software, and that we license such modifications or derivative works under the terms of the applicable open source licenses.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platform contains third-party open source software components, and failure to comply with the terms of the underlying open source software licenses could restrict our ability to offer our products and services. The use and distribution of open source software may entail greater risks than the use of third-party commercial software, as open source licensors generally do not provide warranties or other contractual protections regarding infringement claims or the quality of the code, which licensors are not typically required to maintain and update, and licensors can change the license terms on which they offer the open source software without notice. In addition, some open source projects have known vulnerabilities and architectural instabilities and are provided on an “as-is” basis which, if not properly addressed, could negatively affect the performance of our platform. Although we monitor our use of open source software in an effort to comply with the terms of the applicable open source licenses, to avoid subjecting our platform, products, and services to conditions we do not intend, and to avoid subjecting our platform, products, and services to security vulnerabilities, many of the risks associated with use of open source software cannot be eliminated and such risks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209"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operating results, and financial condition, as well as our reputation, including if we are required to take remedial action that may divert resources away from our development efforts.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use and distribution of certain software is subject to open source licenses that may require that we make certain source code publicly available. If we combine and distribute our proprietary software with open source software in a certain manner, we could, under certain open source licenses, be required to release the combined source code of our proprietary software to the public, under terms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Any efforts to re-engineer all or a portion of our platform could result in potentially prolonged periods of reduced usability and accessibility of our platform, which in turn would adversely affect our business, operating results, and financial condition.</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On occasion, companies that use open source software have faced claims challenging their use of open source software or compliance with open source license terms. The terms of many open source licenses have not been interpreted by U.S. courts, and there is a risk that these licenses could be construed in ways that could impose unanticipated conditions or restrictions on our ability to commercialize any offerings incorporating such software. Moreover, we cannot guarantee that we have not incorporated open source software in our platform in a manner that is inconsistent with the terms of the applicable license or our current policies and procedures, or that our processes for controlling our use of open source software in our platform are or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regardless of validity, could result in time consuming and costly litigation, divert management’s time and attention away from developing the business, expose us to client indemnity claims, or force us to disclose source code. Litigation could be costly for us to defend, result in our paying damages or entering into unfavorable licenses, have a negative effect on our operating results and financial condition, or cause delays by requiring us to devote additional research and development resources to modify our platform, products, and services.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Cybersecurity and Data Privacy</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business could be materially and adversely affected by a cybersecurity breach or other attack involving our computer systems or data or those of our clients, our third-party service providers, or such service providers’ vendors.</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systems and those of our clients and third-party service providers have been and might in the future be vulnerable to cybersecurity issues. We, like other financial technology companies, and certain of our third-party service providers, are routinely subject to cybersecurity threats and our technologies, systems, and networks have been and might in the future be subject to attempted cybersecurity attacks. Such issues are increasing in frequency and evolving in nature, including through employee and contractor theft or misuse, social engineering/phishing, denial-of-service attacks, malware (including ransomware), and human or technological error, and including from diverse threat actors, such as sophisticated nation-state and nation-state-supported actors, opportunistic hackers, and hacktivists engaging in attacks. The operation of our platform involves the use, collection, storage, sharing, disclosure, transfer, and other processing of client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209"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Cybersecurity attacks and other malicious internet-based activity continue to increase and financial technology platform providers have been and expect to continue to be targeted. We might be a particularly attractive target of attacks seeking to access client data or assets and might in the future experience adverse effects relating to real or perceived security incidents, whether or not related to the security of our platform or systems. The increasing sophistication and resources of cyber criminals and other non-state actors and increased actions by nation-state actors, including their techniques and tools—such as AI—that circumvent security controls, evade detection, and remove forensic evidence, make it difficult to keep up with new threats and detect, investigate, remediate or recover from a future breach of security. Additionally, there is an increased risk that we might experience cybersecurity-related incidents as a result of any of our employees, service providers, or other third-parties working remotely on less secure systems and environments. Further, we have in the past integrated, and may in the future integrate, the technologies of companies we acquire. As such, we may assume liabilities for breaches experienced by the companies we acquire to the extent they have cybersecurity vulnerabilities or unsophisticated security measures that expose us to significant cybersecurity, operational, and financial risks. Moreover, any integration of AI in our or any service providers’ operations, products, or services is expected to pose new or unknown cybersecurity risks and challenges. While we take significant efforts to protect our systems and data, including establishing internal processes and implementing technological measures designed to provide multiple layers of security, our safety and security measures may not be fully implemented or complied with or might be insufficient to prevent damage to, or interruption or breach of, our information systems, data (including personal data), and operations. We and certain of our third-party service providers are routinely subject to cybersecurity threats and our technologies, systems, and networks have been and might in the future be subject to attempted cybersecurity attacks. While to date no incidents have had a material impact on our operations or financial results, we cannot guarantee that material incidents will not occur in the future.</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clients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third-party service providers’ data security practices may not be adequate.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vendors that could also impact the security of our data, and we may not be able to effectively directly monitor or mitigate such risks, in particular as such risks relate to the use of vendors by the third parties that perform functions and services for us and our limited ability to assess such vendors’ operational controls.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 core aspect of our business is the reliability and security of our platform. Any unauthorized access to or disclosure, loss, destruction, disablement or encryption of, use or misuse of, or modification of data, including personal data, cybersecurity breach or other security incident that we, our clients or our third-party or their service providers experience or the perception that one has occurred or might occur, could harm our reputation, reduce the demand for our products and services and disrupt normal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209"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(such as class actions), regulatory investigations and enforcement, fines, and penalties, indemnity obligations, or damages for contract breach, divert resources and the attention of our management and key personnel away from our business operations, and cause us to incur significant costs, any of which could materially adversely affect our business, operating results, and financial condition. We may also be subject to client complaints and litigation and regulatory inquiries, examinations, enforcement actions, and investigations by various state and federal regulatory bodies, including the SEC, FINRA, and certain state regulators, related to any cybersecurity events.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common stock.</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operating results, or financial condition.</w:t>
      </w:r>
    </w:p>
    <w:p>
      <w:pPr>
        <w:spacing w:after="0" w:line="9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Compliance with ever-evolving federal, state, and foreign laws relating to the handling of information about individuals involves significant expenditure and resources, and if we fail to adequately protect personal data or other information we collect, process, share, or maintain under applicable laws, our business, operating results, and financial condition could be adversely affected.</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receive, store, and process certain personal data from our employees and clients. Additionally, our clients’ proprietary and confidential data is stored on our platform. A wide variety of state, national, and international laws, as well as regulations, rules, and industry standards apply to the collection, use, retention, protection, disclosure, transfer, and other processing of personal information and other data, the scope of which is changing, subject to differing interpretations, and may be inconsistent across jurisdictions, including those at local, state, federal, and international levels, or may conflict with other rules. Data protection and privacy-related laws and regulations are evolving and may result in increasing regulatory and public scrutiny and escalating levels of enforcement and sanctions. Failure or perceived failure to comply with U.S. or international laws, regulations, and industry standards regarding personal data or other information could adversely affect our business, operating results, and financial condition. Moreover, complying with new laws, regulations, and other requirements, or amendments to or changes in interpretations of these various existing laws, regulations, and other requirements, could cause us to incur substantial costs or require us to change our business practices, systems, and compliance procedures in a manner adverse to our business.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United States, there are numerous federal and state consumer, privacy, and data security laws and regulations governing the collection, use, disclosure, and protection of personal data, including security breach notification laws and consumer protection laws. Each of these laws is subject to varying interpretations and constantly evolving. For example, Regulation S-P, adopted by the SEC under the Gramm-Leach-Bliley Act, regulates the use of certain information about natural persons (“non-public personal information”) in the context of the provision of financial services for personal, family, or household purposes. Regulation S-P is primarily designed to protect the privacy and security of non-public personal information held by broker-dealers, investment advisers, and investment companies.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209"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May 2024, the SEC adopted significant amendments to Regulation S-P, effective December 2025, that impose new requirements for broker-dealers, registered investment advisers and investment companies to implement written incident response plans, as well as customer notification and service provider oversight procedures. Additionally, the Federal Trade Commission and many state attorneys general have enacted federal and state consumer protection laws to impose standards on the collection, use, dissemination, and security of data, including financial data. On the state level, the California Consumer Privacy Act of 2018 (as amended, the “CCPA”) created new data privacy obligations for covered businesses and provided new privacy rights to California residents, including receiving and responding to requests from California residents to exercise their right to access, delete, and correct their personal information, or to opt out of certain disclosures of their information, provide detailed information to California residents about how their personal data is collected, used and disclosed and enter into specific contractual provisions with service providers that process California resident personal information on the business’s behalf. The CCPA provides for civil penalties for violations, as well as a private right of action for certain data breaches that has increased data breach litigation. Over a third of other U.S. states have enacted consumer privacy laws comparable to the CCPA and numerous other states have pending consumer privacy legislation under review, which if enacted, would add additional costs and expense of resources to maintain compliance. There are also laws and regulations governing our collection and use of biometric information, such as face prints. For example, the Illinois Biometric Privacy Act (“BIPA”) applies to the collection and use of “biometric identifiers” and “biometric information,” which include face prints. Several class action lawsuits have been brought under BIPA, as the law is broad and still being interpreted by the courts.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also subject to evolving privacy laws on cookies, tracking technologies and marketing, advertising, and other activities conducted by telephone, email, mobile devices, and the internet. Regulation of cookies and similar technologies may lead to broader restrictions on our marketing and personalization activities, as well as the effectiveness of our marketing. Such regulations may have a negative effect on our business. We may also be subject to fines and penalties for non-compliance with any such laws and regulations. The decline of cookies or other online tracking technologies as a means to identify and target potential clients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Some countries are also considering or have passed legislation requiring local storage and processing of data, or similar requirements, which could increase the cost and complexity of delivering our products and services if we were to operate in those countries. If in the future we consider international expansion and are required to implement additional measures to transfer data around the world, this could increase our compliance costs, and could adversely affect our business, operating results, and financial condition.</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depend on third parties in relation to the operation of our business, a number of which process personal data on our behalf. We typically attempt to mitigate the associated risks of using third parties by, for example, performing due diligence and related risk and data security assessments prior to onboarding and on an ongoing periodic basis thereafter, entering into contractual arrangements so that providers only process personal data according to our instructions or to the instructions of our clients, and ensuring that they have sufficient technical and organizational security measures in place. There is no assurance that these contractual measures and our own privacy and security-related safeguards will protect us from the risks associated with the third-party processing, storage, and transmission of personal data. Any violation of privacy, data protection, data, or cybersecurity laws by our third-party processors could have an adverse effect on our business and result in significant fines and penalties.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U.S. and international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209"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privacy and security laws, rules, regulations, standards, certifications, or contractual obligations, or any compromise of security that results in unauthorized access to, or unauthorized loss, destruction, use, modification, acquisition, disclosure, release, or transfer of personal data, may result in requirements to modify or cease certain operations or practices, the expenditure of substantial costs, time, and other resources, proceedings or actions against us by individuals, consumer rights groups, governmental agencies, or others,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an adverse effect on our business, operating results, and financial condition.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Financial and Accounting Matters</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a public company, we will be subject to the reporting requirements of the Exchange Act, the Sarbanes-Oxley Act, and the rules and regulations of the applicable listing standards of Nasdaq.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result in a restatement of our financial statements for prior periods,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will be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operating results, and financial condition. Furthermore,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We have hired and expect to continue to hire additional employees to assist us in complying with these requirements, and we may also engage outside consultants, either of which will increase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209"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expect operating as a public company to result in a significant diversion of management’s time and attention from operating our business and to result in significantly increased costs.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a public company, we will incur significant legal, accounting, compliance, and other expenses that we did not incur as a private company. Such additional compliance costs will continue to increase our legal, accounting, and financial compliance costs, make certain activities more difficult, time-consuming, and costly, and place significant strain on our management, personnel, systems, and resources.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securities laws.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regulations and standards relating to corporate governance and public disclosure, including the Exchange Act, Sarbanes-Oxley Act, and rules and regulations implemented by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and maintain the same or similar coverage. These factors would also make it more difficult for us to attract and retain qualified members of our board of directors, particularly to serve on our audit committee and compensation committee, and qualified executive officers.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additional tax liabilities and U.S. federal and global income tax reform could adversely affect us.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U.S. federal, state, and local income taxes, sales, and other taxes in the United States and income taxes, withholding taxes, transaction taxes and may be subject to other taxes in certain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These types of changes to the taxation of our activities could increase the amount of taxes imposed on our business and harm our financial position. Such changes may also apply retroactively to our historical financial operations and result in taxes greater than the amounts estimated and recorded in our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NOL carryforwards and certain other tax attributes may be limited.</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January 31, 2025, we had aggregate U.S. federal and state net operating loss (“NOL”) carryforwards of $39.1 million and $ 125.7 million, respectively, which may be available to offset future taxable income for U.S. income tax purposes. Under the Tax Cuts and Jobs Act of 2017 (the “TCJA”), federal NOLs we generated in tax years beginning after December 31, 2017, may be carried forward indefinitely but may only be used to offset 80% of our taxable income annually, and the One Big Beautiful Bill Act of 2025 further reformed the Code, including by permanently extending certain provisions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209"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TCJA and restoring the deductibility of domestic research and development expenditures. If not utilized, our California and other state NOL carryforwards will begin to expire in 2032, with some state NOL carryforwards never expiring. Utilization of our NOL carryforwards and other tax attributes, such as research and development tax credits, may be subject to annual limitations, or could be subject to other limitations on utilization or benefit due to the ownership change limitations provided by Sections 382 and 383 of the Internal Revenue Code of 1986, as amended (the “Code”), and other similar provisions. As of January 31, 2025, we had federal research and development credit carryforwards of $12.2 million, which will begin to expire in 2039, and California research and development credit carryforwards of $7.4 million, which do not expire. Realization of these NOL and research and development credit carryforwards depends on our future taxable income, and there is a risk that certain of our existing carryforwards could expire unused and be unavailable to offset future income tax liabilities, which would result in increased tax liability and could adversely affect our business, operating results, and financial condition.</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under Sections 382 and 383 of the Code, if a corporation undergoes an “ownership change,” generally defined as a greater than 50% cumulative change (by value) in ownership by certain “five-percent shareholders” (as defined in the Code and regulations under Section 382) over a rolling three-year period, the corporation’s ability to use its pre-change NOLs and other pre-change tax attributes, such as research and development credits, to offset its post-change income or taxes may be limited. We may experience ownership changes in the future as a result of shifts in our stock ownership, including as a result of this offering. As a result, if we earn net taxable income, our ability to use our pre-change U.S. NOL carryforwards and other tax attributes to offset U.S. federal taxable income may be subject to limitations, which could potentially result in increased future tax liability to us. Similar provisions of state tax law may also apply to limit our use of accumulated state tax NOLs. In addition, at the state level, there may be periods during which the use of NOLs is suspended or otherwise limited, which could accelerate or permanently increase our state income tax liabilities. As a result of the foregoing, we may be unable to use all or a material portion of our net operating losses and other tax attributes, which could adversely affect our future cash flows.</w:t>
      </w:r>
    </w:p>
    <w:p>
      <w:pPr>
        <w:spacing w:after="0" w:line="10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the valuation of allowance for credit losses, warrant liabilities, SAFEs, and the convertible note, useful lives assigned to property and equipment, the discount rates used for leases, stock-based compensation, including the determination of the fair value of our common stock, and the realizability of deferred tax assets, net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potentially resulting in a decline in the market price of our common stock.</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profitability, or cause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209"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adverse deviation from our revenue and operating profit target, which may adversely affect our financial results.</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Revolving Credit Facility contains restrictive and financial covenants that may limit our operational flexibility. If we fail to meet our obligations under the Revolving Credit Facility, our operations may be interrupted and our business, operating results, and financial condition could be adversely affected.</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October 2025, we entered into the Revolving Credit Facility by and among us and certain lenders, some of which are affiliated with certain members of our underwriting syndicate, to fund working capital and general corporate purpose expenditures. Prior to the expected effective date of the registration statement of which this prospectus forms a part, we expect to borrow approximately $ 200.0 million on the Revolving Credit Facility in order to pay our anticipated tax withholding and remittance obligations in connection with the RSU Net Settlement, and we intend to use the net proceeds from this offering to repay such indebtedness. The Revolving Credit Facility contains customary conditions to borrowing, events of default, covenants, and consent requirements and other provisions that may limit our flexibility to take certain actions. Covenants include, but are not limited to, restrictions on our and certain of our subsidiaries’ ability to incur indebtedness, grant liens, dispose of assets, make certain restricted payments such as distributions to holders of our capital stock or the capital stock of our subsidiaries, share repurchases, make investments, or engage in transactions with our affiliates, and require us to maintain minimum tangible net worth, liquidity, and consolidated fixed charge coverage ratio. Our obligations are guaranteed by our material domestic subsidiaries (subject to certain exceptions) and secured by substantially all of our assets, including intellectual property assets. Various risks, uncertainties, and events beyond our control could affect our ability to comply with these covenants in the future. Failure to comply with any of the covenants could result in a default under the Revolving Credit Facility. If we have amounts outstanding under the Revolving Credit Facility at the time of such default, the lender may accelerate the maturity of such outstanding amounts, which in turn could result in adverse consequences that negatively impact our business, the market price for our common stock, and our ability to obtain other financing in the future.</w:t>
      </w:r>
    </w:p>
    <w:p>
      <w:pPr>
        <w:spacing w:after="0" w:line="108" w:lineRule="exact"/>
        <w:rPr>
          <w:sz w:val="20"/>
          <w:szCs w:val="20"/>
          <w:color w:val="auto"/>
        </w:rPr>
      </w:pPr>
    </w:p>
    <w:p>
      <w:pPr>
        <w:ind w:right="3340" w:firstLine="3351"/>
        <w:spacing w:after="0" w:line="438" w:lineRule="auto"/>
        <w:rPr>
          <w:sz w:val="20"/>
          <w:szCs w:val="20"/>
          <w:color w:val="auto"/>
        </w:rPr>
      </w:pPr>
      <w:r>
        <w:rPr>
          <w:rFonts w:ascii="Arial" w:cs="Arial" w:eastAsia="Arial" w:hAnsi="Arial"/>
          <w:sz w:val="14"/>
          <w:szCs w:val="14"/>
          <w:b w:val="1"/>
          <w:bCs w:val="1"/>
          <w:color w:val="auto"/>
        </w:rPr>
        <w:t xml:space="preserve">Risks Related to Ownership of Our Common Stock and This Offering </w:t>
      </w:r>
      <w:r>
        <w:rPr>
          <w:rFonts w:ascii="Arial" w:cs="Arial" w:eastAsia="Arial" w:hAnsi="Arial"/>
          <w:sz w:val="14"/>
          <w:szCs w:val="14"/>
          <w:b w:val="1"/>
          <w:bCs w:val="1"/>
          <w:i w:val="1"/>
          <w:iCs w:val="1"/>
          <w:color w:val="auto"/>
        </w:rPr>
        <w:t>The market price of our common stock may be volatile, and you could lose all or part of your investment.</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cannot predict the prices at which our common stock will trade. The initial public offering price of our common stock will be determined by negotiations between us and the underwriters and may not bear any relationship to the market price at which our common stock will trade after this offering. Furthermore, the market price of our common stock following this offering may fluctuate substantially and may be lower than the initial public offering price. The market price of our common stock following this offering will depend on a number of factors, including those described in this “Risk Factors” section, many of which are beyond our control and may not be related to our operating performance. In addition, the limited public float of our common stock following this offering will tend to increase the volatility of the trading price of our common stock. These fluctuations could cause you to lose all or part of your investment in our common stock, since you might not be able to sell your shares at or above the price you paid in this offering. Factors that could cause fluctuations in the market price of our common stock include, but are not limited to, the following:</w:t>
      </w:r>
    </w:p>
    <w:p>
      <w:pPr>
        <w:spacing w:after="0" w:line="101" w:lineRule="exact"/>
        <w:rPr>
          <w:sz w:val="20"/>
          <w:szCs w:val="20"/>
          <w:color w:val="auto"/>
        </w:rPr>
      </w:pPr>
    </w:p>
    <w:p>
      <w:pPr>
        <w:ind w:left="500" w:hanging="244"/>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operating results;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incurrence of any material amounts of indebtedness;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produce timely and accurate financial statements;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these projections, or our failure to meet these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209"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announcements by us or our competitors of new offerings or new or terminated significant contracts, commercial relationships, acquisitions, or capital commitments;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industry or financial analyst or investor reaction to our press releases, other public announcements, and filings with the SEC;</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 including fluctuations due to general economic trends or market sentiment;</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overall performance of the stock market or technology companies;</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expiration of market stand-off or contractual lock-up agreements and sales of shares of our common stock by us or our stockholders, as well as the anticipation of lock-up releases;</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failure of industry or financial analysts to maintain coverage of us, changes in financial estimates by any analysts who follow our company, or our failure to meet financial analysts’ estimates or the expectations of investors;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litigation or other proceedings involving us, our industry, or both, or investigations by regulators into our operations or those of our competitors or others that may be associated with us;</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rights, or third-party intellectual property or other proprietary rights that we rely on or have implemented into our platform;</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major changes in our management or our board of directors;</w:t>
      </w:r>
    </w:p>
    <w:p>
      <w:pPr>
        <w:spacing w:after="0" w:line="133" w:lineRule="exact"/>
        <w:rPr>
          <w:rFonts w:ascii="Arial" w:cs="Arial" w:eastAsia="Arial" w:hAnsi="Arial"/>
          <w:sz w:val="14"/>
          <w:szCs w:val="14"/>
          <w:color w:val="auto"/>
        </w:rPr>
      </w:pPr>
    </w:p>
    <w:p>
      <w:pPr>
        <w:jc w:val="both"/>
        <w:ind w:left="500" w:hanging="244"/>
        <w:spacing w:after="0" w:line="268"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global political, economic, and macroeconomic climate, including, but not limited to, actual or perceived instability in the financial industry, potential uncertainty with respect to the federal debt ceiling and budget and potential government shutdowns related thereto, labor shortages, the imposition of trade barriers, tariffs, and other protectionist measures, supply chain disruptions, potential recession, inflation, and interest rate volatility;</w:t>
      </w:r>
    </w:p>
    <w:p>
      <w:pPr>
        <w:spacing w:after="0" w:line="91"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acts of war, terrorism, armed conflict, including the conflicts in the Middle East and Ukraine and tensions between China and Taiwan, or responses to these events; and</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actual or perceived cybersecurity incidents.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Cornerstone Investors have, severally and not jointly, indicated an interest in purchasing up to an aggregate of $150.0 million in shares of our common stock offered in this offering at the initial public offering price and on the same terms and conditions as the other purchasers in this offering. The shares of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If the Cornerstone Investors are allocated a portion or all of, or more than, the shares in which they have indicated an interest in purchasing in this offering, the Cornerstone Investors’ elections to purchase any such shares could reduce the available public float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209"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the stock market in general, and the market for financial technology companies in particular, has experienced price and volume fluctuations that have often been unrelated or disproportionate to the operating performance of those companies, particularly during the current period of global macroeconomic uncertainty. These economic, political, regulatory, and market conditions may negatively impact the market price of our common stock, regardless of our actual operating performance. In the past, securities class action litigation and derivative litigation have often been instituted against companies following periods of volatility in the market price of a company’s securities. These types of litigation, if instituted, could result in substantial costs and a diversion of management’s attention and resources,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litigation defense costs, settlements, and damages awarded to plaintiffs, or incur substantially higher costs to maintain the same or similar coverage. Any of the above potential effects relating to potential volatility in the market price of our common stock could have an adverse effect on our business, operating results,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public market for our common stock currently exists, and an active public trading market may not develop or be sustained following this offering.</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Prior to this offering, there has been no public market or active private market for our common stock. We have applied to list our common stock on Nasdaq.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common stock. An inactive market may also impair our ability to raise capital by selling shares and may impair our ability to acquire other companies or technologies by using our shares as consideration.</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Sales of substantial amounts of our common stock in the public markets, or the perception that they might occur, could cause the market price of our common stock to decline.</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All of the shares of common stock sold in this offering will be freely tradable without restrictions or further registration under the Securities Act, except that any shares held by our affiliates, as defined in Rule 144 under the Securities Act, would only be able to be sold in compliance with Rule 144 and any applicable lock-up agreements described below.</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all of our directors and executive officers, the selling stockholders, and substantially all of the holders of our common stock, or securities exercisable for or convertible into our common stock outstanding immediately prior to this offering, are subject to market stand-off agreements or will agree not to offer, sell, or agree to sell, directly or indirectly, any shares of common stock without the permission of each of Goldman Sachs &amp; Co. LLC and J.P. Morgan Securities LLC, on behalf of the underwriters, during the period ending the earlier of</w:t>
      </w:r>
    </w:p>
    <w:p>
      <w:pPr>
        <w:spacing w:after="0" w:line="1" w:lineRule="exact"/>
        <w:rPr>
          <w:sz w:val="20"/>
          <w:szCs w:val="20"/>
          <w:color w:val="auto"/>
        </w:rPr>
      </w:pPr>
    </w:p>
    <w:p>
      <w:pPr>
        <w:jc w:val="both"/>
        <w:ind w:firstLine="4"/>
        <w:spacing w:after="0" w:line="253" w:lineRule="auto"/>
        <w:tabs>
          <w:tab w:leader="none" w:pos="169"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opening of trading on the second trading day following the date of our release of earnings for the fiscal quarter ending April 30, 2026, or (ii) the date that is 180 days after the date of this prospectus (the “Lock-up Period”), subject to certain customary exceptions and certain provisions that provide for the release of certain shares of our common stock. When the Lock-up Period expires, we and our securityholders subject to a lock-up agreement or market stand-off agreement will be able to sell our shares in the public market. In addition, Goldman Sachs &amp; Co. LLC and J.P. Morgan Securities LLC may, in their sole discretion, release all or some portion of the shares subject to lock-up agreements prior to the expiration of the Lock-up Period. See the section titled “Shares Eligible for Future Sale” for additional information. Sales of a substantial number of such shares upon expiration of the lock-up and market stand-off agreements, or the perception that such sales may occur, or early release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209"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these agreements, could cause our market price to fall or make it more difficult for you to sell your common stock at a time and price that you deem appropriate.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as of July 31, 2025 and before giving effect to the Option Exercise, we had stock options and RSUs outstanding that, if fully exercised or vested and settled, as applicable, would result in the issuance of 28,244,405 shares of common stock and 34,717,712 shares of common stock, respectively, and we also had outstanding warrants exercisable for the purchase of 1,953,463 shares of common stock, as well as 437,415 shares of common stock issuable upon the conversion of outstanding SAFEs. All of the shares of common stock issuable upon the exercise, settlement, or conversion of stock options, warrants, or RSUs,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Immediately following this offering, the holders of 83,283,544 shares of our common stock will have rights, subject to some conditions, to require us to file registration statements for the public resale of the common stock issuable upon conversion of such shares or to include such shares in registration statements that we may file for us or other stockholders.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common stock to decline.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Moreover, during the quarter in which this offering is completed, we will begin recording stock-based compensation expense for RSUs that we have granted to our service providers, which vest upon the satisfaction of both a service-based vesting condition and a liquidity-based vesting condition. We expect the liquidity-based vesting condition will be satisfied in connection with this offering. If the liquidity-based vesting condition had occurred on July 31, 2025, we would have recorded $204.9 million of stock-based compensation expense, and we would recognize additional stock-based compensation expense of $103.7 million over a weighted-average remaining requisite service period of 0.65 years. At the time of the offering, we expect to recognize stock-based compensation expense of approximately $219.2 million for which the service-based vesting condition was satisfied or partially satisfied as of the expected date of this offering as set forth on the cover page of this prospectus and for which we expect the liquidity-based vesting condition to be satisfied in connection with this offering. Following this offering, our future cost of revenue and operating expenses, particularly during the quarter in which this offering is completed, will include a substantial amount of stock-based compensation expense with respect to these RSUs, as well as any other equity awards we have granted and may grant in the future, which will have an adverse impact on our ability to maintain profitability.</w:t>
      </w:r>
    </w:p>
    <w:p>
      <w:pPr>
        <w:spacing w:after="0" w:line="10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financial analysts issue inaccurate or unfavorable research regarding, or do not or cease to cover, our business and our common stock, our stock price and trading volume could decline.</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trading market for our common stock will be influenced by the research and reports that financial analysts publish about us, our business, our market, and our competitors. We do not control these analysts or the content and opinions included in their reports. As a new public company, the analysts who publish information about our common stock will have had relatively little experience with our company, which could affect their ability to accurately forecast our results and make it more likely that we fail to meet their estimates. If any of the analysts who cover us issues an inaccurate or unfavorable opinion regarding us and/or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if any, or the expectations of analysts or public investors, analysts could downgrade our common stock or publish unfavorable research about us. If one or more of these analysts cease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209"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of our common stock or fail to publish reports on us regularly, our visibility in the financial markets could decrease, which in turn could cause our stock price or trading volume to decline.</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and will depend on our financial condition, operating results, capital requirements, general business conditions, and other factors that our board of directors may deem relevant. Furthermore, we are restricted under our Revolving Credit Facility from declaring or paying cash dividends. Accordingly, investors must rely on sales of their common stock after price appreciation, which may never occur, as the only way to realize any future gains on their investments.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anticipate incurring substantial federal and state tax withholding and remittance obligations in connection with the settlement of RSUs that vest in connection with this offering. The manner in which we fund these tax liabilities may have an adverse effect on our financial condition.</w:t>
      </w:r>
    </w:p>
    <w:p>
      <w:pPr>
        <w:spacing w:after="0" w:line="6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anticipate that we will incur substantial federal and state tax obligations in light of the large number of RSUs that will vest in connection with this offering, a portion of which will settle at the time of this offering. The RSUs granted prior to the date of this prospectus vest upon the satisfaction of service-based and liquidity-based vesting conditions. We anticipate that we will use approximately $ 119.7 million of the net proceeds from this offering, assuming an initial public offering price of $13.00 per share, the midpoint of the estimated price range set forth on the cover page of this prospectus, to satisfy federal and state tax withholding and remittance obligations in connection with the net settlement of a portion of the RSUs outstanding as of July 31, 2025, for which the service-based vesting condition will be satisfied before the expected date of this offering as set forth on the cover page of this prospectus, and for which the liquidity-based vesting condition will be satisfied in connection with this offering, including prior to the expiration of the lock-up and/or market stand-off period. In connection with the settlement of these RSUs, we plan to withhold certain shares underlying RSUs and remit federal and state taxes on behalf of the holders of such RSUs at applicable statutory tax withholding rates based on the initial public offering price per share in this offering. See the section titled “Use of Proceeds.” For vested RSUs that will not be settled in connection with this offering, we may elect to satisfy related federal and state tax withholding and remittance obligations by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the section titled “Shares Eligible for Future Sale.”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common stock in such transactions and our stockholders’ personal tax rates. However, with respect to employees that are not executive officers, if sell-to-cover proceeds are not available at the time taxes must be remitted to state and federal tax authorities, we would need to remit taxes to the relevant tax authorities using cash on hand, which may include cash proceeds generated from this offering, pending the receipt of such sell-to-cover proceeds. If we are required to remit tax obligations on behalf of our employees without having first received proceeds from their sell-to-cover transactions, we could have significant cash outlays that could have an adverse effect on our financial condition. In addition, shares sold by our executive officers, directors, and other employees in sell-to-cover transactions may have an adverse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209"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have broad discretion in the use of the net proceeds to us from this offering and may not use them effectively.</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operating results, financial condition, and prospects could be harmed,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Because the initial public offering price of our common stock will be substantially higher than the pro forma net tangible book value per share of our outstanding common stock following this offering, new investors will experience immediate and substantial dilution.</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 shares of our common stock in this offering, based on the midpoint of the offering price range set forth on the cover page of this prospectus, and the issuance of 21,468,038 shares of common stock in this offering, you will experience immediate dilution of $9.95 per share, the difference between the price per share you pay for our common stock and its pro forma net tangible book value per share as of July 31, 2025, after giving effect to the issuance of shares of our common stock in this offering. Furthermore, if the underwriters exercise their option to purchase additional shares in full, current or future outstanding warrants or equity awards are settled in shares of our capital stock, or if we otherwise issue additional shares of our capital stock, you could experience further dilution. See the section titled “Dilution” for additional information.</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an “emerging growth company” and the reduced reporting requirements applicable to emerging growth companies could make our common stock less attractive to investors.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equals or exceeds $700.0 million as of the prior July 31, or if we have total annual gross revenue of $1.235 billion or more during any fiscal year before that time, in which cases we would no longer be an emerging growth company as of the following January 31, or if we issue more than $1.0 billion in non-convertible debt during any three-year period before that time, in which case we would no longer be an emerging growth company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209"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 and members of our board of directors.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Provisions in our restated certificate of incorporation and restated bylaws that will be in effect immediately prior to the completion of this offering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will include provisions that:</w:t>
      </w:r>
    </w:p>
    <w:p>
      <w:pPr>
        <w:spacing w:after="0" w:line="98" w:lineRule="exact"/>
        <w:rPr>
          <w:sz w:val="20"/>
          <w:szCs w:val="20"/>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provide that our board of directors is classified into three classes of directors with staggered three-year terms;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permit our board of directors to establish the number of directors and fill any vacancies and newly created directorships;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require supermajority voting to amend some provisions in our restated certificate of incorporation and restated bylaws;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of directors could use to implement a stockholder rights plan;</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provide that only the chairperson of our board of directors, our chief executive officer, our lead independent director, or a majority of our board of directors will be authorized to call a special meeting of stockholders;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do not provide for cumulative voting;</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provide that directors may only be removed “for cause” and only with the approval of two-thirds of our stockholders;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provide that our board of directors is expressly authorized to make, alter, or repeal our restated bylaws; and</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209"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restated bylaws will contain exclusive forum provisions for certain claims, which may limit our stockholders’ ability to obtain a favorable judicial forum for disputes with us or our directors, officers, or employees.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restated bylaws that will be in effect immediately prior to the completion of this offering will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restated bylaws, any action to interpret, apply, enforce, or determine the validity of our restated certificate of incorporation or our restated bylaws, or any action asserting a claim against us that is governed by the internal affairs doctrine or asserting an “internal corporate claim” as defined in the DGCL.</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Moreover, 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U.S. federal court.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Our stockholders will not be deemed to have waived our compliance with the federal securities laws and the regulations promulgated thereunder.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bylaws to be inapplicable or unenforceable in an action, we may incur additional costs associated with resolving such action in other jurisdictions, which could harm our business, operating results, and financial condition.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Risk Factors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We may be adversely affected by natural disasters, pandemics, and other catastrophic events, and by man-made problems such as war and regional geopolitical conflicts around the world, that could disrupt our business operations, and our business continuity and disaster recovery plans may not adequately protect us from a serious disaster.</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Natural disasters or other catastrophic events may cause damage or disruption to our operations, international commerce, and the global economy, and thus could have an adverse effect on us. Our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209"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business operations are also subject to interruption by fire, power shortages, flooding, and other events beyond our control. In addition, we are exposed to risks associated with public health crises, such as pandemics and epidemics, which could harm our business and cause our operating results to suffer. Further, acts of war, armed conflict, terrorism, and other geopolitical unrest, such as the conflicts in the Middle East and Ukraine, and tensions between China and Taiwan, could cause disruptions in our business, the businesses of our partners or clients, or the economy as a whole.</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For example, our corporate offices are located in California, a state that frequently experiences earthquakes, wildfires, and resultant air quality impacts and power shutoffs associated with wildfire prevention, heatwaves, and droughts. These events can, in turn, in addition to causing business interruptions, also have impacts on inflation risk, food security, water security, and on our employees’ health and well-being. The insurance we maintain may be insufficient to cover our losses resulting from such business interruptions, and any incidents may result in loss of, or increased costs of, such insurance. Additionally, all the aforementioned risks will be further increased if we do not implement an effective disaster recovery plan or our partners’ or clients’ disaster recovery plans prove to be inadequate.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from the operations of our business to such litigation,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defense costs, settlements, and damages awarded to plaintiffs, or incur substantially higher costs to maintain the same or similar coverage. These factors could make it more difficult for us to attract and retain qualified executive officers and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209"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prospectus contains forward-looking statements about us and our industry that involve substantial risks and uncertainties. All statements contained in this prospectus other than statements of historical fact, including statements regarding our future operating results and financial condition,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 contained in this prospectus include, but are not limited to, statements about:</w:t>
      </w:r>
    </w:p>
    <w:p>
      <w:pPr>
        <w:spacing w:after="0" w:line="133" w:lineRule="exact"/>
        <w:rPr>
          <w:sz w:val="20"/>
          <w:szCs w:val="20"/>
          <w:color w:val="auto"/>
        </w:rPr>
      </w:pPr>
    </w:p>
    <w:p>
      <w:pPr>
        <w:ind w:left="500" w:hanging="244"/>
        <w:spacing w:after="0" w:line="286" w:lineRule="auto"/>
        <w:tabs>
          <w:tab w:leader="none" w:pos="496"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revenue, cost of revenue, gross profit or gross margin, operating expenses, including changes in operating expenses, and our ability to maintain profitability;</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business plan and our ability to effectively manage our growth;</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attract new clients and retain and grow platform assets from our existing clients;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total market opportunity;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and in the markets in which we operate;</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market acceptance of our platform, products, and services;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beliefs and objectives for future operations;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develop and introduce platform enhancements and new products and services and bring them to market in a timely manner, including our mortgage offering;</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expectations concerning relationships with third parties;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effects of increased competition in our markets and our ability to compete effectively;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future acquisitions or investments in complementary companies or products;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stay in compliance with laws and regulations that currently apply or may become applicable to our business both in the United States and internationally;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economic and industry trends, projected growth, or trend analysis;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effects of seasonal trends on our operating results;</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5"/>
        </w:numPr>
        <w:rPr>
          <w:rFonts w:ascii="Arial" w:cs="Arial" w:eastAsia="Arial" w:hAnsi="Arial"/>
          <w:sz w:val="14"/>
          <w:szCs w:val="14"/>
          <w:color w:val="auto"/>
        </w:rPr>
      </w:pPr>
      <w:r>
        <w:rPr>
          <w:rFonts w:ascii="Arial" w:cs="Arial" w:eastAsia="Arial" w:hAnsi="Arial"/>
          <w:sz w:val="14"/>
          <w:szCs w:val="14"/>
          <w:color w:val="auto"/>
        </w:rPr>
        <w:t>general economic conditions in the United States and globally, including the effects of global geopolitical conflicts, fluctuating inflation, interest, and tariff rates, potential instability in the global banking sector, the federal debt ceiling and budget, and foreign currency exchange rates;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operate and grow our business in light of macroeconomic uncertainty;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increased expenses associated with being a public company;</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expiration or release of market stand-off or contractual lock-up agreements, anticipation of such events, and sales of shares of our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209"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intended use of the net proceeds from this offering;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other statements regarding our future operations, financial condition, and growth prospects and business strategies.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based these forward-looking statements largely on our current expectations and projections about future events and trends that we believe may affect our operating results, financial condition, business strategy, and short-term and long-term business operations and objectives. These forward-looking statements are subject to a number of risks, uncertainties, and assumptions, including those described in the section titled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prospectus or to conform these statements to actual results or to changes in our expectations, except as required by law. These forward-looking statements do not reflect the potential impact of any future acquisitions, mergers, dispositions, joint ventures, or investments.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209"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INDUSTRY AND MARKET DATA</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Unless otherwise indicated, information contained in this prospectus concerning our industry and the markets in which we operate, including our general expectations, market position, market opportunity, and market size, is based on information from various sources, including our own estimates, as well as assumptions that we have made that are based on such data and other similar sources and on our knowledge of the markets for our products. This information involves important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the sections titled “Risk Factors” and “Special Note Regarding Forward-Looking Statements,” as well as elsewhere in this prospectus. These and other factors could cause results to differ materially from those expressed in the estimates made by the independent parties and by us.</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This prospectus contains statistical data, estimates, and forecasts that are based on publications or reports generated by third parties, or other publicly available information, as well as other information based on our internal sources.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sources of certain statistical data, estimates, and forecasts contained in this prospectus are provided below:</w:t>
      </w:r>
    </w:p>
    <w:p>
      <w:pPr>
        <w:spacing w:after="0" w:line="133" w:lineRule="exact"/>
        <w:rPr>
          <w:sz w:val="20"/>
          <w:szCs w:val="20"/>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Board of Governors of the Federal Reserve System, </w:t>
      </w:r>
      <w:r>
        <w:rPr>
          <w:rFonts w:ascii="Arial" w:cs="Arial" w:eastAsia="Arial" w:hAnsi="Arial"/>
          <w:sz w:val="14"/>
          <w:szCs w:val="14"/>
          <w:i w:val="1"/>
          <w:iCs w:val="1"/>
          <w:color w:val="auto"/>
        </w:rPr>
        <w:t>Changes in U.S. Family Finances from 2019 to 2022</w:t>
      </w:r>
      <w:r>
        <w:rPr>
          <w:rFonts w:ascii="Arial" w:cs="Arial" w:eastAsia="Arial" w:hAnsi="Arial"/>
          <w:sz w:val="14"/>
          <w:szCs w:val="14"/>
          <w:color w:val="auto"/>
        </w:rPr>
        <w:t>, October 2023.</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Board of Governors of the Federal Reserve System, </w:t>
      </w:r>
      <w:r>
        <w:rPr>
          <w:rFonts w:ascii="Arial" w:cs="Arial" w:eastAsia="Arial" w:hAnsi="Arial"/>
          <w:sz w:val="14"/>
          <w:szCs w:val="14"/>
          <w:i w:val="1"/>
          <w:iCs w:val="1"/>
          <w:color w:val="auto"/>
        </w:rPr>
        <w:t>Distribution of Household Wealth in the U.S. since 1989</w:t>
      </w:r>
      <w:r>
        <w:rPr>
          <w:rFonts w:ascii="Arial" w:cs="Arial" w:eastAsia="Arial" w:hAnsi="Arial"/>
          <w:sz w:val="14"/>
          <w:szCs w:val="14"/>
          <w:color w:val="auto"/>
        </w:rPr>
        <w:t>, March 2025.</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Board of Governors of the Federal Reserve System, </w:t>
      </w:r>
      <w:r>
        <w:rPr>
          <w:rFonts w:ascii="Arial" w:cs="Arial" w:eastAsia="Arial" w:hAnsi="Arial"/>
          <w:sz w:val="14"/>
          <w:szCs w:val="14"/>
          <w:i w:val="1"/>
          <w:iCs w:val="1"/>
          <w:color w:val="auto"/>
        </w:rPr>
        <w:t>Survey of Consumer Finances, 1989 - 2022</w:t>
      </w:r>
      <w:r>
        <w:rPr>
          <w:rFonts w:ascii="Arial" w:cs="Arial" w:eastAsia="Arial" w:hAnsi="Arial"/>
          <w:sz w:val="14"/>
          <w:szCs w:val="14"/>
          <w:color w:val="auto"/>
        </w:rPr>
        <w:t>, November 2023.</w:t>
      </w:r>
    </w:p>
    <w:p>
      <w:pPr>
        <w:spacing w:after="0" w:line="133" w:lineRule="exact"/>
        <w:rPr>
          <w:rFonts w:ascii="Arial" w:cs="Arial" w:eastAsia="Arial" w:hAnsi="Arial"/>
          <w:sz w:val="14"/>
          <w:szCs w:val="14"/>
          <w:color w:val="auto"/>
        </w:rPr>
      </w:pPr>
    </w:p>
    <w:p>
      <w:pPr>
        <w:ind w:left="260" w:hanging="256"/>
        <w:spacing w:after="0"/>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Capgemini Research Institute, </w:t>
      </w:r>
      <w:r>
        <w:rPr>
          <w:rFonts w:ascii="Arial" w:cs="Arial" w:eastAsia="Arial" w:hAnsi="Arial"/>
          <w:sz w:val="14"/>
          <w:szCs w:val="14"/>
          <w:i w:val="1"/>
          <w:iCs w:val="1"/>
          <w:color w:val="auto"/>
        </w:rPr>
        <w:t>Work Report Series 2025 - Wealth Management</w:t>
      </w:r>
      <w:r>
        <w:rPr>
          <w:rFonts w:ascii="Arial" w:cs="Arial" w:eastAsia="Arial" w:hAnsi="Arial"/>
          <w:sz w:val="14"/>
          <w:szCs w:val="14"/>
          <w:color w:val="auto"/>
        </w:rPr>
        <w:t>, 2025.</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Federal Reserve Bank of St. Louis, </w:t>
      </w:r>
      <w:r>
        <w:rPr>
          <w:rFonts w:ascii="Arial" w:cs="Arial" w:eastAsia="Arial" w:hAnsi="Arial"/>
          <w:sz w:val="14"/>
          <w:szCs w:val="14"/>
          <w:i w:val="1"/>
          <w:iCs w:val="1"/>
          <w:color w:val="auto"/>
        </w:rPr>
        <w:t>The State of U.S. Household Wealth</w:t>
      </w:r>
      <w:r>
        <w:rPr>
          <w:rFonts w:ascii="Arial" w:cs="Arial" w:eastAsia="Arial" w:hAnsi="Arial"/>
          <w:sz w:val="14"/>
          <w:szCs w:val="14"/>
          <w:color w:val="auto"/>
        </w:rPr>
        <w:t>, Q4 2024.</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Fidelity National Information Services (“FIS”), </w:t>
      </w:r>
      <w:r>
        <w:rPr>
          <w:rFonts w:ascii="Arial" w:cs="Arial" w:eastAsia="Arial" w:hAnsi="Arial"/>
          <w:sz w:val="14"/>
          <w:szCs w:val="14"/>
          <w:i w:val="1"/>
          <w:iCs w:val="1"/>
          <w:color w:val="auto"/>
        </w:rPr>
        <w:t>With Consumers Leaning on Social Media for Financial Advice, Banks Have an Opportunity to Avoid a Generational Trust Cliff</w:t>
      </w:r>
      <w:r>
        <w:rPr>
          <w:rFonts w:ascii="Arial" w:cs="Arial" w:eastAsia="Arial" w:hAnsi="Arial"/>
          <w:sz w:val="14"/>
          <w:szCs w:val="14"/>
          <w:color w:val="auto"/>
        </w:rPr>
        <w:t>, October 2024.</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Harry Markowitz, </w:t>
      </w:r>
      <w:r>
        <w:rPr>
          <w:rFonts w:ascii="Arial" w:cs="Arial" w:eastAsia="Arial" w:hAnsi="Arial"/>
          <w:sz w:val="14"/>
          <w:szCs w:val="14"/>
          <w:i w:val="1"/>
          <w:iCs w:val="1"/>
          <w:color w:val="auto"/>
        </w:rPr>
        <w:t>Portfolio Selection</w:t>
      </w:r>
      <w:r>
        <w:rPr>
          <w:rFonts w:ascii="Arial" w:cs="Arial" w:eastAsia="Arial" w:hAnsi="Arial"/>
          <w:sz w:val="14"/>
          <w:szCs w:val="14"/>
          <w:color w:val="auto"/>
        </w:rPr>
        <w:t>, The Journal of Finance, Vol. 7, No. 1, March 1952.</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Michael Sacchitello and Will Baker, </w:t>
      </w:r>
      <w:r>
        <w:rPr>
          <w:rFonts w:ascii="Arial" w:cs="Arial" w:eastAsia="Arial" w:hAnsi="Arial"/>
          <w:sz w:val="14"/>
          <w:szCs w:val="14"/>
          <w:i w:val="1"/>
          <w:iCs w:val="1"/>
          <w:color w:val="auto"/>
        </w:rPr>
        <w:t>Investopedia’s 2023 Robo-Advisor Consumer Survey, Investopedia</w:t>
      </w:r>
      <w:r>
        <w:rPr>
          <w:rFonts w:ascii="Arial" w:cs="Arial" w:eastAsia="Arial" w:hAnsi="Arial"/>
          <w:sz w:val="14"/>
          <w:szCs w:val="14"/>
          <w:color w:val="auto"/>
        </w:rPr>
        <w:t>, October 2023.</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Oxford Economics, </w:t>
      </w:r>
      <w:r>
        <w:rPr>
          <w:rFonts w:ascii="Arial" w:cs="Arial" w:eastAsia="Arial" w:hAnsi="Arial"/>
          <w:sz w:val="14"/>
          <w:szCs w:val="14"/>
          <w:i w:val="1"/>
          <w:iCs w:val="1"/>
          <w:color w:val="auto"/>
        </w:rPr>
        <w:t>Forecasting the Growth of Millennial Wealth in the US</w:t>
      </w:r>
      <w:r>
        <w:rPr>
          <w:rFonts w:ascii="Arial" w:cs="Arial" w:eastAsia="Arial" w:hAnsi="Arial"/>
          <w:sz w:val="14"/>
          <w:szCs w:val="14"/>
          <w:color w:val="auto"/>
        </w:rPr>
        <w:t>, April 2025, a third-party research study commissioned by Wealthfront Corporation.</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U.S. Bureau of Labor Statistics, </w:t>
      </w:r>
      <w:r>
        <w:rPr>
          <w:rFonts w:ascii="Arial" w:cs="Arial" w:eastAsia="Arial" w:hAnsi="Arial"/>
          <w:sz w:val="14"/>
          <w:szCs w:val="14"/>
          <w:i w:val="1"/>
          <w:iCs w:val="1"/>
          <w:color w:val="auto"/>
        </w:rPr>
        <w:t>Current Employment Statistics - CES (National)</w:t>
      </w:r>
      <w:r>
        <w:rPr>
          <w:rFonts w:ascii="Arial" w:cs="Arial" w:eastAsia="Arial" w:hAnsi="Arial"/>
          <w:sz w:val="14"/>
          <w:szCs w:val="14"/>
          <w:color w:val="auto"/>
        </w:rPr>
        <w:t>, July 2025.</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U.S. Census Bureau, </w:t>
      </w:r>
      <w:r>
        <w:rPr>
          <w:rFonts w:ascii="Arial" w:cs="Arial" w:eastAsia="Arial" w:hAnsi="Arial"/>
          <w:sz w:val="14"/>
          <w:szCs w:val="14"/>
          <w:i w:val="1"/>
          <w:iCs w:val="1"/>
          <w:color w:val="auto"/>
        </w:rPr>
        <w:t>Populations and People</w:t>
      </w:r>
      <w:r>
        <w:rPr>
          <w:rFonts w:ascii="Arial" w:cs="Arial" w:eastAsia="Arial" w:hAnsi="Arial"/>
          <w:sz w:val="14"/>
          <w:szCs w:val="14"/>
          <w:color w:val="auto"/>
        </w:rPr>
        <w: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209"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estimate that the net proceeds from the sale of shares of our common stock in this offering at an assumed initial public offering price of $13.00 per share, which is the midpoint of the offering price range set forth on the cover page of this prospectus, and after deducting estimated underwriting discounts and commissions and estimated offering expenses payable by us, will be approximately $255.2 million, or $318.6 million if the underwriters’ option to purchase additional shares of common stock is exercised in full. We will not receive any proceeds from the sale of shares of our common stock by the selling stockholders.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 $1.00 increase (decrease) in the assumed initial public offering price of $13.00 per share, which is the midpoint of the offering price range set forth on the cover page of this prospectus, would increase (decrease) the net proceeds to us from this offering by approximately $20.1 million, assuming the number of shares of our common stock offered by us remains the same and after deducting estimated underwriting discounts and commissions payable by us. Similarly, each increase (decrease) of 1.0 million shares in the number of shares of our common stock offered would increase (decrease) the net proceeds from this offering by approximately $12.2 million, assuming that the assumed initial public offering price of $13.00 remains the same, and after deducting the estimated underwriting discounts and commissions payable by us.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principal purposes of this offering are to create a public market for our common stock, increase our visibility in the marketplace, obtain additional capital, increase our capitalization and financial flexibility, and facilitate an orderly distribution of shares for the selling stockholders. We currently intend to use the net proceeds we receive from this offering for working capital and other general corporate purposes, which may include product development, general and administrative matters, capital expenditures, and satisfying our general capital needs (including capital requirements imposed by regulators and SROs). We intend to use a portion of the net proceeds we receive from this offering to repay the $200.0 million of indebtedness under the Revolving Credit Facility, which we intend to borrow in order to pay our anticipated tax withholding and remittance obligations related to the RSU Net Settlement. The Revolving Credit Facility matures on October 13, 2028, and interest on our outstanding balance under the Revolving Credit Facility accrues at a rate per annum equal to, at our option, either (i) a base rate determined by reference to the highest of (x) prime rate, (y) the federal funds effective rate plus 0.50% and (z) the adjusted daily Secured Overnight Financing Rate (“SOFR”) plus 1.00%, in each case plus the applicable interest margin, or (ii) the adjusted daily SOFR plus the applicable interest margin. After withholding an aggregate of 8,434,405 shares of our common stock in connection with the RSU Net Settlement, based on the assumed initial public offering price of $13.00 per share of common stock, which is the midpoint of the offering price range set forth on the cover page of this prospectus, and using an assumed 45% tax withholding rate, we would use approximately $119.7 million to satisfy our tax withholding and remittance obligations related to the RSU Net Settlement. Prior to the closing of this offering, we intend to use the proceeds from the Revolving Credit Facility, together with cash on hand, to pay all of our anticipated tax withholding and remittance obligations related to the RSU Net Settlement.</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may also use a portion of the net proceeds to acquire or invest in businesses, products, services, or technologies that complement our business. However, we do not have agreements or commitments for any material acquisitions or investments at this time.</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will have broad discretion over the uses of the net proceeds of this offering. We cannot specify with certainty all of the particular uses for the remaining net proceeds to us from this offering. We intend to invest a portion of net proceeds from this offering in one or more capital preservation investments, which may include short-term, investment-grade interest-bearing securities, such as money market funds, certificates of deposit, commercial paper, and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209"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DIVIDEND POLICY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currently intend to retain all available funds and any future earnings for use in the operation of our business and do not anticipate paying any dividends on our capital stock in the foreseeable future. Additionally, our ability to pay dividends or make distributions is currently limited by the terms of the Revolving Credit Facility. For additional information regarding the Revolving Credit Facility, see the section titled “Management’s Discussion and Analysis of Financial Condition and Results of Operations—Liquidity and Capital Resources.” Any future determination to declare dividends will be made at the discretion of our board of directors and will depend on our operating results, financial condition,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209"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CAPITALIZATION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cash and cash equivalents and our capitalization as of July 31, 2025, on:</w:t>
      </w:r>
    </w:p>
    <w:p>
      <w:pPr>
        <w:spacing w:after="0" w:line="133" w:lineRule="exact"/>
        <w:rPr>
          <w:sz w:val="20"/>
          <w:szCs w:val="20"/>
          <w:color w:val="auto"/>
        </w:rPr>
      </w:pPr>
    </w:p>
    <w:p>
      <w:pPr>
        <w:ind w:left="500" w:hanging="244"/>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 actual basis;</w:t>
      </w:r>
    </w:p>
    <w:p>
      <w:pPr>
        <w:spacing w:after="0" w:line="133" w:lineRule="exact"/>
        <w:rPr>
          <w:rFonts w:ascii="Arial" w:cs="Arial" w:eastAsia="Arial" w:hAnsi="Arial"/>
          <w:sz w:val="14"/>
          <w:szCs w:val="14"/>
          <w:color w:val="auto"/>
        </w:rPr>
      </w:pPr>
    </w:p>
    <w:p>
      <w:pPr>
        <w:jc w:val="both"/>
        <w:ind w:left="500" w:hanging="244"/>
        <w:spacing w:after="0" w:line="255" w:lineRule="auto"/>
        <w:tabs>
          <w:tab w:leader="none" w:pos="49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pro forma basis, which reflects (i) the Capital Stock Conversion, (ii) the Option Exercise, (iii) the RSU Net Settlement, (iv) the SAFE Settlement, (v) the filing and effectiveness of our restated certificate of incorporation that will become effective immediately prior to the completion of this offering, (vi) the borrowing of an aggregate of $200.0 million under the Revolving Credit Facility prior to the expected effective date of the registration statement of which this prospectus forms a part to pay the estimated tax withholding and remittance obligations in connection with the RSU Net Settlement, and (vii) the related $312.6 million net increase in total liabilities for (A) the borrowings from the Revolving Credit Facility, (B) $119.7 million tax withholding and remittance obligations associated with RSU Net Settlement, (C) offset by $7.1 million liability decrease in connection with SAFE Settlement, and the $74.9 million decrease in additional paid-in capital resulting from (A) the RSU Net Settlement and related tax withholding and remittance obligations and (B) the subsequent use of borrowings from the Revolving Credit Facility, together with cash on hand, to repay such tax withholding and remittance obligations prior to the closing of this offering; and</w:t>
      </w:r>
    </w:p>
    <w:p>
      <w:pPr>
        <w:spacing w:after="0" w:line="103" w:lineRule="exact"/>
        <w:rPr>
          <w:rFonts w:ascii="Arial" w:cs="Arial" w:eastAsia="Arial" w:hAnsi="Arial"/>
          <w:sz w:val="14"/>
          <w:szCs w:val="14"/>
          <w:color w:val="auto"/>
        </w:rPr>
      </w:pPr>
    </w:p>
    <w:p>
      <w:pPr>
        <w:jc w:val="both"/>
        <w:ind w:left="500" w:hanging="244"/>
        <w:spacing w:after="0" w:line="262" w:lineRule="auto"/>
        <w:tabs>
          <w:tab w:leader="none" w:pos="49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pro forma as adjusted basis, which reflects (i) the pro forma adjustments set forth above, (ii) the sale and issuance of 21,468,038 shares of our common stock in this offering at an assumed initial public offering price of $13.00 per share, which is the midpoint of the offering price range set forth on the cover page of this prospectus, after deducting estimated underwriting discounts and commissions and estimated offering expenses payable by us, and (iii) the application of a portion of the net proceeds from this offering to repay the full outstanding amount under the Revolving Credit Facility.</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information below is illustrative only and our capitalization following this offering will be adjusted based on, among other things, the actual initial public offering price and other terms of the offering determined at pricing, the actual tax withholding rates, as well as the actual amount of RSUs settled in connection with this offering. You should read this table together with our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209"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statements and the accompanying notes, and the section titled “Management’s Discussion and Analysis of Financial Condition and Results of Operations,” that are included elsewhere in this prospectus.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As of July 31, 2025</w:t>
            </w: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112"/>
              <w:spacing w:after="0"/>
              <w:rPr>
                <w:sz w:val="20"/>
                <w:szCs w:val="20"/>
                <w:color w:val="auto"/>
              </w:rPr>
            </w:pPr>
            <w:r>
              <w:rPr>
                <w:rFonts w:ascii="Arial" w:cs="Arial" w:eastAsia="Arial" w:hAnsi="Arial"/>
                <w:sz w:val="11"/>
                <w:szCs w:val="11"/>
                <w:b w:val="1"/>
                <w:bCs w:val="1"/>
                <w:color w:val="auto"/>
              </w:rPr>
              <w:t>Pro Forma</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1"/>
              <w:spacing w:after="0" w:line="148" w:lineRule="exact"/>
              <w:rPr>
                <w:sz w:val="20"/>
                <w:szCs w:val="20"/>
                <w:color w:val="auto"/>
              </w:rPr>
            </w:pPr>
            <w:r>
              <w:rPr>
                <w:rFonts w:ascii="Arial" w:cs="Arial" w:eastAsia="Arial" w:hAnsi="Arial"/>
                <w:sz w:val="11"/>
                <w:szCs w:val="11"/>
                <w:b w:val="1"/>
                <w:bCs w:val="1"/>
                <w:color w:val="auto"/>
              </w:rPr>
              <w:t>Pro Forma as Adjusted</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80" w:type="dxa"/>
            <w:vAlign w:val="bottom"/>
            <w:gridSpan w:val="7"/>
          </w:tcPr>
          <w:p>
            <w:pPr>
              <w:jc w:val="center"/>
              <w:ind w:right="911"/>
              <w:spacing w:after="0"/>
              <w:rPr>
                <w:sz w:val="20"/>
                <w:szCs w:val="20"/>
                <w:color w:val="auto"/>
              </w:rPr>
            </w:pPr>
            <w:r>
              <w:rPr>
                <w:rFonts w:ascii="Arial" w:cs="Arial" w:eastAsia="Arial" w:hAnsi="Arial"/>
                <w:sz w:val="11"/>
                <w:szCs w:val="11"/>
                <w:b w:val="1"/>
                <w:bCs w:val="1"/>
                <w:i w:val="1"/>
                <w:iCs w:val="1"/>
                <w:color w:val="auto"/>
              </w:rPr>
              <w:t>(in thousands, except share and per share data)</w:t>
            </w:r>
          </w:p>
        </w:tc>
        <w:tc>
          <w:tcPr>
            <w:tcW w:w="0" w:type="dxa"/>
            <w:vAlign w:val="bottom"/>
          </w:tcPr>
          <w:p>
            <w:pPr>
              <w:spacing w:after="0"/>
              <w:rPr>
                <w:sz w:val="1"/>
                <w:szCs w:val="1"/>
                <w:color w:val="auto"/>
              </w:rPr>
            </w:pPr>
          </w:p>
        </w:tc>
      </w:tr>
      <w:tr>
        <w:trPr>
          <w:trHeight w:val="20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222,749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426,571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481,792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Debt, including current and long term:</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42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Revolving Credit Facility</w:t>
            </w: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6420" w:type="dxa"/>
            <w:vAlign w:val="bottom"/>
          </w:tcPr>
          <w:p>
            <w:pPr>
              <w:ind w:left="20"/>
              <w:spacing w:after="0" w:line="137" w:lineRule="exact"/>
              <w:rPr>
                <w:sz w:val="20"/>
                <w:szCs w:val="20"/>
                <w:color w:val="auto"/>
              </w:rPr>
            </w:pPr>
            <w:r>
              <w:rPr>
                <w:rFonts w:ascii="Arial" w:cs="Arial" w:eastAsia="Arial" w:hAnsi="Arial"/>
                <w:sz w:val="14"/>
                <w:szCs w:val="14"/>
                <w:color w:val="auto"/>
              </w:rPr>
              <w:t>Redeemable convertible preferred stock, $0.0001 par value per share; 85,490,483 shares authorized,</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420" w:type="dxa"/>
            <w:vAlign w:val="bottom"/>
          </w:tcPr>
          <w:p>
            <w:pPr>
              <w:ind w:left="140"/>
              <w:spacing w:after="0" w:line="143" w:lineRule="exact"/>
              <w:rPr>
                <w:sz w:val="20"/>
                <w:szCs w:val="20"/>
                <w:color w:val="auto"/>
              </w:rPr>
            </w:pPr>
            <w:r>
              <w:rPr>
                <w:rFonts w:ascii="Arial" w:cs="Arial" w:eastAsia="Arial" w:hAnsi="Arial"/>
                <w:sz w:val="14"/>
                <w:szCs w:val="14"/>
                <w:color w:val="auto"/>
              </w:rPr>
              <w:t>69,852,421 shares issued and outstanding, actual; no shares authorized, issued, and outstanding,</w:t>
            </w:r>
          </w:p>
        </w:tc>
        <w:tc>
          <w:tcPr>
            <w:tcW w:w="9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227,198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420" w:type="dxa"/>
            <w:vAlign w:val="bottom"/>
          </w:tcPr>
          <w:p>
            <w:pPr>
              <w:ind w:left="140"/>
              <w:spacing w:after="0"/>
              <w:rPr>
                <w:sz w:val="20"/>
                <w:szCs w:val="20"/>
                <w:color w:val="auto"/>
              </w:rPr>
            </w:pPr>
            <w:r>
              <w:rPr>
                <w:rFonts w:ascii="Arial" w:cs="Arial" w:eastAsia="Arial" w:hAnsi="Arial"/>
                <w:sz w:val="14"/>
                <w:szCs w:val="14"/>
                <w:color w:val="auto"/>
              </w:rPr>
              <w:t>pro forma and pro forma as adjusted</w:t>
            </w:r>
          </w:p>
        </w:tc>
        <w:tc>
          <w:tcPr>
            <w:tcW w:w="9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420" w:type="dxa"/>
            <w:vAlign w:val="bottom"/>
          </w:tcPr>
          <w:p>
            <w:pPr>
              <w:ind w:left="180"/>
              <w:spacing w:after="0" w:line="137" w:lineRule="exact"/>
              <w:rPr>
                <w:sz w:val="20"/>
                <w:szCs w:val="20"/>
                <w:color w:val="auto"/>
              </w:rPr>
            </w:pPr>
            <w:r>
              <w:rPr>
                <w:rFonts w:ascii="Arial" w:cs="Arial" w:eastAsia="Arial" w:hAnsi="Arial"/>
                <w:sz w:val="14"/>
                <w:szCs w:val="14"/>
                <w:color w:val="auto"/>
              </w:rPr>
              <w:t>Preferred stock, $0.0001 par value per share; no shares authorized, issued, or outstanding,</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420" w:type="dxa"/>
            <w:vAlign w:val="bottom"/>
          </w:tcPr>
          <w:p>
            <w:pPr>
              <w:ind w:left="320"/>
              <w:spacing w:after="0" w:line="143" w:lineRule="exact"/>
              <w:rPr>
                <w:sz w:val="20"/>
                <w:szCs w:val="20"/>
                <w:color w:val="auto"/>
              </w:rPr>
            </w:pPr>
            <w:r>
              <w:rPr>
                <w:rFonts w:ascii="Arial" w:cs="Arial" w:eastAsia="Arial" w:hAnsi="Arial"/>
                <w:sz w:val="14"/>
                <w:szCs w:val="14"/>
                <w:color w:val="auto"/>
              </w:rPr>
              <w:t>actual; 100,000,000 shares authorized, no shares issued and outstanding, pro forma and pro</w:t>
            </w:r>
          </w:p>
        </w:tc>
        <w:tc>
          <w:tcPr>
            <w:tcW w:w="98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420" w:type="dxa"/>
            <w:vAlign w:val="bottom"/>
          </w:tcPr>
          <w:p>
            <w:pPr>
              <w:ind w:left="320"/>
              <w:spacing w:after="0"/>
              <w:rPr>
                <w:sz w:val="20"/>
                <w:szCs w:val="20"/>
                <w:color w:val="auto"/>
              </w:rPr>
            </w:pPr>
            <w:r>
              <w:rPr>
                <w:rFonts w:ascii="Arial" w:cs="Arial" w:eastAsia="Arial" w:hAnsi="Arial"/>
                <w:sz w:val="14"/>
                <w:szCs w:val="14"/>
                <w:color w:val="auto"/>
              </w:rPr>
              <w:t>forma as adjusted</w:t>
            </w:r>
          </w:p>
        </w:tc>
        <w:tc>
          <w:tcPr>
            <w:tcW w:w="9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4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Common stock, $0.0001 par value per share; 214,611,134 shares authorized, 43,793,335 shares</w:t>
            </w: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4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issued, and 42,344,666 shares outstanding, actual; 2,000,000,000 shares authorized, 126,247,129</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2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shares issued, 124,798,460 shares outstanding, pro forma; 2,000,000,000 shares</w:t>
            </w:r>
          </w:p>
        </w:tc>
        <w:tc>
          <w:tcPr>
            <w:tcW w:w="9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9"/>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authorized, 147,715,167 shares issued, and 146,266,498 shares outstanding, pro forma as adjusted</w:t>
            </w:r>
          </w:p>
        </w:tc>
        <w:tc>
          <w:tcPr>
            <w:tcW w:w="9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420" w:type="dxa"/>
            <w:vAlign w:val="bottom"/>
          </w:tcPr>
          <w:p>
            <w:pPr>
              <w:ind w:left="180"/>
              <w:spacing w:after="0" w:line="137" w:lineRule="exact"/>
              <w:rPr>
                <w:sz w:val="20"/>
                <w:szCs w:val="20"/>
                <w:color w:val="auto"/>
              </w:rPr>
            </w:pPr>
            <w:r>
              <w:rPr>
                <w:rFonts w:ascii="Arial" w:cs="Arial" w:eastAsia="Arial" w:hAnsi="Arial"/>
                <w:sz w:val="14"/>
                <w:szCs w:val="14"/>
                <w:color w:val="auto"/>
              </w:rPr>
              <w:t>Treasury stock, at cost; 1,448,669 shares held as of July 31, 2025, actual; 1,448,669 shares held,</w:t>
            </w:r>
          </w:p>
        </w:tc>
        <w:tc>
          <w:tcPr>
            <w:tcW w:w="9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(12,831)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(12,831)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(12,831)</w:t>
            </w:r>
          </w:p>
        </w:tc>
        <w:tc>
          <w:tcPr>
            <w:tcW w:w="0" w:type="dxa"/>
            <w:vAlign w:val="bottom"/>
          </w:tcPr>
          <w:p>
            <w:pPr>
              <w:spacing w:after="0"/>
              <w:rPr>
                <w:sz w:val="1"/>
                <w:szCs w:val="1"/>
                <w:color w:val="auto"/>
              </w:rPr>
            </w:pPr>
          </w:p>
        </w:tc>
      </w:tr>
      <w:tr>
        <w:trPr>
          <w:trHeight w:val="189"/>
        </w:trPr>
        <w:tc>
          <w:tcPr>
            <w:tcW w:w="6420" w:type="dxa"/>
            <w:vAlign w:val="bottom"/>
          </w:tcPr>
          <w:p>
            <w:pPr>
              <w:ind w:left="320"/>
              <w:spacing w:after="0"/>
              <w:rPr>
                <w:sz w:val="20"/>
                <w:szCs w:val="20"/>
                <w:color w:val="auto"/>
              </w:rPr>
            </w:pPr>
            <w:r>
              <w:rPr>
                <w:rFonts w:ascii="Arial" w:cs="Arial" w:eastAsia="Arial" w:hAnsi="Arial"/>
                <w:sz w:val="14"/>
                <w:szCs w:val="14"/>
                <w:color w:val="auto"/>
              </w:rPr>
              <w:t>pro forma and pro forma as adjusted</w:t>
            </w:r>
          </w:p>
        </w:tc>
        <w:tc>
          <w:tcPr>
            <w:tcW w:w="9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136,433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551,287</w:t>
            </w:r>
          </w:p>
        </w:tc>
        <w:tc>
          <w:tcPr>
            <w:tcW w:w="0" w:type="dxa"/>
            <w:vAlign w:val="bottom"/>
          </w:tcPr>
          <w:p>
            <w:pPr>
              <w:spacing w:after="0"/>
              <w:rPr>
                <w:sz w:val="1"/>
                <w:szCs w:val="1"/>
                <w:color w:val="auto"/>
              </w:rPr>
            </w:pPr>
          </w:p>
        </w:tc>
      </w:tr>
      <w:tr>
        <w:trPr>
          <w:trHeight w:val="179"/>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(39,247)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(84,102)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(84,102)</w:t>
            </w: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84,359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202,745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454,368</w:t>
            </w:r>
          </w:p>
        </w:tc>
        <w:tc>
          <w:tcPr>
            <w:tcW w:w="0" w:type="dxa"/>
            <w:vAlign w:val="bottom"/>
          </w:tcPr>
          <w:p>
            <w:pPr>
              <w:spacing w:after="0"/>
              <w:rPr>
                <w:sz w:val="1"/>
                <w:szCs w:val="1"/>
                <w:color w:val="auto"/>
              </w:rPr>
            </w:pPr>
          </w:p>
        </w:tc>
      </w:tr>
      <w:tr>
        <w:trPr>
          <w:trHeight w:val="169"/>
        </w:trPr>
        <w:tc>
          <w:tcPr>
            <w:tcW w:w="6420" w:type="dxa"/>
            <w:vAlign w:val="bottom"/>
          </w:tcPr>
          <w:p>
            <w:pPr>
              <w:ind w:left="520"/>
              <w:spacing w:after="0"/>
              <w:rPr>
                <w:sz w:val="20"/>
                <w:szCs w:val="20"/>
                <w:color w:val="auto"/>
              </w:rPr>
            </w:pPr>
            <w:r>
              <w:rPr>
                <w:rFonts w:ascii="Arial" w:cs="Arial" w:eastAsia="Arial" w:hAnsi="Arial"/>
                <w:sz w:val="14"/>
                <w:szCs w:val="14"/>
                <w:color w:val="auto"/>
              </w:rPr>
              <w:t>Total capitalization</w:t>
            </w: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311,557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402,745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454,368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jc w:val="both"/>
        <w:ind w:left="260" w:hanging="256"/>
        <w:spacing w:after="0" w:line="266" w:lineRule="auto"/>
        <w:tabs>
          <w:tab w:leader="none" w:pos="256" w:val="left"/>
        </w:tabs>
        <w:numPr>
          <w:ilvl w:val="0"/>
          <w:numId w:val="49"/>
        </w:numPr>
        <w:rPr>
          <w:rFonts w:ascii="Arial" w:cs="Arial" w:eastAsia="Arial" w:hAnsi="Arial"/>
          <w:sz w:val="12"/>
          <w:szCs w:val="12"/>
          <w:color w:val="auto"/>
        </w:rPr>
      </w:pPr>
      <w:r>
        <w:rPr>
          <w:rFonts w:ascii="Arial" w:cs="Arial" w:eastAsia="Arial" w:hAnsi="Arial"/>
          <w:sz w:val="12"/>
          <w:szCs w:val="12"/>
          <w:color w:val="auto"/>
        </w:rPr>
        <w:t>Each $1.00 increase (decrease) in the assumed initial public offering price of $13.00 per share, which is the midpoint of the offering price range set forth on the cover page of this prospectus, would increase (decrease) our pro forma as adjusted cash and cash equivalents, additional paid-in capital, total stockholders’ equity, and total capitalization by $20.1 million, assuming that the number of shares offered by us, as set forth on the cover page of this prospectus, remains the same and after deducting the estimated underwriting discounts and commissions payable by us. Similarly, each increase (decrease) of 1.0 million shares in the number of shares of our common stock offered by us would increase (decrease) the amount of our pro forma as adjusted cash and cash equivalents, additional paid-in capital, total stockholders’ equity, and total capitalization by $12.2 million, assuming that the assumed initial public offering price remains the same, and after deducting the estimated underwriting discounts and commissions payable by us. In addition, each 1.0% increase (decrease) in the tax withholding rate would increase (decrease) the amount of tax withholding and remittance obligations related to the RSU Net Settlement and increase (decrease) in cash and cash equivalents, additional paid-in capital, total stockholders’ equity, and total capitalization by $1.2 million, assuming that the assumed initial public offering price remains the same, that the number of shares of common stock offered by us, as set forth on the cover page of this prospectus, remains the same, and after deducting underwriting discounts and commissions payable by us. Each $1.00 increase (decrease) in the assumed initial public offering price of $13.00 per share, which is the midpoint of the offering price range set forth on the cover page of this prospectus, would increase (decrease) the amount of tax withholding and remittance obligations related to the RSU Net Settlement and increase (decrease) cash and cash equivalents, additional paid-in capital, total stockholders’ equity, and total capitalization by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209"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60"/>
        <w:spacing w:after="0" w:line="250" w:lineRule="auto"/>
        <w:rPr>
          <w:sz w:val="20"/>
          <w:szCs w:val="20"/>
          <w:color w:val="auto"/>
        </w:rPr>
      </w:pPr>
      <w:r>
        <w:rPr>
          <w:rFonts w:ascii="Arial" w:cs="Arial" w:eastAsia="Arial" w:hAnsi="Arial"/>
          <w:sz w:val="13"/>
          <w:szCs w:val="13"/>
          <w:color w:val="auto"/>
        </w:rPr>
        <w:t>million, assuming that the tax withholding rate remains the same, that the number of shares of common stock offered by us, as set forth on the cover page of this prospectus, remains the same, and after deducting underwriting discounts and commissions payable by us. If the underwriters’ option to purchase additional shares is exercised in full, the pro forma as adjusted amount of each of cash and cash equivalents, additional paid-in capital, total stockholders’ equity, and total capitalization would increase by $56.6 million, and after deducting estimated underwriting discounts and commissions payable by us, and we would have 152,907,475 shares of our common stock issued, and 151,458,806 shares outstanding, pro forma as adjusted.</w:t>
      </w:r>
    </w:p>
    <w:p>
      <w:pPr>
        <w:spacing w:after="0" w:line="10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number of shares of our common stock that will be outstanding after this offering is based on 124,798,460 shares of our common stock outstanding as of July 31, 2025 (after giving effect to the Capital Stock Conversion, the Option Exercise, the RSU Net Settlement, and the SAFE Settlement), and excludes:</w:t>
      </w:r>
    </w:p>
    <w:p>
      <w:pPr>
        <w:spacing w:after="0" w:line="79" w:lineRule="exact"/>
        <w:rPr>
          <w:sz w:val="20"/>
          <w:szCs w:val="20"/>
          <w:color w:val="auto"/>
        </w:rPr>
      </w:pPr>
    </w:p>
    <w:p>
      <w:pPr>
        <w:ind w:left="500" w:hanging="244"/>
        <w:spacing w:after="0" w:line="286" w:lineRule="auto"/>
        <w:tabs>
          <w:tab w:leader="none" w:pos="4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6,065,675 shares of our common stock issuable upon the exercise of stock options outstanding as of July 31, 2025 under our 2008 Plan with a weighted-average exercise price of $2.31 per share;</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22,178,730 shares of our common stock issuable upon the exercise of stock options outstanding as of July 31, 2025 under our 2017 Plan with a weighted-average exercise price of $1.79 per share;</w:t>
      </w:r>
    </w:p>
    <w:p>
      <w:pPr>
        <w:spacing w:after="0" w:line="78" w:lineRule="exact"/>
        <w:rPr>
          <w:rFonts w:ascii="Arial" w:cs="Arial" w:eastAsia="Arial" w:hAnsi="Arial"/>
          <w:sz w:val="14"/>
          <w:szCs w:val="14"/>
          <w:color w:val="auto"/>
        </w:rPr>
      </w:pPr>
    </w:p>
    <w:p>
      <w:pPr>
        <w:jc w:val="both"/>
        <w:ind w:left="500" w:hanging="244"/>
        <w:spacing w:after="0" w:line="257" w:lineRule="auto"/>
        <w:tabs>
          <w:tab w:leader="none" w:pos="4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15,499,260 shares of our common stock issuable upon the vesting and settlement of RSUs outstanding as of July 31, 2025 under our 2017 Plan for which the service-based vesting condition was not satisfied as of July 31, 2025 and for which the liquidity-based vesting condition will be satisfied in connection with this offering (we expect that the satisfaction of the service-based vesting condition of certain of these RSUs through the expected date of this offering as set forth on the cover page of this prospectus will result in the net issuance of 942,869 shares of our common stock in connection with this offering, after withholding an aggregate of 771,439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100" w:lineRule="exact"/>
        <w:rPr>
          <w:rFonts w:ascii="Arial" w:cs="Arial" w:eastAsia="Arial" w:hAnsi="Arial"/>
          <w:sz w:val="14"/>
          <w:szCs w:val="14"/>
          <w:color w:val="auto"/>
        </w:rPr>
      </w:pPr>
    </w:p>
    <w:p>
      <w:pPr>
        <w:jc w:val="both"/>
        <w:ind w:left="500" w:hanging="244"/>
        <w:spacing w:after="0" w:line="259" w:lineRule="auto"/>
        <w:tabs>
          <w:tab w:leader="none" w:pos="4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3,455 shares of our common stock issuable upon the vesting and settlement of RSUs granted after July 31, 2025 under our 2017 Plan (we expect that the satisfaction of the service-based vesting condition of certain of these RSUs through the expected date of this offering as set forth on the cover page of this prospectus will result in the net issuance of 1,900 shares of our common stock in connection with this offering, after withholding an aggregate of 1,555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98" w:lineRule="exact"/>
        <w:rPr>
          <w:rFonts w:ascii="Arial" w:cs="Arial" w:eastAsia="Arial" w:hAnsi="Arial"/>
          <w:sz w:val="14"/>
          <w:szCs w:val="14"/>
          <w:color w:val="auto"/>
        </w:rPr>
      </w:pPr>
    </w:p>
    <w:p>
      <w:pPr>
        <w:ind w:left="500" w:hanging="244"/>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475,329 shares of our common stock issuable upon the vesting and settlement of Non-Plan RSUs outstanding as of July 31, 2025;</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454,334 shares of our common stock issuable upon the vesting and settlement of Non-Plan RSUs granted after July 31, 2025;</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1,953,463 shares of our common stock issuable upon the exercise of warrants outstanding as of July 31, 2025, with a weighted-average exercise price of $2.73 per share; and</w:t>
      </w:r>
    </w:p>
    <w:p>
      <w:pPr>
        <w:spacing w:after="0" w:line="78" w:lineRule="exact"/>
        <w:rPr>
          <w:rFonts w:ascii="Arial" w:cs="Arial" w:eastAsia="Arial" w:hAnsi="Arial"/>
          <w:sz w:val="14"/>
          <w:szCs w:val="14"/>
          <w:color w:val="auto"/>
        </w:rPr>
      </w:pPr>
    </w:p>
    <w:p>
      <w:pPr>
        <w:jc w:val="both"/>
        <w:ind w:left="500" w:hanging="244"/>
        <w:spacing w:after="0" w:line="268" w:lineRule="auto"/>
        <w:tabs>
          <w:tab w:leader="none" w:pos="4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25,564,272 shares of our common stock reserved for future issuance under our equity compensation plans, consisting of (i) 3,564,272 shares of our common stock reserved for future issuance under our 2017 Plan, as of July 31, 2025 (which number of shares is prior to the RSUs granted after July 31, 2025), (ii) 17,500,000 shares of our common stock reserved for future issuance under our 2025 Plan, which will become effective on the date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209"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line="286" w:lineRule="auto"/>
        <w:rPr>
          <w:sz w:val="20"/>
          <w:szCs w:val="20"/>
          <w:color w:val="auto"/>
        </w:rPr>
      </w:pPr>
      <w:r>
        <w:rPr>
          <w:rFonts w:ascii="Arial" w:cs="Arial" w:eastAsia="Arial" w:hAnsi="Arial"/>
          <w:sz w:val="14"/>
          <w:szCs w:val="14"/>
          <w:color w:val="auto"/>
        </w:rPr>
        <w:t>date of this prospectus, and (iii) 4,500,000 shares of our common stock reserved for issuance under our 2025 ESPP, which will become effective on the date of this prospectus.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the date of this prospectus, any remaining shares of common stock available for issuance under our 2017 Plan will be added to the shares of our common stock reserved for issuance under our 2025 Plan, and we will cease granting awards under the 2017 Plan. Our 2025 Plan and 2025 ESPP also provide for automatic annual increases in the number of shares reserved thereunder. See the section titled “Executive Compensation—Employee Benefit and Stock Plans”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80"/>
          </w:cols>
          <w:pgMar w:left="300" w:top="209"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DILUTION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As of July 31, 2025, our pro forma net tangible book value was $ 190.3 million, or $ 1.52 per share of our common stock. Our pro forma net tangible book value per share represents the amount of our total tangible assets reduced by the amount of our total liabilities and redeemable convertible preferred stock, divided by the total number of shares of our common stock outstanding as of July 31, 2025, after giving effect to (i) the Capital Stock Conversion, (ii) the Option Exercise, (iii) the RSU Net Settlement, (iv) the SAFE Settlement, (v) the filing and effectiveness of our restated certificate of incorporation that will become effective immediately prior to the completion of this offering, (vi) the borrowing of an aggregate of $200.0 million under the Revolving Credit Facility to pay the estimated tax withholding and remittance obligations in connection with the RSU Net Settlement prior to the expected effective date of the registration statement of which this prospectus forms a part, and (vii) the related $312.6 million net increase in total liabilities resulting from (A) the borrowings from the Revolving Credit Facility (B) $119.7 million tax withholding and remittance obligations associated with RSU Net Settlement, (C) offset by $7.1 million liability decrease in connection with SAFE Settlement, and the $74.9 million decrease in additional paid-in capital resulting from (A) the RSU Net Settlement and related tax withholding and remittance obligations and (B) the subsequent use of proceeds from the Revolving Credit Facility, together with cash on hand, to repay such tax withholding and remittance obligations prior to the closing of this offering.</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After giving effect to (i) the sale and issuance of 21,468,038 shares of our common stock in this offering at an assumed initial public offering price of $13.00 per share, which is the midpoint of the offering price range set forth on the cover page of this prospectus, after deducting estimated underwriting discounts and commissions and estimated offering expenses payable by us and (ii) the application of the net proceeds therefrom as described in the section titled “Use of Proceeds,” including the use of the net proceeds from this offering to repay the full outstanding amount under the Revolving Credit Facility, our pro forma as adjusted net tangible book value as of July 31, 2025 would have been $445.5 million, or $3.05 per share. This represents an immediate increase in pro forma net tangible book value of $1.53 per share to our existing stockholders and an immediate dilution in pro forma as adjusted net tangible book value of $9.95 per share to investors purchasing shares of our common stock in this offering at the assumed initial public offering price.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20"/>
                <w:szCs w:val="20"/>
                <w:color w:val="auto"/>
              </w:rPr>
            </w:pPr>
            <w:r>
              <w:rPr>
                <w:rFonts w:ascii="Arial" w:cs="Arial" w:eastAsia="Arial" w:hAnsi="Arial"/>
                <w:sz w:val="14"/>
                <w:szCs w:val="14"/>
                <w:color w:val="auto"/>
              </w:rPr>
              <w:t>The following table illustrates this dilution on a per share basis to new investors:</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45"/>
        </w:trPr>
        <w:tc>
          <w:tcPr>
            <w:tcW w:w="8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initial public offering price per share</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$13.00</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Pro forma net tangible book value per share as of July 31, 2025 before giving effect to this offering</w:t>
            </w:r>
          </w:p>
        </w:tc>
        <w:tc>
          <w:tcPr>
            <w:tcW w:w="158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pro forma net tangible book value per share attributable to new investors purchasing common stock in this offering</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1580" w:type="dxa"/>
            <w:vAlign w:val="bottom"/>
          </w:tcPr>
          <w:p>
            <w:pPr>
              <w:spacing w:after="0"/>
              <w:rPr>
                <w:sz w:val="13"/>
                <w:szCs w:val="13"/>
                <w:color w:val="auto"/>
              </w:rPr>
            </w:pPr>
          </w:p>
        </w:tc>
        <w:tc>
          <w:tcPr>
            <w:tcW w:w="1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$3.05</w:t>
            </w:r>
          </w:p>
        </w:tc>
      </w:tr>
      <w:tr>
        <w:trPr>
          <w:trHeight w:val="194"/>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Dilution in pro forma as adjusted net tangible book value per share to new investors in this offering</w:t>
            </w:r>
          </w:p>
        </w:tc>
        <w:tc>
          <w:tcPr>
            <w:tcW w:w="15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dilution information discussed above is illustrative only and will change based on the actual initial offering price and other terms of this offering determined at pricing, the actual tax withholding rates, as well as the actual amount of RSUs settled in connection with this offering. A $1.00 increase (decrease) in the assumed initial public offering price of $13.00 per share, which is the midpoint of the offering price range set forth on the cover page of this prospectus, would increase (decrease) our pro forma as adjusted net tangible book value per share after this offering by $0.13 per share and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209"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(decrease) the dilution per share to new investors in this offering by $ 0.87 per share, assuming the number of shares of common stock offered by us, as set forth on the cover page of this prospectus, remains the same and after deducting the estimated underwriting discounts and commissions payable by us. Similarly, each increase (decrease) of 1.0 million shares in the number of shares of common stock offered would increase (decrease) the pro forma as adjusted net tangible book value per share after this offering by $0.06 per share and would (decrease) increase the dilution to new investors by $ (0.06) per share, assuming the assumed initial public offering price, which is the midpoint of the offering price range set forth on the cover page of this prospectus, remains the same and after deducting the estimated underwriting discounts and commissions payable by us.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the underwriters exercise their option to purchase additional shares in full, the pro forma as adjusted net tangible book value per share of our common stock after giving effect to this offering would be $3.36 per share, and the dilution in pro forma as adjusted net tangible book value per share to investors in this offering would be $9.64 per share.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table summarizes, on a pro forma as adjusted basis as of July 31, 2025, after giving effect to the pro forma adjustments described above, the difference between existing stockholders and new investors purchasing shares of common stock in this offering with respect to the number of shares purchased from us, the total consideration paid to us, and the average price per share paid by our existing stockholders or to be paid by investors purchasing shares in this offering at an assumed offering price of $13.00 per share, which is the midpoint of the offering price range set forth on the cover page of this prospectus, before deducting the estimated underwriting discounts and commissions and estimated offering expenses payable by us: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220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rPr>
              <w:t>Shares Purchased</w:t>
            </w:r>
          </w:p>
        </w:tc>
        <w:tc>
          <w:tcPr>
            <w:tcW w:w="5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Borders>
              <w:bottom w:val="single" w:sz="8" w:color="auto"/>
            </w:tcBorders>
            <w:gridSpan w:val="3"/>
          </w:tcPr>
          <w:p>
            <w:pPr>
              <w:ind w:left="1280"/>
              <w:spacing w:after="0"/>
              <w:rPr>
                <w:sz w:val="20"/>
                <w:szCs w:val="20"/>
                <w:color w:val="auto"/>
              </w:rPr>
            </w:pPr>
            <w:r>
              <w:rPr>
                <w:rFonts w:ascii="Arial" w:cs="Arial" w:eastAsia="Arial" w:hAnsi="Arial"/>
                <w:sz w:val="11"/>
                <w:szCs w:val="11"/>
                <w:b w:val="1"/>
                <w:bCs w:val="1"/>
                <w:color w:val="auto"/>
              </w:rPr>
              <w:t>Total Consideration</w:t>
            </w:r>
          </w:p>
        </w:tc>
        <w:tc>
          <w:tcPr>
            <w:tcW w:w="1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9"/>
        </w:trPr>
        <w:tc>
          <w:tcPr>
            <w:tcW w:w="2720" w:type="dxa"/>
            <w:vAlign w:val="bottom"/>
          </w:tcPr>
          <w:p>
            <w:pPr>
              <w:spacing w:after="0"/>
              <w:rPr>
                <w:sz w:val="13"/>
                <w:szCs w:val="13"/>
                <w:color w:val="auto"/>
              </w:rPr>
            </w:pPr>
          </w:p>
        </w:tc>
        <w:tc>
          <w:tcPr>
            <w:tcW w:w="2200" w:type="dxa"/>
            <w:vAlign w:val="bottom"/>
            <w:gridSpan w:val="3"/>
          </w:tcPr>
          <w:p>
            <w:pPr>
              <w:ind w:left="560"/>
              <w:spacing w:after="0"/>
              <w:rPr>
                <w:sz w:val="20"/>
                <w:szCs w:val="20"/>
                <w:color w:val="auto"/>
              </w:rPr>
            </w:pPr>
            <w:r>
              <w:rPr>
                <w:rFonts w:ascii="Arial" w:cs="Arial" w:eastAsia="Arial" w:hAnsi="Arial"/>
                <w:sz w:val="11"/>
                <w:szCs w:val="11"/>
                <w:b w:val="1"/>
                <w:bCs w:val="1"/>
                <w:color w:val="auto"/>
              </w:rPr>
              <w:t>Number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Percent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3"/>
          </w:tcPr>
          <w:p>
            <w:pPr>
              <w:ind w:left="720"/>
              <w:spacing w:after="0"/>
              <w:rPr>
                <w:sz w:val="20"/>
                <w:szCs w:val="20"/>
                <w:color w:val="auto"/>
              </w:rPr>
            </w:pPr>
            <w:r>
              <w:rPr>
                <w:rFonts w:ascii="Arial" w:cs="Arial" w:eastAsia="Arial" w:hAnsi="Arial"/>
                <w:sz w:val="11"/>
                <w:szCs w:val="11"/>
                <w:b w:val="1"/>
                <w:bCs w:val="1"/>
                <w:color w:val="auto"/>
              </w:rPr>
              <w:t>Amount</w:t>
            </w:r>
          </w:p>
        </w:tc>
        <w:tc>
          <w:tcPr>
            <w:tcW w:w="1220" w:type="dxa"/>
            <w:vAlign w:val="bottom"/>
            <w:gridSpan w:val="2"/>
          </w:tcPr>
          <w:p>
            <w:pPr>
              <w:ind w:left="120"/>
              <w:spacing w:after="0"/>
              <w:rPr>
                <w:sz w:val="20"/>
                <w:szCs w:val="20"/>
                <w:color w:val="auto"/>
              </w:rPr>
            </w:pPr>
            <w:r>
              <w:rPr>
                <w:rFonts w:ascii="Arial" w:cs="Arial" w:eastAsia="Arial" w:hAnsi="Arial"/>
                <w:sz w:val="11"/>
                <w:szCs w:val="11"/>
                <w:b w:val="1"/>
                <w:bCs w:val="1"/>
                <w:color w:val="auto"/>
              </w:rPr>
              <w:t>Percent</w:t>
            </w:r>
          </w:p>
        </w:tc>
        <w:tc>
          <w:tcPr>
            <w:tcW w:w="1540" w:type="dxa"/>
            <w:vAlign w:val="bottom"/>
          </w:tcPr>
          <w:p>
            <w:pPr>
              <w:jc w:val="right"/>
              <w:ind w:right="59"/>
              <w:spacing w:after="0"/>
              <w:rPr>
                <w:sz w:val="20"/>
                <w:szCs w:val="20"/>
                <w:color w:val="auto"/>
              </w:rPr>
            </w:pPr>
            <w:r>
              <w:rPr>
                <w:rFonts w:ascii="Arial" w:cs="Arial" w:eastAsia="Arial" w:hAnsi="Arial"/>
                <w:sz w:val="11"/>
                <w:szCs w:val="11"/>
                <w:b w:val="1"/>
                <w:bCs w:val="1"/>
                <w:color w:val="auto"/>
              </w:rPr>
              <w:t>Average Price Per Share</w:t>
            </w:r>
          </w:p>
        </w:tc>
      </w:tr>
      <w:tr>
        <w:trPr>
          <w:trHeight w:val="159"/>
        </w:trPr>
        <w:tc>
          <w:tcPr>
            <w:tcW w:w="272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Existing stockholders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124,798,460</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8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$278,000,367.66</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167"/>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New public investors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21,468,038</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8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$279,084,494.00</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w:t>
            </w:r>
          </w:p>
        </w:tc>
      </w:tr>
      <w:tr>
        <w:trPr>
          <w:trHeight w:val="184"/>
        </w:trPr>
        <w:tc>
          <w:tcPr>
            <w:tcW w:w="27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146,266,498</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$557,084,861.66</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Sales by the selling stockholders in this offering will cause the number of shares held by existing stockholders before this offering to be reduced to 111,651,114 shares, or 76.3% of the total number of shares of our common stock outstanding immediately after the completion of this offering, and will increase the number of shares held by new investors to 34,615,384 shares, or 23.7% of the total number of shares of our common stock outstanding immediately after the completion of this offering.</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$1.00 increase (decrease) in the assumed initial public offering price of $13.00 per share, which is the midpoint of the offering price range set forth on the cover page of this prospectus, would increase (decrease) total consideration paid by new investors and total consideration paid by all stockholders by approximately $20.1 million, assuming that the number of shares offered by us and the selling stockholders, as set forth on the cover page of this prospectus remains the same and after deducting the estimated underwriting discounts and commissions payable by us. An increase (decrease) of 1.0 million shares in the number of shares offered by us would increase (decrease) total consideration paid by new investors and total consideration paid by all stockholders by $12.2 million, assuming the assumed initial public offering price remains the same, and after deducting estimated underwriting discounts and commissions payable by us.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Except as otherwise indicated, the above discussion and tables assume no exercise of the underwriters’ option to purchase additional shares. If the underwriters’ option to purchase additional shares is exercised in full, our existing stockholders would own 82.4% and our new investors would own 17.6% of the total number of shares of our common stock outstanding upon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209"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to the extent we issue any additional stock options or RSUs or any outstanding stock options or warrants are exercised or any outstanding RSUs vest and settle, or we issue any other securities or convertible debt in the future, investors will experience further dilution.</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number of shares of our common stock that will be outstanding after this offering is based on 124,798,460 shares of our common stock outstanding as of July 31, 2025 (after giving effect to the Capital Stock Conversion, the Option Exercise, the RSU Net Settlement, and the SAFE Settlement), and excludes:</w:t>
      </w:r>
    </w:p>
    <w:p>
      <w:pPr>
        <w:spacing w:after="0" w:line="79" w:lineRule="exact"/>
        <w:rPr>
          <w:sz w:val="20"/>
          <w:szCs w:val="20"/>
          <w:color w:val="auto"/>
        </w:rPr>
      </w:pPr>
    </w:p>
    <w:p>
      <w:pPr>
        <w:ind w:left="500" w:hanging="244"/>
        <w:spacing w:after="0" w:line="286" w:lineRule="auto"/>
        <w:tabs>
          <w:tab w:leader="none" w:pos="4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6,065,675 shares of our common stock issuable upon the exercise of stock options outstanding as of July 31, 2025 under our 2008 Plan with a weighted-average exercise price of $2.31 per share;</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22,178,730 shares of our common stock issuable upon the exercise of stock options outstanding as of July 31, 2025 under our 2017 Plan with a weighted-average exercise price of $1.79 per share;</w:t>
      </w:r>
    </w:p>
    <w:p>
      <w:pPr>
        <w:spacing w:after="0" w:line="78" w:lineRule="exact"/>
        <w:rPr>
          <w:rFonts w:ascii="Arial" w:cs="Arial" w:eastAsia="Arial" w:hAnsi="Arial"/>
          <w:sz w:val="14"/>
          <w:szCs w:val="14"/>
          <w:color w:val="auto"/>
        </w:rPr>
      </w:pPr>
    </w:p>
    <w:p>
      <w:pPr>
        <w:jc w:val="both"/>
        <w:ind w:left="500" w:hanging="244"/>
        <w:spacing w:after="0" w:line="257" w:lineRule="auto"/>
        <w:tabs>
          <w:tab w:leader="none" w:pos="4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15,499,260 shares of our common stock issuable upon the vesting and settlement of RSUs outstanding as of July 31, 2025 under our 2017 Plan for which the service-based vesting condition was not satisfied as of July 31, 2025 and for which the liquidity-based vesting condition will be satisfied in connection with this offering (we expect that the satisfaction of the service-based vesting condition of certain of these RSUs through the expected date of this offering as set forth on the cover page of this prospectus will result in the net issuance of 942,869 shares of our common stock in connection with this offering, after withholding an aggregate of 771,439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100" w:lineRule="exact"/>
        <w:rPr>
          <w:rFonts w:ascii="Arial" w:cs="Arial" w:eastAsia="Arial" w:hAnsi="Arial"/>
          <w:sz w:val="14"/>
          <w:szCs w:val="14"/>
          <w:color w:val="auto"/>
        </w:rPr>
      </w:pPr>
    </w:p>
    <w:p>
      <w:pPr>
        <w:jc w:val="both"/>
        <w:ind w:left="500" w:hanging="244"/>
        <w:spacing w:after="0" w:line="259" w:lineRule="auto"/>
        <w:tabs>
          <w:tab w:leader="none" w:pos="4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3,455 shares of our common stock issuable upon the vesting and settlement of RSUs granted after July 31, 2025 (we expect that the satisfaction of the service-based vesting condition of certain of these RSUs through the expected date of this offering as set forth on the cover page of this prospectus will result in the net issuance of 1,900 shares of our common stock in connection with this offering, after withholding an aggregate of 1,555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98" w:lineRule="exact"/>
        <w:rPr>
          <w:rFonts w:ascii="Arial" w:cs="Arial" w:eastAsia="Arial" w:hAnsi="Arial"/>
          <w:sz w:val="14"/>
          <w:szCs w:val="14"/>
          <w:color w:val="auto"/>
        </w:rPr>
      </w:pPr>
    </w:p>
    <w:p>
      <w:pPr>
        <w:ind w:left="500" w:hanging="244"/>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475,329 shares of our common stock issuable upon the vesting and settlement of Non-Plan RSUs outstanding as of July 31, 2025;</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454,334 shares of our common stock issuable upon the vesting and settlement of Non-Plan RSUs granted after July 31, 2025;</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1,953,463 shares of our common stock issuable upon the exercise of warrants outstanding as of July 31, 2025, with a weighted-average exercise price of $2.73 per share; and</w:t>
      </w:r>
    </w:p>
    <w:p>
      <w:pPr>
        <w:spacing w:after="0" w:line="78" w:lineRule="exact"/>
        <w:rPr>
          <w:rFonts w:ascii="Arial" w:cs="Arial" w:eastAsia="Arial" w:hAnsi="Arial"/>
          <w:sz w:val="14"/>
          <w:szCs w:val="14"/>
          <w:color w:val="auto"/>
        </w:rPr>
      </w:pPr>
    </w:p>
    <w:p>
      <w:pPr>
        <w:jc w:val="both"/>
        <w:ind w:left="500" w:hanging="244"/>
        <w:spacing w:after="0" w:line="262" w:lineRule="auto"/>
        <w:tabs>
          <w:tab w:leader="none" w:pos="4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25,564,272 shares of our common stock reserved for future issuance under our equity compensation plans, consisting of (i) 3,564,272 shares of our common stock reserved for future issuance under our 2017 Plan, as of July 31, 2025 (which number of shares is prior to the RSUs granted after July 31, 2025), (ii) 17,500,000 shares of our common stock reserved for future issuance under our 2025 Plan, which will become effective on the date immediately prior to the date of this prospectus, and (iii) 4,500,000 shares of our common stock reserved for issuance under our 2025 ESPP, which will become effective on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80"/>
          </w:cols>
          <w:pgMar w:left="300" w:top="209"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the date of this prospectus, any remaining shares of common stock available for issuance under our 2017 Plan will be added to the shares of our common stock reserved for issuance under our 2025 Plan, and we will cease granting awards under the 2017 Plan. Our 2025 Plan and 2025 ESPP also provide for automatic annual increases in the number of shares reserved thereunder. See the section titled “Executive Compensation—Employee Benefit and Stock Plans”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209" w:right="319" w:bottom="1440"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1054100</wp:posOffset>
            </wp:positionH>
            <wp:positionV relativeFrom="page">
              <wp:posOffset>288925</wp:posOffset>
            </wp:positionV>
            <wp:extent cx="5447030" cy="70491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447030" cy="704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operating results together with the section titled “Summary Consolidated Financial and Other Data,” our consolidated financial statements as of and for the years ended January 31, 2024 and 2025, our unaudited condensed consolidated financial statements as of and for the three and six months ended July 31, 2024 and 2025, and the accompanying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ends on January 31, and our fiscal quarters end on April 30, July 31, October 31, and January 31. Our fiscal years ended January 31, 2024 and January 31, 2025 are referred to herein as fiscal 2024 and fiscal 2025, respectively.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 Overview</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We’re a different kind of FinTech. We are a technology company that built a financial solutions platform for “digital natives,” defined as those born after 1980 (i.e., Millennials, Gen Z, and later generations). Our platform is designed to address the needs of the wealth builders within these generations. We have differentiated, trusted relationships with our clients due to our unique and fundamentally aligned incentives. Simply put, we succeed because our clients succeed.</w:t>
      </w:r>
    </w:p>
    <w:p>
      <w:pPr>
        <w:spacing w:after="0" w:line="8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were among the first digital-only financial solutions platforms,</w:t>
      </w:r>
      <w:r>
        <w:rPr>
          <w:rFonts w:ascii="Arial" w:cs="Arial" w:eastAsia="Arial" w:hAnsi="Arial"/>
          <w:sz w:val="18"/>
          <w:szCs w:val="18"/>
          <w:color w:val="auto"/>
          <w:vertAlign w:val="superscript"/>
        </w:rPr>
        <w:t>16</w:t>
      </w:r>
      <w:r>
        <w:rPr>
          <w:rFonts w:ascii="Arial" w:cs="Arial" w:eastAsia="Arial" w:hAnsi="Arial"/>
          <w:sz w:val="14"/>
          <w:szCs w:val="14"/>
          <w:color w:val="auto"/>
        </w:rPr>
        <w:t xml:space="preserve"> and we pioneered using automation to offer low-cost diversified portfolios. We built our platform using software to deliver our solutions quickly, conveniently, and at low cost. These principles align with the preferences of digital natives, who use digital platforms for the vast majority of their everyday services ranging from entertainment and commerce to food delivery and ride sharing. Our technology-driven financial solutions help clients turn savings into long-term wealth. Our broad suite of products, including cash management, investment advisory, borrowing and lending, and financial planning solutions, address the diverse financial needs of our clients regardless of the economic environment.</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believe the opportunity we are pursuing is unique and massive.</w:t>
      </w:r>
      <w:r>
        <w:rPr>
          <w:rFonts w:ascii="Arial" w:cs="Arial" w:eastAsia="Arial" w:hAnsi="Arial"/>
          <w:sz w:val="18"/>
          <w:szCs w:val="18"/>
          <w:color w:val="auto"/>
          <w:vertAlign w:val="superscript"/>
        </w:rPr>
        <w:t>17</w:t>
      </w:r>
      <w:r>
        <w:rPr>
          <w:rFonts w:ascii="Arial" w:cs="Arial" w:eastAsia="Arial" w:hAnsi="Arial"/>
          <w:sz w:val="14"/>
          <w:szCs w:val="14"/>
          <w:color w:val="auto"/>
        </w:rPr>
        <w:t xml:space="preserve"> Digital natives are entering the prime wealth accumulation phase of their lives and are expected to be the wealthiest generations ever. According to a study we commissioned from Oxford Economics, the wealth of digital natives is estimated to grow at an annual rate of 11.3% from $12 trillion in 2022 to $140 trillion in 2045. During the GFC, digital natives lost trust in traditional financial institutions which they blamed for high unemployment and an economic downturn. Meanwhile, they embraced and became increasingly empowered by technology through intuitive, mobile, and software-focused experiences. This backdrop created an opportunity for Wealthfront to disrupt traditional brick-and-mortar, in-person, and high-cost financial product experiences.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clients are primarily digital-native high earners who prioritize savings and wealth accumulation. Since inception, our platform assets have grown in-line with the wealth accumulation of these generations. As of July 31, 2025, we had over 1.3 million funded clients, and $88.2 billion in platform assets. Digital natives typically have large liquid savings with long time horizons ahead, and they are undeterred by corrections and bear markets. Clients typically come to Wealthfront seeking a specific solution and, as our trust-based relationship deepens, we gain insights into their evolving needs, in many cases through the data associated with third-party financial accounts they link to our financial planning software. Client engagement and feedback drive our product-led growth strategy and business flywheel.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17621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59" w:lineRule="exact"/>
        <w:rPr>
          <w:sz w:val="20"/>
          <w:szCs w:val="20"/>
          <w:color w:val="auto"/>
        </w:rPr>
      </w:pPr>
    </w:p>
    <w:p>
      <w:pPr>
        <w:ind w:left="140" w:hanging="136"/>
        <w:spacing w:after="0"/>
        <w:tabs>
          <w:tab w:leader="none" w:pos="140" w:val="left"/>
        </w:tabs>
        <w:numPr>
          <w:ilvl w:val="0"/>
          <w:numId w:val="52"/>
        </w:numPr>
        <w:rPr>
          <w:rFonts w:ascii="Arial" w:cs="Arial" w:eastAsia="Arial" w:hAnsi="Arial"/>
          <w:sz w:val="16"/>
          <w:szCs w:val="16"/>
          <w:color w:val="auto"/>
          <w:vertAlign w:val="superscript"/>
        </w:rPr>
      </w:pPr>
      <w:r>
        <w:rPr>
          <w:rFonts w:ascii="Arial" w:cs="Arial" w:eastAsia="Arial" w:hAnsi="Arial"/>
          <w:sz w:val="13"/>
          <w:szCs w:val="13"/>
          <w:color w:val="auto"/>
        </w:rPr>
        <w:t>Based on multiple industry sources, we are commonly cited as being one of the first platforms to provide algorithmic investment services.</w:t>
      </w:r>
    </w:p>
    <w:p>
      <w:pPr>
        <w:spacing w:after="0" w:line="3" w:lineRule="exact"/>
        <w:rPr>
          <w:rFonts w:ascii="Arial" w:cs="Arial" w:eastAsia="Arial" w:hAnsi="Arial"/>
          <w:sz w:val="16"/>
          <w:szCs w:val="16"/>
          <w:color w:val="auto"/>
          <w:vertAlign w:val="superscript"/>
        </w:rPr>
      </w:pPr>
    </w:p>
    <w:p>
      <w:pPr>
        <w:ind w:left="140" w:hanging="136"/>
        <w:spacing w:after="0" w:line="201" w:lineRule="auto"/>
        <w:tabs>
          <w:tab w:leader="none" w:pos="140" w:val="left"/>
        </w:tabs>
        <w:numPr>
          <w:ilvl w:val="0"/>
          <w:numId w:val="52"/>
        </w:numPr>
        <w:rPr>
          <w:rFonts w:ascii="Arial" w:cs="Arial" w:eastAsia="Arial" w:hAnsi="Arial"/>
          <w:sz w:val="16"/>
          <w:szCs w:val="16"/>
          <w:color w:val="auto"/>
          <w:vertAlign w:val="superscript"/>
        </w:rPr>
      </w:pPr>
      <w:r>
        <w:rPr>
          <w:rFonts w:ascii="Arial" w:cs="Arial" w:eastAsia="Arial" w:hAnsi="Arial"/>
          <w:sz w:val="13"/>
          <w:szCs w:val="13"/>
          <w:color w:val="auto"/>
        </w:rPr>
        <w:t>See the section titled “—Our Opportunity” for additional information regarding our market opportunity.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209"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This continuous feedback loop constantly optimizes our platform for our clients’ evolving needs, fueling our historical organic growth. Over the past two fiscal years, over 50% of new clients were referred by existing clients and our annual client retention rate was approximately 95% for each of fiscal 2024 and fiscal 2025.</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led by a technically proficient management team, including our CEO, who served as our CTO for many years. We built our products on a proprietary technology infrastructure. We have a strong, somewhat contrarian preference for building over buying or partnering. This allows us to automate to an extent not seen in the industry. Automation not only allows us to launch and iterate products faster, lower costs to clients, and offer a better overall client experience, but also lowers our cost of support. Automation is a core principle underpinning everything we do—the way we design our products, organize our company, and foster employee culture.</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Our cost structure and our organic growth are business model advantages, and have enabled us to achieve our historic profitability, which allows us to further invest in our platform. Reinvesting in our platform drives further automation and powers the continuous cycle of our flywheel.</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seek to make money with, not from, our clients along their wealth accumulation journey. The alignment of incentives helps retain clients and drives more predictability in our business, as our clients trust us with an increasing amount of their wealth and adopt more than one product.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Track Record of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92710</wp:posOffset>
            </wp:positionV>
            <wp:extent cx="4165600" cy="2529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6560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Since inception, we have experienced significant growth. We rapidly scaled our number of clients and platform assets, all while sustaining high retention rates. Our platform assets increased from $57.6 billion as of January 31, 2024 to $80.2 billion as of January 31, 2025, representing 39% year-over-year growth,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80"/>
          </w:cols>
          <w:pgMar w:left="300" w:top="209"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and from $71.4 billion as of July 31, 2024 to $ 88.2 billion as of July 31, 2025, representing 24% year-over-year growth. We generated total revenue of $216.7 million in fiscal 2024 and $308.9 million in fiscal 2025, representing year-over-year growth of 43%, and $145.9 million for the six months ended July 31, 2024 and $175.6 million for the six months ended July 31, 2025, representing 20% year-over-year growth. We generated net income of $77.0 million in fiscal 2024 and $194.4 million in fiscal 2025, representing a net income margin of 36% and 63%, respectively, and net income of $ 132.3 million for the six months ended July 31, 2024 and $60.7 million for the six months ended July 31, 2025, representing a net income margin of 91% and 35%, respectively. Net income for fiscal 2025 included a total tax benefit for the year of $55.2 million due to the one-time deferred tax benefit of $ 80.2 million, resulting primarily from the release of the full valuation allowance on our historical net deferred tax assets. Net income for the six months ended July 31, 2024 included a total tax benefit for the period of $54.0 million due to a deferred tax benefit of $70.8 million, resulting primarily from the release of the valuation allowance on our historical net deferred tax assets. Our Adjusted EBITDA was $103.0 million in fiscal 2024 and $142.7 million in fiscal 2025, representing an Adjusted EBITDA margin of 48% and 46%, respectively, and Adjusted EBITDA was $71.2 million for the six months ended July 31, 2024 and $82.7 million for the six months ended July 31, 2025, representing an Adjusted EBITDA margin of 49% and 47%, respectively. See the section titled “Management’s Discussion and Analysis of Financial Condition and Results of Operations—Non-GAAP Financial Measures” for information regarding our use of Adjusted EBITDA and Adjusted EBITDA margin, and a reconciliation of each non-GAAP financial measure to the most directly comparable financial measure presented in accordance with GAAP.</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Unique Economics and Compounding Growth Model of Wealthfront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financial model is designed to scale efficiently as clients trust us with more assets and it has proven to be resilient over multiple stock market cycles and macroeconomic environments since inception.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Drivers of Our Growth</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incentives are fundamentally aligned with our clients’ best interests. As our clients’ wealth grows, so does our revenue. This dynamic allows us to scale efficiently by deepening relationships with existing clients rather than solely relying on new client acquisitions. Our product-led growth engine and long-term investment strategy through volatile macroeconomic trends drive our durable compounding growth.</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Client Wealth Grows Our Revenue</w:t>
      </w:r>
    </w:p>
    <w:p>
      <w:pPr>
        <w:spacing w:after="0" w:line="12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Our revenue, earned primarily from platform asset-based fees, grows as clients’</w:t>
      </w:r>
      <w:r>
        <w:rPr>
          <w:rFonts w:ascii="Arial" w:cs="Arial" w:eastAsia="Arial" w:hAnsi="Arial"/>
          <w:sz w:val="18"/>
          <w:szCs w:val="18"/>
          <w:color w:val="auto"/>
          <w:vertAlign w:val="superscript"/>
        </w:rPr>
        <w:t>18</w:t>
      </w:r>
      <w:r>
        <w:rPr>
          <w:rFonts w:ascii="Arial" w:cs="Arial" w:eastAsia="Arial" w:hAnsi="Arial"/>
          <w:sz w:val="14"/>
          <w:szCs w:val="14"/>
          <w:color w:val="auto"/>
        </w:rPr>
        <w:t xml:space="preserve"> wealth increases and they trust us with more assets. This aligns our incentives directly with our clients’ long-term financial success, allowing us to focus solely on growing and maintaining their wealth, unlike many FinTechs incentivized to encourage transaction velocity.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Existing Clients Fuel Efficient, Consistent Growth</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Most of our assets and growth come from existing clients: digital natives seeking to build their wealth. Clients typically join our platform seeking a specific solution and initially fund their first account with $10,000 to $30,000 in their first 30 days. As their trust in us builds over time, clients begin to consistently add deposits, often through regular weekly or monthly contributions, or larger one-time infusions from bonuses, liquidity events or inheritances, and adopt additional products. The average platform assets per client was approximately $67,000 on the platform</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with more than 17% of clients having recurring or direct deposits as of July 31, 2025.</w:t>
      </w:r>
    </w:p>
    <w:p>
      <w:pPr>
        <w:spacing w:after="0" w:line="4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highly loyal, mostly organically acquired client base is also quick to adopt new products or incentives, such as our interest rate referral incentive program, amplifying viral growth moments. These behaviors help create predictable, recurring revenue growth as evidenced by our greater than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17621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40" w:lineRule="exact"/>
        <w:rPr>
          <w:sz w:val="20"/>
          <w:szCs w:val="20"/>
          <w:color w:val="auto"/>
        </w:rPr>
      </w:pPr>
    </w:p>
    <w:p>
      <w:pPr>
        <w:ind w:left="140" w:hanging="136"/>
        <w:spacing w:after="0"/>
        <w:tabs>
          <w:tab w:leader="none" w:pos="140" w:val="left"/>
        </w:tabs>
        <w:numPr>
          <w:ilvl w:val="0"/>
          <w:numId w:val="53"/>
        </w:numPr>
        <w:rPr>
          <w:rFonts w:ascii="Arial" w:cs="Arial" w:eastAsia="Arial" w:hAnsi="Arial"/>
          <w:sz w:val="16"/>
          <w:szCs w:val="16"/>
          <w:color w:val="auto"/>
          <w:vertAlign w:val="superscript"/>
        </w:rPr>
      </w:pPr>
      <w:r>
        <w:rPr>
          <w:rFonts w:ascii="Arial" w:cs="Arial" w:eastAsia="Arial" w:hAnsi="Arial"/>
          <w:sz w:val="13"/>
          <w:szCs w:val="13"/>
          <w:color w:val="auto"/>
        </w:rPr>
        <w:t>Average platform assets per client is calculated by dividing platform assets by funded clients as of a stated date.</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02" w:lineRule="exact"/>
        <w:rPr>
          <w:rFonts w:ascii="Arial" w:cs="Arial" w:eastAsia="Arial" w:hAnsi="Arial"/>
          <w:sz w:val="16"/>
          <w:szCs w:val="16"/>
          <w:color w:val="auto"/>
          <w:vertAlign w:val="superscript"/>
        </w:rPr>
      </w:pPr>
    </w:p>
    <w:p>
      <w:pPr>
        <w:ind w:left="5540"/>
        <w:spacing w:after="0"/>
        <w:rPr>
          <w:rFonts w:ascii="Arial" w:cs="Arial" w:eastAsia="Arial" w:hAnsi="Arial"/>
          <w:sz w:val="16"/>
          <w:szCs w:val="16"/>
          <w:color w:val="auto"/>
          <w:vertAlign w:val="superscript"/>
        </w:rPr>
      </w:pPr>
      <w:r>
        <w:rPr>
          <w:rFonts w:ascii="Arial" w:cs="Arial" w:eastAsia="Arial" w:hAnsi="Arial"/>
          <w:sz w:val="14"/>
          <w:szCs w:val="14"/>
          <w:color w:val="auto"/>
        </w:rPr>
        <w:t>112</w:t>
      </w:r>
    </w:p>
    <w:p>
      <w:pPr>
        <w:sectPr>
          <w:pgSz w:w="11900" w:h="16838" w:orient="portrait"/>
          <w:cols w:equalWidth="0" w:num="1">
            <w:col w:w="11280"/>
          </w:cols>
          <w:pgMar w:left="300" w:top="209"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annual net revenue retention for each of the last eleven fiscal years. Supporting these engaged clients on our platform is highly efficient, as evidenced by our 90% gross margin for fiscal 2025.</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below chart illustrates the resilience of our client cohorts’ net deposit growth over time. This consistent expansion in cumulative net deposits across cohorts demonstrates the durability of each annual client cohort excluding the impact of market appreciation and despite periods of macroeconomic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59055</wp:posOffset>
            </wp:positionV>
            <wp:extent cx="4165600" cy="2282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65600" cy="228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Products Drive Cost Effective Organic New Client Growth</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rely almost exclusively on organic growth, understanding that great companies are built through word of mouth fueled by client delight and exceptional products. Over the past two fiscal years over 50% of new clients were referred by existing clients. This is a deliberate strategy: win new clients with exceptional products rather than outspend competitors on marketing to drive new client acquisition. We understand that building great products is a long-term investment, turning new clients into loyal long-term advocates. Our focus on organic client growth rather than significant advertising spend—illustrated by our acquisition of over 650,000 new funded clients cumulatively in fiscal 2024 and fiscal 2025 while only incurring $73 million in marketing costs in the same period ultimately drives higher margins that can be reinvested into product improvement and platform development.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Built-In Cost-Free Compounding Asset Growth</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benefit from built-in cost-free, compounding revenue growth on both investment advisory and cash management assets. Our equity-oriented investment advisory assets (e.g., passively managed diversified index-based ETF portfolios, S&amp;P 500 Direct) typically compound over long periods at around 6% annually due to market appreciation, which, though volatile at times, has historically recovered quickly after market downturns. Our cash management assets also enjoy cost-free compounding growth from an industry-leading interest rate (historically up to 5% APY).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Investment Strategy through Volatile Macroeconomic Conditions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Equity markets and interest rates often move inversely, providing a natural hedge that enables our business to be durable, and grow steadily and profitably across most economic conditions. The potential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80"/>
          </w:cols>
          <w:pgMar w:left="300" w:top="209"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macroeconomic shifts emphasizes the importance of not only having a comprehensive suite of uncorrelated financial products, but also the versatility of employing client acquisition strategies to quickly adapt to the environment. For example, in stronger macroeconomic environments with low interest rates, our investment advisory products become more popular. In weaker macroeconomic environments with higher interest rates, our cash management products become more popular. When a client initially funds either a cash management or investment advisory account and subsequently funds the other type of account, we define this as cross product adoption. As of July 31, 2025, our cross product adoption rate was 59% on an asset basis and 27% on a client basis. We also benefit from our clients’ commitment to passive investing, which reduces withdrawals during market downturns, further stabilizing our growth.</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Software-Driven, Automated Services Lead to High Margins for Us and More Value for Our Clients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focus on automation streamlines service delivery, requiring far fewer employees than traditional approaches. Nearly half of our employees as of July 31, 2025 were software engineers, and we operate without salespeople or financial advisors, which our clients prefer. Consequently, our software-driven service model generates a better user experience and higher operating margins that can be shared with clients and reinvested into product improvement and platform development.</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fiscal 2024 and fiscal 2025, our revenue growth was 153% and 43%, our net income margin was 36% and 63%, and our Adjusted EBITDA margin was 48% and 46%, respectively. For the six months ended July 31, 2024 and 2025, our revenue growth was 56% and 20%, our net income margin was 91% and 35%, and our Adjusted EBITDA margin was 49% and 47%, respectively. Net income for fiscal 2025 included a total tax benefit for the year of $ 55.2 million due to the one-time deferred tax benefit of $80.2 million, resulting primarily from the release of the full valuation allowance on our historical net deferred tax assets. This combination of growth and profitability demonstrates our ability to grow efficiently with high margins in any economic environment.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 Model</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generate revenue primarily from our cash management and investment advisory products.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4"/>
          <w:szCs w:val="14"/>
          <w:color w:val="auto"/>
        </w:rPr>
        <w:t>We primarily generate revenue from our Cash Account through fees received for the delivery of cash management services that are a part of our cash sweep program.</w:t>
      </w:r>
      <w:r>
        <w:rPr>
          <w:rFonts w:ascii="Arial" w:cs="Arial" w:eastAsia="Arial" w:hAnsi="Arial"/>
          <w:sz w:val="18"/>
          <w:szCs w:val="18"/>
          <w:color w:val="auto"/>
          <w:vertAlign w:val="superscript"/>
        </w:rPr>
        <w:t>19</w:t>
      </w:r>
      <w:r>
        <w:rPr>
          <w:rFonts w:ascii="Arial" w:cs="Arial" w:eastAsia="Arial" w:hAnsi="Arial"/>
          <w:sz w:val="14"/>
          <w:szCs w:val="14"/>
          <w:color w:val="auto"/>
        </w:rPr>
        <w:t xml:space="preserve"> Each program bank agrees to pay a gross amount on program deposits swept to them. This amount is based on a negotiated percentage multiplied by the program deposits at the program bank. A portion of the gross amount is paid to our clients as interest by the program bank for the program deposits, and we receive the remainder as our fee for the cash management services that we deliver to our clients. We set the rate clients receive and therefore the portion of the gross amount paid to our clients is determined by us.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negotiated percentage that a program bank pays is based on a major interest rate benchmark (e.g., the Federal Funds Rate or Secured Overnight Financing Rate (“SOFR”)) plus an additional agreed upon percentage. The rates offered by program banks are variable and are impacted by and may change in response to changes to the benchmark rate, market supply and demand, and other economic forces. These rates are typically agreed to for a fixed period of time and may be renegotiated periodically following such period. As a result, the fees we receive are subject to variability in the negotiated percentage the program banks pay and to changes we may make to the rate we set for clients. The rate we set for clients is also, therefore, variable and is impacted primarily by the above referenced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17621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77" w:lineRule="exact"/>
        <w:rPr>
          <w:sz w:val="20"/>
          <w:szCs w:val="20"/>
          <w:color w:val="auto"/>
        </w:rPr>
      </w:pPr>
    </w:p>
    <w:p>
      <w:pPr>
        <w:ind w:left="260" w:hanging="256"/>
        <w:spacing w:after="0" w:line="234" w:lineRule="auto"/>
        <w:tabs>
          <w:tab w:leader="none" w:pos="143" w:val="left"/>
        </w:tabs>
        <w:numPr>
          <w:ilvl w:val="0"/>
          <w:numId w:val="54"/>
        </w:numPr>
        <w:rPr>
          <w:rFonts w:ascii="Arial" w:cs="Arial" w:eastAsia="Arial" w:hAnsi="Arial"/>
          <w:sz w:val="16"/>
          <w:szCs w:val="16"/>
          <w:color w:val="auto"/>
          <w:vertAlign w:val="superscript"/>
        </w:rPr>
      </w:pPr>
      <w:r>
        <w:rPr>
          <w:rFonts w:ascii="Arial" w:cs="Arial" w:eastAsia="Arial" w:hAnsi="Arial"/>
          <w:sz w:val="13"/>
          <w:szCs w:val="13"/>
          <w:color w:val="auto"/>
        </w:rPr>
        <w:t>Wealthfront is not a bank, and we do not provide banking services or products directly to our clients. Clients are notified, via our website (including our Wealthfront Cash Account product page and Help Center), disclaimers included in certain advertising materials, legal disclosures provided on client account pages, and Wealthfront Advisers LLC’s Form ADV Part 2A Client Brochure, that Wealthfront does not provide direct banking services and such services are provided through third-party banking partners. Clients are able to view the names of our specific banking partners and the services which they provide on our website and certain disclosures.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209" w:right="3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rate as well as changes in supply or demand and other economic forces. We strive to set the client rate as high as possible, which may reduce the fee we receive for the cash management services we provide. Our Cash Sweep Program Disclosure, which is delivered to and acknowledged by clients at account opening, discloses that we receive a fee, which varies by program bank and may range from 0% to 2% (annualized).</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cash management services that we agree to perform in connection with our cash sweep program consist of the following integrated services: identification and onboarding of program banks; movement of client funds transferred to and from program banks; coordinating with R&amp;T, the cash sweep administrator, to determine allocation of client funds between program banks; providing account statements to clients; maintaining individual account ledgers on behalf of clients; delivery of interest to clients from program banks; and other services related to the Cash Account. The program banks, as vendors in our cash sweep program, provide custodial services to us that primarily include maintaining an account at the bank in the name of Wealthfront Brokerage LLC for the exclusive benefit of our customers. The cash management services described above are integrated and not distinct in the context of our agreement with clients.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responsible for providing cash management services to our Cash Account clients, which include the various integrated services discussed above and which represent a single combined service. We are the principal with respect to cash management services because we have control over how the services are provided to our clients and are responsible for fulfilling the promise to our clients under our agreement with clients. We engage program banks, among other vendors, to fulfill our performance obligations and services promised to our clients that comprise our cash management services.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addition to the revenue generated through fees from our cash management services described above, we also generate interchange revenue when our clients use the Wealthfront-branded debit card to make purchases. This revenue was not material across the periods presented.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fee structure for our cash sweep program and other cash management services reflects our belief that clients should keep more of their money working for them—not lost to hidden or transactional charges. Unlike most financial institutions and FinTechs that charge their clients separate and individual fees or subscriptions for high APY savings and checking accounts, our Cash Account provides clients with a transparent, no cost experience that combines the typical features of a checking and savings account. Our ability to offer competitive rates while maintaining strong unit economics creates a differentiated and scalable model for attracting Cash Account deposits. Furthermore, digital natives are just beginning their wealth accumulation journey and prioritizing saving for upcoming life events (e.g., marriage, buying a home, starting a family). Accordingly, our clients prefer to hold cash across all economic cycles, which generates a consistent revenue stream for us.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also generate revenue from our investment advisory products, which consists of fees charged for investment advisory and portfolio management services. Investment advisory fees are earned based on the market value, less fee waivers, of investment advisory assets. As of July 31, 2025, for nearly all investment advisory assets, we earn a flat advisory fee of 0.25% annually, net of fee waivers, though this fee ranges between 0.09% and 0.25% depending on the advisory product a client has selected. Our investment advisory products include diversified index ETF portfolios; Automated Bond Ladders, which provide clients with a simple structured approach to fixed-income investments; and S&amp;P 500 Direct where clients gain direct exposure to the S&amp;P 500 index through a low-cost, more tax efficient investment vehicle than an index fund. Portfolio management services include automated rebalancing to maintain target portfolio allocations and tax loss harvesting to help lower a client’s taxes while maintaining a portfolio's expected risk and return. We have consistently improved our products after launching them, offering more value to clients while maintaining or reducing our already industry-leading low fees and account minimums. The ability to improve products while maintaining low fees is enabled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80"/>
          </w:cols>
          <w:pgMar w:left="300" w:top="209"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continuous investment in our software and automation, which has enhanced our operating efficiency and allows us to scale without passing additional costs to our clients.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low advisory fees allow us to deliver superior value to clients without requiring a subscription. We empower our clients to implement and maintain passive investment strategies tailored to their individual risk tolerances. Our unbiased and automated advice delivers objective and personalized guidance, free from transactional pressures or upselling tactics. Our automated investing platform is scalable with minimal marginal cost per client, unlike traditional financial institutions’ investment or brokerage platforms which bear the cost of human advisors, or FinTech firms’ high variable costs to acquire clients. Our cost efficiency enables us to maintain attractive fees while our clients expand their wallet share with us. As our clients consolidate their assets on the Wealthfront platform, we deepen not only our clients’ engagement with our platform but also the trust-based relationship we have with them.</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Beyond cash management and investment advisory, we also generate revenue by offering additional services such as margin lending through a portfolio line of credit, fully paid securities lending, and proxy distribution. These products expand our client delight and lifetime value, deepen our client engagement and trust, drive client retention and increase monetization.</w:t>
      </w:r>
    </w:p>
    <w:p>
      <w:pPr>
        <w:spacing w:after="0" w:line="91"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Our financial condition and results of operations have been, and will continue to be, affected by a number of factors and trends, including the following: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Attractive, Long-Term Growth Trends of Digital Native Wealth Builders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Wealthfront’s significant opportunity lies in serving digital-native generations who are beginning their prime wealth accumulation phase. As of July 31, 2025, approximately 77% of our individual funded clients were born after 1980 and the average age of our individual funded clients was approximately 38 years old. According to the Federal Reserve, the digital-native generations already hold an estimated $16 trillion of the U.S. household wealth and demonstrate an unprecedented focus on saving earlier and at higher rates relative to previous generations, even during periods of market volatility.</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This accelerated savings behavior has already enabled them to accumulate wealth faster than Gen X and Baby Boomers, a gap we expect will widen as tech-enabled financial solutions further empower their financial goals. Looking ahead, Oxford Economics projects digital-native generations’ net wealth to grow by over 11% annually for the next two decades, far surpassing the 5.8% for the broader U.S. population. Wealthfront is designed to attract and grow alongside these clients. Since inception, Wealthfront’s platform assets have grown in parallel with the overall net worth of digital natives, proving our fundamental connection to their financial progress as we support them through every stage of life with evolving, sophisticated financial solutions.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Deepening Our Relationship with Existing Clients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revenue growth relies on making Wealthfront essential to our clients’ financial lives. Doing so enables us to retain them as clients and they trust us with more of their assets. We provide an integrated financial solution — cash management, investment advisory, borrowing and lending, and financial planning — to address their current and evolving needs, designed for high value and minimal client effort through automation.</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measure our ability to deepen our client relationships through the growth of clients’ assets on our platform. From January 31, 2024 to January 31, 2025, platform assets grew from $57.6 billion to $80.2 billion, representing annual growth of 39%, and from $71.4 billion as of July 31, 2024 to $88.2 billion as of July 31, 2025, representing 24% year-over-year growth. As of July 31, 2025, more than 17% of clients had recurring or direct deposits. Clients who initially funded either a cash management 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80"/>
          </w:cols>
          <w:pgMar w:left="300" w:top="209"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advisory account and as of July 31, 2025 had a funded account of the other type represented 59% of platform assets and 27% of total funded clients, further evidence of their trust and our success in delivering delightful, innovative solutions.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clients engage more deeply, they become entrenched in our platform, reflected by our greater than 120% annual net revenue retention for each of the last eleven fiscal years. We see the potential for significant expansion within our existing client base, driven by increasing multi-product adoption, higher utilization, and our sustained appeal to digital natives.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chart below illustrates the strength and long-term potential of our client relationships by presenting the growth in platform assets from each annual client cohort since January 31, 2015. We have seen high-quality and sustained long-term growth with our clients as cohorts compound over time. Each year, while new cohorts join our platform, existing cohorts continue to expand their assets through additional net deposits and appreciation over time. Since inception, the platform assets of every annual client cohort has continued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67310</wp:posOffset>
            </wp:positionV>
            <wp:extent cx="4165600" cy="2356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65600" cy="235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Helping Clients Grow Wealth Regardless of Shifting Macroeconomic Trends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Macroeconomic conditions are beyond our and our clients’ control. Despite economic downturns, interest rate cycles and periods of volatile equity markets, our clients maintain a long-term investment perspective, trusting our platform to build long-term wealth. Our clients’ adherence to a passive investing approach, combined with our focus on optimizing controllable factors like fees, diversification, and taxes, provides resilience. For example, our ongoing tax-loss harvesting capabilities encourage our clients to stay invested, fostering long-term wealth accumulation.</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Throughout our history, we have successfully navigated multiple periods of economic uncertainty including zero interest rate policy, rising inflation, five market corrections and two bear markets. In our history, we’ve only experienced one quarter of net investment advisory withdrawals: during the initial COVID-19 shock.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80"/>
          </w:cols>
          <w:pgMar w:left="300" w:top="209" w:right="3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Growing Our Target Client Base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We increased our client base by 42% in fiscal 2025 to over 1.2 million funded clients. We primarily acquire new clients from digital-native generations through organic channels, including word-of-mouth and incentive-based referrals. Over the past two fiscal years over 50% of new clients were referred by existing clients and 40% of our clients</w:t>
      </w:r>
      <w:r>
        <w:rPr>
          <w:rFonts w:ascii="Arial" w:cs="Arial" w:eastAsia="Arial" w:hAnsi="Arial"/>
          <w:sz w:val="18"/>
          <w:szCs w:val="18"/>
          <w:color w:val="auto"/>
          <w:vertAlign w:val="superscript"/>
        </w:rPr>
        <w:t>20</w:t>
      </w:r>
      <w:r>
        <w:rPr>
          <w:rFonts w:ascii="Arial" w:cs="Arial" w:eastAsia="Arial" w:hAnsi="Arial"/>
          <w:sz w:val="14"/>
          <w:szCs w:val="14"/>
          <w:color w:val="auto"/>
        </w:rPr>
        <w:t xml:space="preserve"> sent a referral from October 2022 through July 2025. This efficient client acquisition strategy not only identifies clients similar to our current base but also enables superior profit margins, supporting continued reinvestment in our platform.</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intend to continue to invest in our marketing efforts, in addition to word-of-mouth referrals, in order to drive awareness of our platform and client referrals. We pursue digital marketing strategies that we believe are most effective with digital natives. Due to our strong word-of-mouth referral rate, we grow our client base with minimal marketing spend evidenced by marketing spend representing 10% and 17% of total revenue in fiscal 2024 and fiscal 2025,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Continued Investment in Our Platform</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continued success is dependent upon our ability to deliver an ever-improving and tailored client experience. Since inception, we’ve made significant investments in our proprietary infrastructure, building an omnibus brokerage, financial data aggregation, and a robust data and analytics platform. This foundation not only streamlines operations but also enables clients to manage their investments and financial planning in an automated way, reflecting our commitment to innovative, client-centric solutions.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We’re dedicated to further technological investment to foster client trust in our platform. By continuously enhancing our platform, we aim to empower clients throughout their financial journeys, contributing to their growth and success. This commitment to advancement is expected to drive increased engagement and deposits among existing clients, ensuring durable business growth.</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Continuous Innovation and Development of New Products to Meet Our Clients’ Needs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Wealthfront, continuous innovation is the core of our business strategy, demonstrated by our consistent history of launching new products and features. Our obsession with understanding and delighting our clients drives this focus, allowing us to rapidly develop and refine a platform that genuinely responds to client needs. This creates a trusted, user-friendly experience with features such as free instant money movement and low-cost, yet sophisticated investment capabilities.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While our product launch velocity has increased with accumulated resources, we measure ourselves not by the quantity but by the quality of the products we launch, reinforced by a deliberate product process focused on learning and iterating to empower clients’ financial goals. As we expand into areas like mortgages and other investment product offerings, we expect higher multi-product adoption and deepening client relationships which drives sustained growth.</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dedication to innovation, with automation as our core principle, ensures we maintain a low cost to serve. By leveraging client insights and technology, we operate more efficiently than traditional financial institutions and other FinTech companies, delivering high-quality, low-cost services that benefit our client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17621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27" w:lineRule="exact"/>
        <w:rPr>
          <w:sz w:val="20"/>
          <w:szCs w:val="20"/>
          <w:color w:val="auto"/>
        </w:rPr>
      </w:pPr>
    </w:p>
    <w:p>
      <w:pPr>
        <w:ind w:left="140" w:hanging="136"/>
        <w:spacing w:after="0"/>
        <w:tabs>
          <w:tab w:leader="none" w:pos="140" w:val="left"/>
        </w:tabs>
        <w:numPr>
          <w:ilvl w:val="0"/>
          <w:numId w:val="55"/>
        </w:numPr>
        <w:rPr>
          <w:rFonts w:ascii="Arial" w:cs="Arial" w:eastAsia="Arial" w:hAnsi="Arial"/>
          <w:sz w:val="18"/>
          <w:szCs w:val="18"/>
          <w:color w:val="auto"/>
          <w:vertAlign w:val="superscript"/>
        </w:rPr>
      </w:pPr>
      <w:r>
        <w:rPr>
          <w:rFonts w:ascii="Arial" w:cs="Arial" w:eastAsia="Arial" w:hAnsi="Arial"/>
          <w:sz w:val="13"/>
          <w:szCs w:val="13"/>
          <w:color w:val="auto"/>
        </w:rPr>
        <w:t>Funded clients born after 1980.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80"/>
          </w:cols>
          <w:pgMar w:left="300" w:top="209"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Key Business Metrics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We monitor the following key business metrics to help us evaluate our business, identify trends, formulate business plans and make strategic decisions: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ind w:left="120"/>
              <w:spacing w:after="0"/>
              <w:rPr>
                <w:sz w:val="20"/>
                <w:szCs w:val="20"/>
                <w:color w:val="auto"/>
              </w:rPr>
            </w:pPr>
            <w:r>
              <w:rPr>
                <w:rFonts w:ascii="Arial" w:cs="Arial" w:eastAsia="Arial" w:hAnsi="Arial"/>
                <w:sz w:val="11"/>
                <w:szCs w:val="11"/>
                <w:b w:val="1"/>
                <w:bCs w:val="1"/>
                <w:color w:val="auto"/>
              </w:rPr>
              <w:t>Fiscal Year Ended January 31,</w:t>
            </w:r>
          </w:p>
        </w:tc>
        <w:tc>
          <w:tcPr>
            <w:tcW w:w="240" w:type="dxa"/>
            <w:vAlign w:val="bottom"/>
          </w:tcPr>
          <w:p>
            <w:pPr>
              <w:spacing w:after="0"/>
              <w:rPr>
                <w:sz w:val="14"/>
                <w:szCs w:val="14"/>
                <w:color w:val="auto"/>
              </w:rPr>
            </w:pPr>
          </w:p>
        </w:tc>
        <w:tc>
          <w:tcPr>
            <w:tcW w:w="2000" w:type="dxa"/>
            <w:vAlign w:val="bottom"/>
            <w:gridSpan w:val="4"/>
          </w:tcPr>
          <w:p>
            <w:pPr>
              <w:jc w:val="right"/>
              <w:ind w:right="352"/>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67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2025</w:t>
            </w:r>
          </w:p>
        </w:tc>
      </w:tr>
      <w:tr>
        <w:trPr>
          <w:trHeight w:val="16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Platform assets ($ millions)</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88,175</w:t>
            </w:r>
          </w:p>
        </w:tc>
      </w:tr>
      <w:tr>
        <w:trPr>
          <w:trHeight w:val="179"/>
        </w:trPr>
        <w:tc>
          <w:tcPr>
            <w:tcW w:w="6700" w:type="dxa"/>
            <w:vAlign w:val="bottom"/>
          </w:tcPr>
          <w:p>
            <w:pPr>
              <w:ind w:left="180"/>
              <w:spacing w:after="0"/>
              <w:rPr>
                <w:sz w:val="20"/>
                <w:szCs w:val="20"/>
                <w:color w:val="auto"/>
              </w:rPr>
            </w:pPr>
            <w:r>
              <w:rPr>
                <w:rFonts w:ascii="Arial" w:cs="Arial" w:eastAsia="Arial" w:hAnsi="Arial"/>
                <w:sz w:val="14"/>
                <w:szCs w:val="14"/>
                <w:color w:val="auto"/>
              </w:rPr>
              <w:t>Cash management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42,411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38,085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46,579</w:t>
            </w:r>
          </w:p>
        </w:tc>
      </w:tr>
      <w:tr>
        <w:trPr>
          <w:trHeight w:val="179"/>
        </w:trPr>
        <w:tc>
          <w:tcPr>
            <w:tcW w:w="6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advisory</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37,764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41,596</w:t>
            </w:r>
          </w:p>
        </w:tc>
      </w:tr>
      <w:tr>
        <w:trPr>
          <w:trHeight w:val="179"/>
        </w:trPr>
        <w:tc>
          <w:tcPr>
            <w:tcW w:w="6700" w:type="dxa"/>
            <w:vAlign w:val="bottom"/>
          </w:tcPr>
          <w:p>
            <w:pPr>
              <w:ind w:left="20"/>
              <w:spacing w:after="0"/>
              <w:rPr>
                <w:sz w:val="20"/>
                <w:szCs w:val="20"/>
                <w:color w:val="auto"/>
              </w:rPr>
            </w:pPr>
            <w:r>
              <w:rPr>
                <w:rFonts w:ascii="Arial" w:cs="Arial" w:eastAsia="Arial" w:hAnsi="Arial"/>
                <w:sz w:val="14"/>
                <w:szCs w:val="14"/>
                <w:color w:val="auto"/>
              </w:rPr>
              <w:t>Net deposits ($ millions)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20,858</w:t>
            </w:r>
          </w:p>
        </w:tc>
        <w:tc>
          <w:tcPr>
            <w:tcW w:w="8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17,714</w:t>
            </w:r>
          </w:p>
        </w:tc>
        <w:tc>
          <w:tcPr>
            <w:tcW w:w="8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10,653</w:t>
            </w:r>
          </w:p>
        </w:tc>
        <w:tc>
          <w:tcPr>
            <w:tcW w:w="8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5,452</w:t>
            </w:r>
          </w:p>
        </w:tc>
      </w:tr>
      <w:tr>
        <w:trPr>
          <w:trHeight w:val="17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Funded clients (thousands)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r>
    </w:tbl>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color w:val="auto"/>
        </w:rPr>
        <w:t>Platform assets</w:t>
      </w:r>
      <w:r>
        <w:rPr>
          <w:rFonts w:ascii="Arial" w:cs="Arial" w:eastAsia="Arial" w:hAnsi="Arial"/>
          <w:sz w:val="14"/>
          <w:szCs w:val="14"/>
          <w:color w:val="auto"/>
        </w:rPr>
        <w:t>: We define “platform assets” as the total value of financial assets held by clients in their accounts as of a stated date on our platform. Net deposits and changes in</w:t>
      </w:r>
      <w:r>
        <w:rPr>
          <w:rFonts w:ascii="Arial" w:cs="Arial" w:eastAsia="Arial" w:hAnsi="Arial"/>
          <w:sz w:val="14"/>
          <w:szCs w:val="14"/>
          <w:b w:val="1"/>
          <w:bCs w:val="1"/>
          <w:color w:val="auto"/>
        </w:rPr>
        <w:t xml:space="preserve"> </w:t>
      </w:r>
      <w:r>
        <w:rPr>
          <w:rFonts w:ascii="Arial" w:cs="Arial" w:eastAsia="Arial" w:hAnsi="Arial"/>
          <w:sz w:val="14"/>
          <w:szCs w:val="14"/>
          <w:color w:val="auto"/>
        </w:rPr>
        <w:t>value attributable to financial market performance are included in the change in platform assets in any given period. We further break down platform assets into two categories of products: cash management and investment advisory.</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Platform assets were $80.2 billion as of January 31, 2025, an increase of $22.6 billion, or 39%, compared to January 31, 2024. The increase in platform assets was primarily due to a 44% increase in cash management assets and a 34% increase in investment advisory assets. Platform assets were $88.2 billion as of July 31, 2025, an increase of $16.8 billion, or 24%, compared to July 31, 2024. The increase in platform assets was primarily due to a 22% increase in cash management assets and a 25% increase in investment advisory assets.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color w:val="auto"/>
        </w:rPr>
        <w:t>Net deposits</w:t>
      </w:r>
      <w:r>
        <w:rPr>
          <w:rFonts w:ascii="Arial" w:cs="Arial" w:eastAsia="Arial" w:hAnsi="Arial"/>
          <w:sz w:val="14"/>
          <w:szCs w:val="14"/>
          <w:color w:val="auto"/>
        </w:rPr>
        <w:t>: We define “net deposits” as the value of all assets clients have placed into products on our platform, net of withdrawals, over a defined period of time. We exclude</w:t>
      </w:r>
      <w:r>
        <w:rPr>
          <w:rFonts w:ascii="Arial" w:cs="Arial" w:eastAsia="Arial" w:hAnsi="Arial"/>
          <w:sz w:val="14"/>
          <w:szCs w:val="14"/>
          <w:b w:val="1"/>
          <w:bCs w:val="1"/>
          <w:color w:val="auto"/>
        </w:rPr>
        <w:t xml:space="preserve"> </w:t>
      </w:r>
      <w:r>
        <w:rPr>
          <w:rFonts w:ascii="Arial" w:cs="Arial" w:eastAsia="Arial" w:hAnsi="Arial"/>
          <w:sz w:val="14"/>
          <w:szCs w:val="14"/>
          <w:color w:val="auto"/>
        </w:rPr>
        <w:t>changes in value attributable to financial market performance from this metric. We view net deposits as an important barometer of our ability to scale and grow organically and accumulate assets onto our platform. We view the relevant metric as net deposits on a platform-wide basis, not by individual product. Although net deposits can vary by product based on the economic environment, as described below, total net deposits provides a more comprehensive view of our growth because our platform offers diverse financial products that are designed to perform under a wide range of economic conditions, allowing the business to maintain resilience and increase total platform assets across market cycles and through extraordinary events.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Net deposits were $17.7 billion during the fiscal year ended January 31, 2025, a decrease of $3.1 billion, or 15%, compared to the prior year. The decrease in net deposits was primarily due to a decrease in cash management net deposits compared to the prior year offset by an increase in investment advisory net deposits. A portion of the growth in investment advisory net deposits came from cash management to investment advisory cross account transfers due to the launch of several new investment advisory products adopted by clients such as Automated Bond Ladders and S&amp;P 500 Direct. Net deposits were $5.5 billion during the six months ended July 31, 2025, a decrease of $5.2 billion, or 49%, compared to the same period in the prior year. The decrease in net deposits for the six months ended July 31, 2025 was influenced by lower interest rates and increased market volatility, including a correction in the S&amp;P 500 that occurred in early 2025, compared to the same period in the prior year.</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color w:val="auto"/>
        </w:rPr>
        <w:t>Funded clients</w:t>
      </w:r>
      <w:r>
        <w:rPr>
          <w:rFonts w:ascii="Arial" w:cs="Arial" w:eastAsia="Arial" w:hAnsi="Arial"/>
          <w:sz w:val="14"/>
          <w:szCs w:val="14"/>
          <w:color w:val="auto"/>
        </w:rPr>
        <w:t>: We define “funded clients” as clients with balances greater than zero or that have been greater than zero on at least one occasion during the 45 consecutive</w:t>
      </w:r>
      <w:r>
        <w:rPr>
          <w:rFonts w:ascii="Arial" w:cs="Arial" w:eastAsia="Arial" w:hAnsi="Arial"/>
          <w:sz w:val="14"/>
          <w:szCs w:val="14"/>
          <w:b w:val="1"/>
          <w:bCs w:val="1"/>
          <w:color w:val="auto"/>
        </w:rPr>
        <w:t xml:space="preserve"> </w:t>
      </w:r>
      <w:r>
        <w:rPr>
          <w:rFonts w:ascii="Arial" w:cs="Arial" w:eastAsia="Arial" w:hAnsi="Arial"/>
          <w:sz w:val="14"/>
          <w:szCs w:val="14"/>
          <w:color w:val="auto"/>
        </w:rPr>
        <w:t>calendar days ending as of the measurement date. Funded clients include clients with a zero balance across all accounts as of the measurement date if they had greater than zero balances in at least one account within 45 calendar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80"/>
          </w:cols>
          <w:pgMar w:left="300" w:top="209"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prior to the measurement date</w:t>
      </w:r>
      <w:r>
        <w:rPr>
          <w:rFonts w:ascii="Arial" w:cs="Arial" w:eastAsia="Arial" w:hAnsi="Arial"/>
          <w:sz w:val="18"/>
          <w:szCs w:val="18"/>
          <w:color w:val="auto"/>
          <w:vertAlign w:val="superscript"/>
        </w:rPr>
        <w:t>21</w:t>
      </w:r>
      <w:r>
        <w:rPr>
          <w:rFonts w:ascii="Arial" w:cs="Arial" w:eastAsia="Arial" w:hAnsi="Arial"/>
          <w:sz w:val="14"/>
          <w:szCs w:val="14"/>
          <w:color w:val="auto"/>
        </w:rPr>
        <w:t>. Individuals who shared funded joint accounts are each considered to be a separate funded client. The number of funded clients is as of a stated date and reflects our scale and monetization potential.</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Funded clients were over 1.2 million as of January 31, 2025, an increase of 0.4 million, or 42%, compared to January 31, 2024. Funded clients were over 1.3 million as of July 31, 2025, an increase of 0.3 million, or 24%, compared to July 31, 2024. The increase in funded clients as of January 31, 2025 and July 31, 2025 was primarily due to an increase in new cash management clients.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Non-GAAP Financial Measures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 and Adjusted EBITDA Margin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collect and analyze operating and financial data to evaluate the health of our business, allocate our resources, and assess our performance. In addition to total revenue, net income and other results under GAAP, we utilize non-GAAP calculations of adjusted earnings before interest, taxes, depreciation, and amortization (“Adjusted EBITDA”). Adjusted EBITDA is defined as net income, excluding: (i) interest expenses, (ii) provision for (benefit from) income taxes, (iii) depreciation and amortization, (iv) stock-based compensation expense, (v) change in fair value of the convertible note, warrant liabilities, and SAFEs, and (vi) nonrecurring expenses, if any. The above items are excluded from our Adjusted EBITDA measure because these items are non-cash in nature, or because the amount and timing of these items is unpredictable, are not driven by core results of operations and render comparisons with prior periods and competitors less meaningful. We define Adjusted EBITDA Margin as Adjusted EBITDA divided by revenue. We believe Adjusted EBITDA and Adjusted EBITDA Margin provide useful information to investors and others in understanding and evaluating our results of operations, as well as providing a useful measure for period-to-period comparisons of our business performance. Moreover, we have included Adjusted EBITDA and Adjusted EBITDA Margin in this prospectus because it is a key measurement used by our management internally to make operating decisions, including those related to operating expenses, evaluate performance, identify trends affecting our business and perform strategic planning and annual budgeting.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88900</wp:posOffset>
            </wp:positionV>
            <wp:extent cx="17621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65" w:lineRule="exact"/>
        <w:rPr>
          <w:sz w:val="20"/>
          <w:szCs w:val="20"/>
          <w:color w:val="auto"/>
        </w:rPr>
      </w:pPr>
    </w:p>
    <w:p>
      <w:pPr>
        <w:ind w:left="140" w:hanging="136"/>
        <w:spacing w:after="0"/>
        <w:tabs>
          <w:tab w:leader="none" w:pos="140"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As of July 31, 2025, approximately 0.9% of funded clients had an account with assets of zero during the applicable measurement period.</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02" w:lineRule="exact"/>
        <w:rPr>
          <w:rFonts w:ascii="Arial" w:cs="Arial" w:eastAsia="Arial" w:hAnsi="Arial"/>
          <w:sz w:val="16"/>
          <w:szCs w:val="16"/>
          <w:color w:val="auto"/>
          <w:vertAlign w:val="superscript"/>
        </w:rPr>
      </w:pPr>
    </w:p>
    <w:p>
      <w:pPr>
        <w:ind w:left="5520"/>
        <w:spacing w:after="0"/>
        <w:rPr>
          <w:rFonts w:ascii="Arial" w:cs="Arial" w:eastAsia="Arial" w:hAnsi="Arial"/>
          <w:sz w:val="16"/>
          <w:szCs w:val="16"/>
          <w:color w:val="auto"/>
          <w:vertAlign w:val="superscript"/>
        </w:rPr>
      </w:pPr>
      <w:r>
        <w:rPr>
          <w:rFonts w:ascii="Arial" w:cs="Arial" w:eastAsia="Arial" w:hAnsi="Arial"/>
          <w:sz w:val="14"/>
          <w:szCs w:val="14"/>
          <w:color w:val="auto"/>
        </w:rPr>
        <w:t>120</w:t>
      </w:r>
    </w:p>
    <w:p>
      <w:pPr>
        <w:sectPr>
          <w:pgSz w:w="11900" w:h="16838" w:orient="portrait"/>
          <w:cols w:equalWidth="0" w:num="1">
            <w:col w:w="11280"/>
          </w:cols>
          <w:pgMar w:left="300" w:top="209"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presents a reconciliation of net income and net income margin, the most directly comparable GAAP measures, to Adjusted EBITDA and Adjusted EBITDA margin,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1"/>
                <w:szCs w:val="11"/>
                <w:b w:val="1"/>
                <w:bCs w:val="1"/>
                <w:color w:val="auto"/>
              </w:rPr>
              <w:t>Fiscal Year Ended January 31,</w:t>
            </w:r>
          </w:p>
        </w:tc>
        <w:tc>
          <w:tcPr>
            <w:tcW w:w="280" w:type="dxa"/>
            <w:vAlign w:val="bottom"/>
          </w:tcPr>
          <w:p>
            <w:pPr>
              <w:spacing w:after="0"/>
              <w:rPr>
                <w:sz w:val="13"/>
                <w:szCs w:val="13"/>
                <w:color w:val="auto"/>
              </w:rPr>
            </w:pPr>
          </w:p>
        </w:tc>
        <w:tc>
          <w:tcPr>
            <w:tcW w:w="2320" w:type="dxa"/>
            <w:vAlign w:val="bottom"/>
            <w:gridSpan w:val="5"/>
          </w:tcPr>
          <w:p>
            <w:pPr>
              <w:ind w:left="200"/>
              <w:spacing w:after="0"/>
              <w:rPr>
                <w:sz w:val="20"/>
                <w:szCs w:val="20"/>
                <w:color w:val="auto"/>
              </w:rPr>
            </w:pPr>
            <w:r>
              <w:rPr>
                <w:rFonts w:ascii="Arial" w:cs="Arial" w:eastAsia="Arial" w:hAnsi="Arial"/>
                <w:sz w:val="11"/>
                <w:szCs w:val="11"/>
                <w:b w:val="1"/>
                <w:bCs w:val="1"/>
                <w:color w:val="auto"/>
              </w:rPr>
              <w:t>Three Months Ended July 31,</w:t>
            </w:r>
          </w:p>
        </w:tc>
        <w:tc>
          <w:tcPr>
            <w:tcW w:w="280" w:type="dxa"/>
            <w:vAlign w:val="bottom"/>
          </w:tcPr>
          <w:p>
            <w:pPr>
              <w:spacing w:after="0"/>
              <w:rPr>
                <w:sz w:val="13"/>
                <w:szCs w:val="13"/>
                <w:color w:val="auto"/>
              </w:rPr>
            </w:pPr>
          </w:p>
        </w:tc>
        <w:tc>
          <w:tcPr>
            <w:tcW w:w="2380" w:type="dxa"/>
            <w:vAlign w:val="bottom"/>
            <w:gridSpan w:val="4"/>
          </w:tcPr>
          <w:p>
            <w:pPr>
              <w:jc w:val="right"/>
              <w:ind w:right="551"/>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14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76,966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194,447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34,178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34,741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132,309</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60,688</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1,526</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79"/>
        </w:trPr>
        <w:tc>
          <w:tcPr>
            <w:tcW w:w="3240" w:type="dxa"/>
            <w:vAlign w:val="bottom"/>
          </w:tcPr>
          <w:p>
            <w:pPr>
              <w:ind w:left="180"/>
              <w:spacing w:after="0"/>
              <w:rPr>
                <w:sz w:val="20"/>
                <w:szCs w:val="20"/>
                <w:color w:val="auto"/>
              </w:rPr>
            </w:pPr>
            <w:r>
              <w:rPr>
                <w:rFonts w:ascii="Arial" w:cs="Arial" w:eastAsia="Arial" w:hAnsi="Arial"/>
                <w:sz w:val="14"/>
                <w:szCs w:val="14"/>
                <w:color w:val="auto"/>
              </w:rPr>
              <w:t>Provision for (benefit from) income tax</w:t>
            </w:r>
          </w:p>
        </w:tc>
        <w:tc>
          <w:tcPr>
            <w:tcW w:w="30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(55,218)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color w:val="auto"/>
              </w:rPr>
              <w:t>(655)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5,130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(54,063)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13,294</w:t>
            </w:r>
          </w:p>
        </w:tc>
        <w:tc>
          <w:tcPr>
            <w:tcW w:w="0" w:type="dxa"/>
            <w:vAlign w:val="bottom"/>
          </w:tcPr>
          <w:p>
            <w:pPr>
              <w:spacing w:after="0"/>
              <w:rPr>
                <w:sz w:val="1"/>
                <w:szCs w:val="1"/>
                <w:color w:val="auto"/>
              </w:rPr>
            </w:pPr>
          </w:p>
        </w:tc>
      </w:tr>
      <w:tr>
        <w:trPr>
          <w:trHeight w:val="137"/>
        </w:trPr>
        <w:tc>
          <w:tcPr>
            <w:tcW w:w="3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Depreciation and amortization of property,</w:t>
            </w:r>
          </w:p>
        </w:tc>
        <w:tc>
          <w:tcPr>
            <w:tcW w:w="3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6,037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6,236</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1,404</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1,859</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2,808</w:t>
            </w: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software, and equipment, net</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300" w:type="dxa"/>
            <w:vAlign w:val="bottom"/>
          </w:tcPr>
          <w:p>
            <w:pPr>
              <w:spacing w:after="0"/>
              <w:rPr>
                <w:sz w:val="14"/>
                <w:szCs w:val="14"/>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86,626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148,275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35,735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41,829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82,580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77,854</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11,846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9,364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2,363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1,571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4,741</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3,450</w:t>
            </w:r>
          </w:p>
        </w:tc>
        <w:tc>
          <w:tcPr>
            <w:tcW w:w="0" w:type="dxa"/>
            <w:vAlign w:val="bottom"/>
          </w:tcPr>
          <w:p>
            <w:pPr>
              <w:spacing w:after="0"/>
              <w:rPr>
                <w:sz w:val="1"/>
                <w:szCs w:val="1"/>
                <w:color w:val="auto"/>
              </w:rPr>
            </w:pPr>
          </w:p>
        </w:tc>
      </w:tr>
      <w:tr>
        <w:trPr>
          <w:trHeight w:val="137"/>
        </w:trPr>
        <w:tc>
          <w:tcPr>
            <w:tcW w:w="3240" w:type="dxa"/>
            <w:vAlign w:val="bottom"/>
          </w:tcPr>
          <w:p>
            <w:pPr>
              <w:ind w:left="180"/>
              <w:spacing w:after="0" w:line="137" w:lineRule="exact"/>
              <w:rPr>
                <w:sz w:val="20"/>
                <w:szCs w:val="20"/>
                <w:color w:val="auto"/>
              </w:rPr>
            </w:pPr>
            <w:r>
              <w:rPr>
                <w:rFonts w:ascii="Arial" w:cs="Arial" w:eastAsia="Arial" w:hAnsi="Arial"/>
                <w:sz w:val="14"/>
                <w:szCs w:val="14"/>
                <w:color w:val="auto"/>
              </w:rPr>
              <w:t>Change in fair value of convertible note, warrant</w:t>
            </w:r>
          </w:p>
        </w:tc>
        <w:tc>
          <w:tcPr>
            <w:tcW w:w="300" w:type="dxa"/>
            <w:vAlign w:val="bottom"/>
          </w:tcPr>
          <w:p>
            <w:pPr>
              <w:spacing w:after="0"/>
              <w:rPr>
                <w:sz w:val="11"/>
                <w:szCs w:val="11"/>
                <w:color w:val="auto"/>
              </w:rPr>
            </w:pPr>
          </w:p>
        </w:tc>
        <w:tc>
          <w:tcPr>
            <w:tcW w:w="940" w:type="dxa"/>
            <w:vAlign w:val="bottom"/>
            <w:vMerge w:val="restart"/>
          </w:tcPr>
          <w:p>
            <w:pPr>
              <w:jc w:val="right"/>
              <w:ind w:right="32"/>
              <w:spacing w:after="0"/>
              <w:rPr>
                <w:sz w:val="20"/>
                <w:szCs w:val="20"/>
                <w:color w:val="auto"/>
              </w:rPr>
            </w:pPr>
            <w:r>
              <w:rPr>
                <w:rFonts w:ascii="Arial" w:cs="Arial" w:eastAsia="Arial" w:hAnsi="Arial"/>
                <w:sz w:val="14"/>
                <w:szCs w:val="14"/>
                <w:color w:val="auto"/>
              </w:rPr>
              <w:t>4,490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31"/>
              <w:spacing w:after="0"/>
              <w:rPr>
                <w:sz w:val="20"/>
                <w:szCs w:val="20"/>
                <w:color w:val="auto"/>
              </w:rPr>
            </w:pPr>
            <w:r>
              <w:rPr>
                <w:rFonts w:ascii="Arial" w:cs="Arial" w:eastAsia="Arial" w:hAnsi="Arial"/>
                <w:sz w:val="14"/>
                <w:szCs w:val="14"/>
                <w:color w:val="auto"/>
              </w:rPr>
              <w:t>(14,951)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111"/>
              <w:spacing w:after="0"/>
              <w:rPr>
                <w:sz w:val="20"/>
                <w:szCs w:val="20"/>
                <w:color w:val="auto"/>
              </w:rPr>
            </w:pPr>
            <w:r>
              <w:rPr>
                <w:rFonts w:ascii="Arial" w:cs="Arial" w:eastAsia="Arial" w:hAnsi="Arial"/>
                <w:sz w:val="14"/>
                <w:szCs w:val="14"/>
                <w:color w:val="auto"/>
              </w:rPr>
              <w:t>1,359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4"/>
                <w:szCs w:val="14"/>
                <w:color w:val="auto"/>
              </w:rPr>
              <w:t>(16,109)</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liabilities, and SAFEs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102,962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color w:val="auto"/>
              </w:rPr>
              <w:t>142,688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38,604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44,759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71,212</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82,663</w:t>
            </w:r>
          </w:p>
        </w:tc>
        <w:tc>
          <w:tcPr>
            <w:tcW w:w="0" w:type="dxa"/>
            <w:vAlign w:val="bottom"/>
          </w:tcPr>
          <w:p>
            <w:pPr>
              <w:spacing w:after="0"/>
              <w:rPr>
                <w:sz w:val="1"/>
                <w:szCs w:val="1"/>
                <w:color w:val="auto"/>
              </w:rPr>
            </w:pPr>
          </w:p>
        </w:tc>
      </w:tr>
      <w:tr>
        <w:trPr>
          <w:trHeight w:val="169"/>
        </w:trPr>
        <w:tc>
          <w:tcPr>
            <w:tcW w:w="32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14"/>
                <w:szCs w:val="14"/>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216,714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308,859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77,550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91,123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145,870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175,637</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margin</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85"/>
        </w:trPr>
        <w:tc>
          <w:tcPr>
            <w:tcW w:w="32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49 %</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Cash management primarily consists of fees earned from program banks in our cash sweep program with respect to clients’ cash swept to each program bank (“Cash Account fees”). Cash Account fees are recognized daily and received on a monthly basis in arrears. We recognize Cash Account fees on a gross basis. We offer a referral incentive program for Cash Accounts whereby both the referred and referring clients receive a promotional benefit on Cash Account balances for a limited period of time. Consideration paid, additional interest, to a referred client is accounted for as a reduction to Cash Account fees. Consideration paid, additional interest, to clients for referring a new client is accounted for as a marketing cost within our condensed consolidated statements of operations. The amount of consideration paid in connection with Cash Account referrals through this promotional benefit program varies based on the Cash Account balance of each client participating in the program, as each such client receives a benefit in the form of an increased APY being passed along to that client for a period of time. From time to time we have also paid consideration to clients in connection with Cash Account referrals in the form of a fixed amount flat fee cash bonus.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Investment advisory consists of fees charged for investment advisory and portfolio management services. Investment advisory fees are earned based on a percentage applied to the market value, less fee waivers, of assets held in client accounts at the close of market. Investment advisory fees are recognized daily and charged to client accounts on a monthly basis in arrears. Advisory fee waivers are offered in connection with certain investing account referrals to each of the referred and referring clients on a portion of each such client’s own investing account balance, and such advisory fee waivers are accounted for as a reduction to investment advisory fees. We may also pay consideration to new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80"/>
          </w:cols>
          <w:pgMar w:left="300" w:top="209"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connection with investing account referrals in the form of a partial deposit match on deposits placed in the new client’s account within a specified period of time. Such consideration paid to a referred client is accounted for as a reduction to investment advisory fees, while the consideration paid to clients for referring a new client is accounted for as a marketing cost within our condensed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Other revenue primarily consists of net interest margin revenue and proxy distribution revenue.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Cost of revenue primarily consists of expenses related to cash management, brokerage platform, and data costs, inclusive of amortization of internally-developed software.</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Cash management costs primarily consist of amounts paid to a third party for the administration of our cash sweep program and debit card platform 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 large portion of our cost of revenue is variable and tied to Cash Account assets, new and existing clients and accounts, or money movement volumes. As the assets on our platform increase, the costs associated with maintaining and moving these assets to and from our platform also increase. We expect our cost of revenue to fluctuate from period to period and increase on an absolute basis as we grow. However, as a percentage of revenue our cost of revenue has declined and we expect our existing products’ cost of revenue as a percentage of revenue to continue to decline in the long term as we benefit from the scalability of our platform.</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Product development expense primarily consists of personnel-related costs, including stock-based compensation, for engineers, data scientists, product managers, and designers, and allocated overhead as well as certain costs for cloud computing, and other costs incurred in connection with the development of our platform and new products as well as the improvement of existing products.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expect product development expense to increase on an absolute basis in the future as we continue to invest in enhancements to our platform, develop new products and improve existing products to serve the needs of our clients. As a percentage of revenue, we expect product development expense to decrease in the long term as we benefit from the scalability of our platform.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General and administrative expense primarily consists of personnel-related costs, including stock-based compensation, for executive management and administrative functions, including finance and accounting, legal and compliance, and people operations, as well as general corporate and director and officer insurance. General and administrative expense also includes certain professional services costs, allocated overhead, and other business costs.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expect to incur additional expenses as a result of operating as a public company, including expenses to comply with the rules and regulations applicable to companies listed on a national securities exchange, expenses related to compliance and reporting obligations pursuant to the rules and regulations of the SEC, as well as higher expenses for general and director and officer insurance, investor relations, and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80"/>
          </w:cols>
          <w:pgMar w:left="300" w:top="209"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expect general and administrative expenses to increase on an absolute basis to support the growth of our business. As a percentage of revenue, we expect general and administrative expense to decrease in the long term as we benefit from the scalability of our platform.</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Marketing expense primarily consists of performance and brand advertising, personnel-related costs, including stock-based compensation, and allocated overhead. As part of our promotional interest referral incentive program, we offer existing clients the opportunity to earn a higher APY for referring new clients to the platform, which causes the total amount of consideration to vary based on the referring clients’ Cash Account balance. We also pay consideration to referring clients in connection with other referral incentive programs, the amount of which varies based on the applicable program; for example, we pay consideration to referring clients for certain investing account referrals in the form of a partial deposit match on deposits placed in the referring client’s own investing account within a specified period of time, and from time to time we have also paid consideration to referring clients for certain account referrals in the form of a fixed amount flat fee cash bonus. Consideration paid to clients for referring a new client, other than consideration paid in the form of a fee waiver, is accounted for as a marketing expense.</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intend to keep investing in marketing to support client growth and expect marketing expense to fluctuate on an absolute and percentage of revenue basis from period to period depending on the attractiveness of efficient client acquisition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Operations and Support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Operations and support expense primarily consists of personnel-related costs, including stock-based compensation and allocated overhead, inclusive of amortization of internally-developed software costs.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We plan to continue to invest in operations and support expenses to adequately support significant client growth and expect operations and support to increase on an absolute basis.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As a percentage of revenue, we expect operations and support expenses to decrease in the long term as we benefit from the scalability of our platform.</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primarily consists of interest expense related to the Bridge Loan (as defined below) from a related party.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 primarily consists of fair value changes arising from remeasurements of our convertible note, warrant liabilities, and SAFEs.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provision for (benefit from) income taxes primarily consists of federal, state, and local income taxes. Our effective tax rate fluctuates from period to period due to changes in the mix of income and losses in jurisdictions with a wide range of tax rates, changes resulting from the amount of recorded valuation allowance, permanent differences between GAAP and local tax laws, certain one-time items, and changes in tax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80"/>
          </w:cols>
          <w:pgMar w:left="300" w:top="209" w:right="3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Results of Operations</w:t>
      </w:r>
    </w:p>
    <w:p>
      <w:pPr>
        <w:spacing w:after="0" w:line="133"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The results of operations presented below should be reviewed in conjunction with the condensed consolidated financial statements and notes included elsewhere in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ind w:left="140"/>
              <w:spacing w:after="0"/>
              <w:rPr>
                <w:sz w:val="20"/>
                <w:szCs w:val="20"/>
                <w:color w:val="auto"/>
              </w:rPr>
            </w:pPr>
            <w:r>
              <w:rPr>
                <w:rFonts w:ascii="Arial" w:cs="Arial" w:eastAsia="Arial" w:hAnsi="Arial"/>
                <w:sz w:val="11"/>
                <w:szCs w:val="11"/>
                <w:b w:val="1"/>
                <w:bCs w:val="1"/>
                <w:color w:val="auto"/>
              </w:rPr>
              <w:t>Fiscal Year Ended January 31,</w:t>
            </w:r>
          </w:p>
        </w:tc>
        <w:tc>
          <w:tcPr>
            <w:tcW w:w="240" w:type="dxa"/>
            <w:vAlign w:val="bottom"/>
          </w:tcPr>
          <w:p>
            <w:pPr>
              <w:spacing w:after="0"/>
              <w:rPr>
                <w:sz w:val="13"/>
                <w:szCs w:val="13"/>
                <w:color w:val="auto"/>
              </w:rPr>
            </w:pPr>
          </w:p>
        </w:tc>
        <w:tc>
          <w:tcPr>
            <w:tcW w:w="2180" w:type="dxa"/>
            <w:vAlign w:val="bottom"/>
            <w:gridSpan w:val="5"/>
          </w:tcPr>
          <w:p>
            <w:pPr>
              <w:ind w:left="160"/>
              <w:spacing w:after="0"/>
              <w:rPr>
                <w:sz w:val="20"/>
                <w:szCs w:val="20"/>
                <w:color w:val="auto"/>
              </w:rPr>
            </w:pPr>
            <w:r>
              <w:rPr>
                <w:rFonts w:ascii="Arial" w:cs="Arial" w:eastAsia="Arial" w:hAnsi="Arial"/>
                <w:sz w:val="11"/>
                <w:szCs w:val="11"/>
                <w:b w:val="1"/>
                <w:bCs w:val="1"/>
                <w:color w:val="auto"/>
              </w:rPr>
              <w:t>Three Months Ended July 31,</w:t>
            </w:r>
          </w:p>
        </w:tc>
        <w:tc>
          <w:tcPr>
            <w:tcW w:w="280" w:type="dxa"/>
            <w:vAlign w:val="bottom"/>
          </w:tcPr>
          <w:p>
            <w:pPr>
              <w:spacing w:after="0"/>
              <w:rPr>
                <w:sz w:val="13"/>
                <w:szCs w:val="13"/>
                <w:color w:val="auto"/>
              </w:rPr>
            </w:pPr>
          </w:p>
        </w:tc>
        <w:tc>
          <w:tcPr>
            <w:tcW w:w="2080" w:type="dxa"/>
            <w:vAlign w:val="bottom"/>
            <w:gridSpan w:val="4"/>
          </w:tcPr>
          <w:p>
            <w:pPr>
              <w:jc w:val="right"/>
              <w:ind w:right="391"/>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2025</w:t>
            </w:r>
          </w:p>
        </w:tc>
      </w:tr>
      <w:tr>
        <w:trPr>
          <w:trHeight w:val="159"/>
        </w:trPr>
        <w:tc>
          <w:tcPr>
            <w:tcW w:w="4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9"/>
        </w:trPr>
        <w:tc>
          <w:tcPr>
            <w:tcW w:w="4060" w:type="dxa"/>
            <w:vAlign w:val="bottom"/>
          </w:tcPr>
          <w:p>
            <w:pPr>
              <w:ind w:left="180"/>
              <w:spacing w:after="0"/>
              <w:rPr>
                <w:sz w:val="20"/>
                <w:szCs w:val="20"/>
                <w:color w:val="auto"/>
              </w:rPr>
            </w:pPr>
            <w:r>
              <w:rPr>
                <w:rFonts w:ascii="Arial" w:cs="Arial" w:eastAsia="Arial" w:hAnsi="Arial"/>
                <w:sz w:val="14"/>
                <w:szCs w:val="14"/>
                <w:color w:val="auto"/>
              </w:rPr>
              <w:t>Cash management</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154,800</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230,946</w:t>
            </w:r>
          </w:p>
        </w:tc>
        <w:tc>
          <w:tcPr>
            <w:tcW w:w="10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58,331</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68,873</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108,733</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133,139</w:t>
            </w:r>
          </w:p>
        </w:tc>
      </w:tr>
      <w:tr>
        <w:trPr>
          <w:trHeight w:val="179"/>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advisory</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41,914</w:t>
            </w:r>
          </w:p>
        </w:tc>
      </w:tr>
      <w:tr>
        <w:trPr>
          <w:trHeight w:val="179"/>
        </w:trPr>
        <w:tc>
          <w:tcPr>
            <w:tcW w:w="4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r>
      <w:tr>
        <w:trPr>
          <w:trHeight w:val="169"/>
        </w:trPr>
        <w:tc>
          <w:tcPr>
            <w:tcW w:w="4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308,859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175,637</w:t>
            </w:r>
          </w:p>
        </w:tc>
      </w:tr>
      <w:tr>
        <w:trPr>
          <w:trHeight w:val="179"/>
        </w:trPr>
        <w:tc>
          <w:tcPr>
            <w:tcW w:w="4060" w:type="dxa"/>
            <w:vAlign w:val="bottom"/>
          </w:tcPr>
          <w:p>
            <w:pPr>
              <w:ind w:left="20"/>
              <w:spacing w:after="0"/>
              <w:rPr>
                <w:sz w:val="20"/>
                <w:szCs w:val="20"/>
                <w:color w:val="auto"/>
              </w:rPr>
            </w:pPr>
            <w:r>
              <w:rPr>
                <w:rFonts w:ascii="Arial" w:cs="Arial" w:eastAsia="Arial" w:hAnsi="Arial"/>
                <w:sz w:val="14"/>
                <w:szCs w:val="14"/>
                <w:color w:val="auto"/>
              </w:rPr>
              <w:t>Costs and operating expenses: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9"/>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18,255</w:t>
            </w:r>
          </w:p>
        </w:tc>
      </w:tr>
      <w:tr>
        <w:trPr>
          <w:trHeight w:val="179"/>
        </w:trPr>
        <w:tc>
          <w:tcPr>
            <w:tcW w:w="4060" w:type="dxa"/>
            <w:vAlign w:val="bottom"/>
          </w:tcPr>
          <w:p>
            <w:pPr>
              <w:ind w:left="180"/>
              <w:spacing w:after="0"/>
              <w:rPr>
                <w:sz w:val="20"/>
                <w:szCs w:val="20"/>
                <w:color w:val="auto"/>
              </w:rPr>
            </w:pPr>
            <w:r>
              <w:rPr>
                <w:rFonts w:ascii="Arial" w:cs="Arial" w:eastAsia="Arial" w:hAnsi="Arial"/>
                <w:sz w:val="14"/>
                <w:szCs w:val="14"/>
                <w:color w:val="auto"/>
              </w:rPr>
              <w:t>Product development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57,558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64,515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15,080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29,367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41,459</w:t>
            </w:r>
          </w:p>
        </w:tc>
      </w:tr>
      <w:tr>
        <w:trPr>
          <w:trHeight w:val="179"/>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18,740</w:t>
            </w:r>
          </w:p>
        </w:tc>
      </w:tr>
      <w:tr>
        <w:trPr>
          <w:trHeight w:val="179"/>
        </w:trPr>
        <w:tc>
          <w:tcPr>
            <w:tcW w:w="4060" w:type="dxa"/>
            <w:vAlign w:val="bottom"/>
          </w:tcPr>
          <w:p>
            <w:pPr>
              <w:ind w:left="180"/>
              <w:spacing w:after="0"/>
              <w:rPr>
                <w:sz w:val="20"/>
                <w:szCs w:val="20"/>
                <w:color w:val="auto"/>
              </w:rPr>
            </w:pPr>
            <w:r>
              <w:rPr>
                <w:rFonts w:ascii="Arial" w:cs="Arial" w:eastAsia="Arial" w:hAnsi="Arial"/>
                <w:sz w:val="14"/>
                <w:szCs w:val="14"/>
                <w:color w:val="auto"/>
              </w:rPr>
              <w:t>Marketing</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52,196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21,909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19,281</w:t>
            </w:r>
          </w:p>
        </w:tc>
      </w:tr>
      <w:tr>
        <w:trPr>
          <w:trHeight w:val="179"/>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 and support</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5,988</w:t>
            </w:r>
          </w:p>
        </w:tc>
      </w:tr>
      <w:tr>
        <w:trPr>
          <w:trHeight w:val="169"/>
        </w:trPr>
        <w:tc>
          <w:tcPr>
            <w:tcW w:w="4060" w:type="dxa"/>
            <w:vAlign w:val="bottom"/>
          </w:tcPr>
          <w:p>
            <w:pPr>
              <w:ind w:left="360"/>
              <w:spacing w:after="0"/>
              <w:rPr>
                <w:sz w:val="20"/>
                <w:szCs w:val="20"/>
                <w:color w:val="auto"/>
              </w:rPr>
            </w:pPr>
            <w:r>
              <w:rPr>
                <w:rFonts w:ascii="Arial" w:cs="Arial" w:eastAsia="Arial" w:hAnsi="Arial"/>
                <w:sz w:val="14"/>
                <w:szCs w:val="14"/>
                <w:color w:val="auto"/>
              </w:rPr>
              <w:t>Total costs and operating expenses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135,139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187,386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44,071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51,843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84,670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103,723</w:t>
            </w: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17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(2,234)</w:t>
            </w:r>
          </w:p>
        </w:tc>
      </w:tr>
      <w:tr>
        <w:trPr>
          <w:trHeight w:val="169"/>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before income taxes</w:t>
            </w: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78,589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139,229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33,523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39,871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78,246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73,982</w:t>
            </w:r>
          </w:p>
        </w:tc>
      </w:tr>
      <w:tr>
        <w:trPr>
          <w:trHeight w:val="16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(55,218)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13,294</w:t>
            </w:r>
          </w:p>
        </w:tc>
      </w:tr>
      <w:tr>
        <w:trPr>
          <w:trHeight w:val="19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76,966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194,447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34,178</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34,741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132,309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60,688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stock-based compensation for the periods indicated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5"/>
          </w:tcPr>
          <w:p>
            <w:pPr>
              <w:ind w:left="100"/>
              <w:spacing w:after="0"/>
              <w:rPr>
                <w:sz w:val="20"/>
                <w:szCs w:val="20"/>
                <w:color w:val="auto"/>
              </w:rPr>
            </w:pPr>
            <w:r>
              <w:rPr>
                <w:rFonts w:ascii="Arial" w:cs="Arial" w:eastAsia="Arial" w:hAnsi="Arial"/>
                <w:sz w:val="11"/>
                <w:szCs w:val="11"/>
                <w:b w:val="1"/>
                <w:bCs w:val="1"/>
                <w:color w:val="auto"/>
              </w:rPr>
              <w:t>Fiscal Year Ended January 31,</w:t>
            </w:r>
          </w:p>
        </w:tc>
        <w:tc>
          <w:tcPr>
            <w:tcW w:w="220" w:type="dxa"/>
            <w:vAlign w:val="bottom"/>
          </w:tcPr>
          <w:p>
            <w:pPr>
              <w:spacing w:after="0"/>
              <w:rPr>
                <w:sz w:val="13"/>
                <w:szCs w:val="13"/>
                <w:color w:val="auto"/>
              </w:rPr>
            </w:pPr>
          </w:p>
        </w:tc>
        <w:tc>
          <w:tcPr>
            <w:tcW w:w="2120" w:type="dxa"/>
            <w:vAlign w:val="bottom"/>
            <w:gridSpan w:val="5"/>
          </w:tcPr>
          <w:p>
            <w:pPr>
              <w:ind w:left="140"/>
              <w:spacing w:after="0"/>
              <w:rPr>
                <w:sz w:val="20"/>
                <w:szCs w:val="20"/>
                <w:color w:val="auto"/>
              </w:rPr>
            </w:pPr>
            <w:r>
              <w:rPr>
                <w:rFonts w:ascii="Arial" w:cs="Arial" w:eastAsia="Arial" w:hAnsi="Arial"/>
                <w:sz w:val="11"/>
                <w:szCs w:val="11"/>
                <w:b w:val="1"/>
                <w:bCs w:val="1"/>
                <w:color w:val="auto"/>
              </w:rPr>
              <w:t>Three Months Ended July 31,</w:t>
            </w:r>
          </w:p>
        </w:tc>
        <w:tc>
          <w:tcPr>
            <w:tcW w:w="240" w:type="dxa"/>
            <w:vAlign w:val="bottom"/>
          </w:tcPr>
          <w:p>
            <w:pPr>
              <w:spacing w:after="0"/>
              <w:rPr>
                <w:sz w:val="13"/>
                <w:szCs w:val="13"/>
                <w:color w:val="auto"/>
              </w:rPr>
            </w:pPr>
          </w:p>
        </w:tc>
        <w:tc>
          <w:tcPr>
            <w:tcW w:w="2000" w:type="dxa"/>
            <w:vAlign w:val="bottom"/>
            <w:gridSpan w:val="4"/>
          </w:tcPr>
          <w:p>
            <w:pPr>
              <w:jc w:val="right"/>
              <w:ind w:right="352"/>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2025</w:t>
            </w:r>
          </w:p>
        </w:tc>
      </w:tr>
      <w:tr>
        <w:trPr>
          <w:trHeight w:val="16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w:t>
            </w:r>
          </w:p>
        </w:tc>
      </w:tr>
      <w:tr>
        <w:trPr>
          <w:trHeight w:val="179"/>
        </w:trPr>
        <w:tc>
          <w:tcPr>
            <w:tcW w:w="4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640</w:t>
            </w:r>
          </w:p>
        </w:tc>
      </w:tr>
      <w:tr>
        <w:trPr>
          <w:trHeight w:val="17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7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Operations and support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r>
      <w:tr>
        <w:trPr>
          <w:trHeight w:val="16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r>
      <w:tr>
        <w:trPr>
          <w:trHeight w:val="179"/>
        </w:trPr>
        <w:tc>
          <w:tcPr>
            <w:tcW w:w="4360" w:type="dxa"/>
            <w:vAlign w:val="bottom"/>
          </w:tcPr>
          <w:p>
            <w:pPr>
              <w:ind w:left="20"/>
              <w:spacing w:after="0"/>
              <w:rPr>
                <w:sz w:val="20"/>
                <w:szCs w:val="20"/>
                <w:color w:val="auto"/>
              </w:rPr>
            </w:pPr>
            <w:r>
              <w:rPr>
                <w:rFonts w:ascii="Arial" w:cs="Arial" w:eastAsia="Arial" w:hAnsi="Arial"/>
                <w:sz w:val="14"/>
                <w:szCs w:val="14"/>
                <w:color w:val="auto"/>
              </w:rPr>
              <w:t>Capitalized stock-based compensation expense</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 net of amounts capitalized</w:t>
            </w: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not recognized stock-based compensation for awards with performance-based conditions because the qualifying event, such as an initial public offering (“IPO”), had not occurred and, therefore, could not be considered probable. See Note 12. — Stock-Based Compensation of our condensed consolidated financial statements included elsewhere in this prospectus and “Risk Factors—Sales of substantial amounts of our common stock in the public markets, or the perception that they might occur, could cause the market price of our common stock to decline”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80"/>
          </w:cols>
          <w:pgMar w:left="300" w:top="209"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components of our condensed consolidated statements of operations data, for each of the periods presented, as a percent of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Borders>
              <w:bottom w:val="single" w:sz="8" w:color="auto"/>
            </w:tcBorders>
            <w:gridSpan w:val="8"/>
          </w:tcPr>
          <w:p>
            <w:pPr>
              <w:jc w:val="right"/>
              <w:ind w:right="299"/>
              <w:spacing w:after="0"/>
              <w:rPr>
                <w:sz w:val="20"/>
                <w:szCs w:val="20"/>
                <w:color w:val="auto"/>
              </w:rPr>
            </w:pPr>
            <w:r>
              <w:rPr>
                <w:rFonts w:ascii="Arial" w:cs="Arial" w:eastAsia="Arial" w:hAnsi="Arial"/>
                <w:sz w:val="11"/>
                <w:szCs w:val="11"/>
                <w:b w:val="1"/>
                <w:bCs w:val="1"/>
                <w:color w:val="auto"/>
              </w:rPr>
              <w:t>Fiscal Year Ended January 31,</w:t>
            </w:r>
          </w:p>
        </w:tc>
        <w:tc>
          <w:tcPr>
            <w:tcW w:w="80" w:type="dxa"/>
            <w:vAlign w:val="bottom"/>
          </w:tcPr>
          <w:p>
            <w:pPr>
              <w:spacing w:after="0"/>
              <w:rPr>
                <w:sz w:val="13"/>
                <w:szCs w:val="13"/>
                <w:color w:val="auto"/>
              </w:rPr>
            </w:pPr>
          </w:p>
        </w:tc>
        <w:tc>
          <w:tcPr>
            <w:tcW w:w="400" w:type="dxa"/>
            <w:vAlign w:val="bottom"/>
            <w:tcBorders>
              <w:bottom w:val="single" w:sz="8" w:color="auto"/>
            </w:tcBorders>
            <w:gridSpan w:val="2"/>
          </w:tcPr>
          <w:p>
            <w:pPr>
              <w:spacing w:after="0"/>
              <w:rPr>
                <w:sz w:val="13"/>
                <w:szCs w:val="13"/>
                <w:color w:val="auto"/>
              </w:rPr>
            </w:pPr>
          </w:p>
        </w:tc>
        <w:tc>
          <w:tcPr>
            <w:tcW w:w="1980" w:type="dxa"/>
            <w:vAlign w:val="bottom"/>
            <w:tcBorders>
              <w:bottom w:val="single" w:sz="8" w:color="auto"/>
            </w:tcBorders>
            <w:gridSpan w:val="7"/>
          </w:tcPr>
          <w:p>
            <w:pPr>
              <w:ind w:left="20"/>
              <w:spacing w:after="0"/>
              <w:rPr>
                <w:sz w:val="20"/>
                <w:szCs w:val="20"/>
                <w:color w:val="auto"/>
              </w:rPr>
            </w:pPr>
            <w:r>
              <w:rPr>
                <w:rFonts w:ascii="Arial" w:cs="Arial" w:eastAsia="Arial" w:hAnsi="Arial"/>
                <w:sz w:val="11"/>
                <w:szCs w:val="11"/>
                <w:b w:val="1"/>
                <w:bCs w:val="1"/>
                <w:color w:val="auto"/>
              </w:rPr>
              <w:t>Three Months Ended July 31,</w:t>
            </w:r>
          </w:p>
        </w:tc>
        <w:tc>
          <w:tcPr>
            <w:tcW w:w="80" w:type="dxa"/>
            <w:vAlign w:val="bottom"/>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148"/>
        </w:trPr>
        <w:tc>
          <w:tcPr>
            <w:tcW w:w="2540" w:type="dxa"/>
            <w:vAlign w:val="bottom"/>
          </w:tcPr>
          <w:p>
            <w:pPr>
              <w:ind w:left="20"/>
              <w:spacing w:after="0" w:line="149" w:lineRule="exact"/>
              <w:rPr>
                <w:sz w:val="20"/>
                <w:szCs w:val="20"/>
                <w:color w:val="auto"/>
              </w:rPr>
            </w:pPr>
            <w:r>
              <w:rPr>
                <w:rFonts w:ascii="Arial" w:cs="Arial" w:eastAsia="Arial" w:hAnsi="Arial"/>
                <w:sz w:val="11"/>
                <w:szCs w:val="11"/>
                <w:b w:val="1"/>
                <w:bCs w:val="1"/>
                <w:i w:val="1"/>
                <w:iCs w:val="1"/>
                <w:color w:val="auto"/>
              </w:rPr>
              <w:t>(as a percentage of revenue)</w:t>
            </w:r>
            <w:r>
              <w:rPr>
                <w:rFonts w:ascii="Arial" w:cs="Arial" w:eastAsia="Arial" w:hAnsi="Arial"/>
                <w:sz w:val="14"/>
                <w:szCs w:val="14"/>
                <w:b w:val="1"/>
                <w:bCs w:val="1"/>
                <w:i w:val="1"/>
                <w:iCs w:val="1"/>
                <w:color w:val="auto"/>
                <w:vertAlign w:val="superscript"/>
              </w:rPr>
              <w:t>(1)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4"/>
          </w:tcPr>
          <w:p>
            <w:pPr>
              <w:jc w:val="right"/>
              <w:spacing w:after="0"/>
              <w:rPr>
                <w:sz w:val="20"/>
                <w:szCs w:val="20"/>
                <w:color w:val="auto"/>
              </w:rPr>
            </w:pPr>
            <w:r>
              <w:rPr>
                <w:rFonts w:ascii="Arial" w:cs="Arial" w:eastAsia="Arial" w:hAnsi="Arial"/>
                <w:sz w:val="11"/>
                <w:szCs w:val="11"/>
                <w:b w:val="1"/>
                <w:bCs w:val="1"/>
                <w:color w:val="auto"/>
              </w:rPr>
              <w:t>2024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379"/>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7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393"/>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37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9"/>
        </w:trPr>
        <w:tc>
          <w:tcPr>
            <w:tcW w:w="254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Revenue:</w:t>
            </w:r>
          </w:p>
        </w:tc>
        <w:tc>
          <w:tcPr>
            <w:tcW w:w="1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40" w:type="dxa"/>
            <w:vAlign w:val="bottom"/>
          </w:tcPr>
          <w:p>
            <w:pPr>
              <w:ind w:left="20"/>
              <w:spacing w:after="0"/>
              <w:rPr>
                <w:sz w:val="20"/>
                <w:szCs w:val="20"/>
                <w:color w:val="auto"/>
              </w:rPr>
            </w:pPr>
            <w:r>
              <w:rPr>
                <w:rFonts w:ascii="Arial" w:cs="Arial" w:eastAsia="Arial" w:hAnsi="Arial"/>
                <w:sz w:val="14"/>
                <w:szCs w:val="14"/>
                <w:color w:val="auto"/>
              </w:rPr>
              <w:t>Cash management</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71 %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advisory</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79"/>
        </w:trPr>
        <w:tc>
          <w:tcPr>
            <w:tcW w:w="254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79"/>
        </w:trPr>
        <w:tc>
          <w:tcPr>
            <w:tcW w:w="2540" w:type="dxa"/>
            <w:vAlign w:val="bottom"/>
          </w:tcPr>
          <w:p>
            <w:pPr>
              <w:ind w:left="20"/>
              <w:spacing w:after="0"/>
              <w:rPr>
                <w:sz w:val="20"/>
                <w:szCs w:val="20"/>
                <w:color w:val="auto"/>
              </w:rPr>
            </w:pPr>
            <w:r>
              <w:rPr>
                <w:rFonts w:ascii="Arial" w:cs="Arial" w:eastAsia="Arial" w:hAnsi="Arial"/>
                <w:sz w:val="14"/>
                <w:szCs w:val="14"/>
                <w:color w:val="auto"/>
              </w:rPr>
              <w:t>Costs and operating expenses: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9"/>
        </w:trPr>
        <w:tc>
          <w:tcPr>
            <w:tcW w:w="254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79"/>
        </w:trPr>
        <w:tc>
          <w:tcPr>
            <w:tcW w:w="2540" w:type="dxa"/>
            <w:vAlign w:val="bottom"/>
          </w:tcPr>
          <w:p>
            <w:pPr>
              <w:ind w:left="20"/>
              <w:spacing w:after="0"/>
              <w:rPr>
                <w:sz w:val="20"/>
                <w:szCs w:val="20"/>
                <w:color w:val="auto"/>
              </w:rPr>
            </w:pPr>
            <w:r>
              <w:rPr>
                <w:rFonts w:ascii="Arial" w:cs="Arial" w:eastAsia="Arial" w:hAnsi="Arial"/>
                <w:sz w:val="14"/>
                <w:szCs w:val="14"/>
                <w:color w:val="auto"/>
              </w:rPr>
              <w:t>Marketing</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 and support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69"/>
        </w:trPr>
        <w:tc>
          <w:tcPr>
            <w:tcW w:w="2540" w:type="dxa"/>
            <w:vAlign w:val="bottom"/>
          </w:tcPr>
          <w:p>
            <w:pPr>
              <w:ind w:left="20"/>
              <w:spacing w:after="0"/>
              <w:rPr>
                <w:sz w:val="20"/>
                <w:szCs w:val="20"/>
                <w:color w:val="auto"/>
              </w:rPr>
            </w:pPr>
            <w:r>
              <w:rPr>
                <w:rFonts w:ascii="Arial" w:cs="Arial" w:eastAsia="Arial" w:hAnsi="Arial"/>
                <w:sz w:val="14"/>
                <w:szCs w:val="14"/>
                <w:color w:val="auto"/>
              </w:rPr>
              <w:t>Total costs and operating expenses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61 %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56 %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0 %</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6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Provision for (benefit from) income taxes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w:t>
            </w: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20"/>
                <w:szCs w:val="20"/>
                <w:color w:val="auto"/>
              </w:rPr>
            </w:pPr>
            <w:r>
              <w:rPr>
                <w:rFonts w:ascii="Arial" w:cs="Arial" w:eastAsia="Arial" w:hAnsi="Arial"/>
                <w:sz w:val="13"/>
                <w:szCs w:val="13"/>
                <w:color w:val="auto"/>
              </w:rPr>
              <w:t>(1)  Totals may not foot due to rounding.</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25"/>
          </w:tcPr>
          <w:p>
            <w:pPr>
              <w:ind w:left="300"/>
              <w:spacing w:after="0"/>
              <w:rPr>
                <w:sz w:val="20"/>
                <w:szCs w:val="20"/>
                <w:color w:val="auto"/>
              </w:rPr>
            </w:pPr>
            <w:r>
              <w:rPr>
                <w:rFonts w:ascii="Arial" w:cs="Arial" w:eastAsia="Arial" w:hAnsi="Arial"/>
                <w:sz w:val="14"/>
                <w:szCs w:val="14"/>
                <w:b w:val="1"/>
                <w:bCs w:val="1"/>
                <w:color w:val="auto"/>
              </w:rPr>
              <w:t>Comparison of the Three and Six Months Ended July 31, 2024 and July 31, 2025</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540" w:type="dxa"/>
            <w:vAlign w:val="bottom"/>
          </w:tcPr>
          <w:p>
            <w:pPr>
              <w:spacing w:after="0"/>
              <w:rPr>
                <w:sz w:val="20"/>
                <w:szCs w:val="20"/>
                <w:color w:val="auto"/>
              </w:rPr>
            </w:pPr>
            <w:r>
              <w:rPr>
                <w:rFonts w:ascii="Arial" w:cs="Arial" w:eastAsia="Arial" w:hAnsi="Arial"/>
                <w:sz w:val="14"/>
                <w:szCs w:val="14"/>
                <w:b w:val="1"/>
                <w:bCs w:val="1"/>
                <w:i w:val="1"/>
                <w:iCs w:val="1"/>
                <w:color w:val="auto"/>
              </w:rPr>
              <w:t>Total Revenue</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ind w:left="80"/>
              <w:spacing w:after="0"/>
              <w:rPr>
                <w:sz w:val="20"/>
                <w:szCs w:val="20"/>
                <w:color w:val="auto"/>
              </w:rPr>
            </w:pPr>
            <w:r>
              <w:rPr>
                <w:rFonts w:ascii="Arial" w:cs="Arial" w:eastAsia="Arial" w:hAnsi="Arial"/>
                <w:sz w:val="11"/>
                <w:szCs w:val="11"/>
                <w:b w:val="1"/>
                <w:bCs w:val="1"/>
                <w:color w:val="auto"/>
              </w:rPr>
              <w:t>Three Months Ended July 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9"/>
          </w:tcPr>
          <w:p>
            <w:pPr>
              <w:ind w:left="80"/>
              <w:spacing w:after="0"/>
              <w:rPr>
                <w:sz w:val="20"/>
                <w:szCs w:val="20"/>
                <w:color w:val="auto"/>
              </w:rPr>
            </w:pPr>
            <w:r>
              <w:rPr>
                <w:rFonts w:ascii="Arial" w:cs="Arial" w:eastAsia="Arial" w:hAnsi="Arial"/>
                <w:sz w:val="11"/>
                <w:szCs w:val="11"/>
                <w:b w:val="1"/>
                <w:bCs w:val="1"/>
                <w:color w:val="auto"/>
              </w:rPr>
              <w:t>Six Months Ended July 31,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 Change</w:t>
            </w:r>
          </w:p>
        </w:tc>
        <w:tc>
          <w:tcPr>
            <w:tcW w:w="100" w:type="dxa"/>
            <w:vAlign w:val="bottom"/>
          </w:tcPr>
          <w:p>
            <w:pPr>
              <w:spacing w:after="0"/>
              <w:rPr>
                <w:sz w:val="12"/>
                <w:szCs w:val="12"/>
                <w:color w:val="auto"/>
              </w:rPr>
            </w:pPr>
          </w:p>
        </w:tc>
        <w:tc>
          <w:tcPr>
            <w:tcW w:w="1140" w:type="dxa"/>
            <w:vAlign w:val="bottom"/>
            <w:gridSpan w:val="4"/>
          </w:tcPr>
          <w:p>
            <w:pPr>
              <w:ind w:left="260"/>
              <w:spacing w:after="0"/>
              <w:rPr>
                <w:sz w:val="20"/>
                <w:szCs w:val="20"/>
                <w:color w:val="auto"/>
              </w:rPr>
            </w:pPr>
            <w:r>
              <w:rPr>
                <w:rFonts w:ascii="Arial" w:cs="Arial" w:eastAsia="Arial" w:hAnsi="Arial"/>
                <w:sz w:val="11"/>
                <w:szCs w:val="11"/>
                <w:b w:val="1"/>
                <w:bCs w:val="1"/>
                <w:color w:val="auto"/>
              </w:rPr>
              <w:t>% Change</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 Change</w:t>
            </w:r>
          </w:p>
        </w:tc>
        <w:tc>
          <w:tcPr>
            <w:tcW w:w="60" w:type="dxa"/>
            <w:vAlign w:val="bottom"/>
          </w:tcPr>
          <w:p>
            <w:pPr>
              <w:spacing w:after="0"/>
              <w:rPr>
                <w:sz w:val="12"/>
                <w:szCs w:val="12"/>
                <w:color w:val="auto"/>
              </w:rPr>
            </w:pPr>
          </w:p>
        </w:tc>
        <w:tc>
          <w:tcPr>
            <w:tcW w:w="1080" w:type="dxa"/>
            <w:vAlign w:val="bottom"/>
          </w:tcPr>
          <w:p>
            <w:pPr>
              <w:jc w:val="right"/>
              <w:ind w:right="19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5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management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58,331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3"/>
                <w:szCs w:val="13"/>
                <w:color w:val="auto"/>
              </w:rPr>
              <w:t>68,873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10,542</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18 %</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108,733</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133,139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24,406</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67"/>
        </w:trPr>
        <w:tc>
          <w:tcPr>
            <w:tcW w:w="2540" w:type="dxa"/>
            <w:vAlign w:val="bottom"/>
          </w:tcPr>
          <w:p>
            <w:pPr>
              <w:ind w:left="20"/>
              <w:spacing w:after="0"/>
              <w:rPr>
                <w:sz w:val="20"/>
                <w:szCs w:val="20"/>
                <w:color w:val="auto"/>
              </w:rPr>
            </w:pPr>
            <w:r>
              <w:rPr>
                <w:rFonts w:ascii="Arial" w:cs="Arial" w:eastAsia="Arial" w:hAnsi="Arial"/>
                <w:sz w:val="13"/>
                <w:szCs w:val="13"/>
                <w:color w:val="auto"/>
              </w:rPr>
              <w:t>Investment advisory</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17,889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4"/>
              <w:spacing w:after="0"/>
              <w:rPr>
                <w:sz w:val="20"/>
                <w:szCs w:val="20"/>
                <w:color w:val="auto"/>
              </w:rPr>
            </w:pPr>
            <w:r>
              <w:rPr>
                <w:rFonts w:ascii="Arial" w:cs="Arial" w:eastAsia="Arial" w:hAnsi="Arial"/>
                <w:sz w:val="13"/>
                <w:szCs w:val="13"/>
                <w:color w:val="auto"/>
              </w:rPr>
              <w:t>22,040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4,151</w:t>
            </w:r>
          </w:p>
        </w:tc>
        <w:tc>
          <w:tcPr>
            <w:tcW w:w="1160" w:type="dxa"/>
            <w:vAlign w:val="bottom"/>
            <w:gridSpan w:val="4"/>
          </w:tcPr>
          <w:p>
            <w:pPr>
              <w:jc w:val="right"/>
              <w:ind w:right="20"/>
              <w:spacing w:after="0"/>
              <w:rPr>
                <w:sz w:val="20"/>
                <w:szCs w:val="20"/>
                <w:color w:val="auto"/>
              </w:rPr>
            </w:pPr>
            <w:r>
              <w:rPr>
                <w:rFonts w:ascii="Arial" w:cs="Arial" w:eastAsia="Arial" w:hAnsi="Arial"/>
                <w:sz w:val="13"/>
                <w:szCs w:val="13"/>
                <w:color w:val="auto"/>
              </w:rPr>
              <w:t>23 %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34,272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41,914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7,642</w:t>
            </w:r>
          </w:p>
        </w:tc>
        <w:tc>
          <w:tcPr>
            <w:tcW w:w="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210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(1,120)</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2,865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(2,281)</w:t>
            </w:r>
          </w:p>
        </w:tc>
        <w:tc>
          <w:tcPr>
            <w:tcW w:w="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9"/>
        </w:trPr>
        <w:tc>
          <w:tcPr>
            <w:tcW w:w="2540" w:type="dxa"/>
            <w:vAlign w:val="bottom"/>
          </w:tcPr>
          <w:p>
            <w:pPr>
              <w:ind w:left="20"/>
              <w:spacing w:after="0"/>
              <w:rPr>
                <w:sz w:val="20"/>
                <w:szCs w:val="20"/>
                <w:color w:val="auto"/>
              </w:rPr>
            </w:pPr>
            <w:r>
              <w:rPr>
                <w:rFonts w:ascii="Arial" w:cs="Arial" w:eastAsia="Arial" w:hAnsi="Arial"/>
                <w:sz w:val="13"/>
                <w:szCs w:val="13"/>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77,550</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3"/>
                <w:szCs w:val="13"/>
                <w:color w:val="auto"/>
              </w:rPr>
              <w:t>91,123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13,573</w:t>
            </w:r>
          </w:p>
        </w:tc>
        <w:tc>
          <w:tcPr>
            <w:tcW w:w="100" w:type="dxa"/>
            <w:vAlign w:val="bottom"/>
          </w:tcPr>
          <w:p>
            <w:pPr>
              <w:spacing w:after="0"/>
              <w:rPr>
                <w:sz w:val="13"/>
                <w:szCs w:val="13"/>
                <w:color w:val="auto"/>
              </w:rPr>
            </w:pPr>
          </w:p>
        </w:tc>
        <w:tc>
          <w:tcPr>
            <w:tcW w:w="10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18 %</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145,870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175,637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29,767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Total revenue increased by $13.6 million, or 18%, and $29.8 million, or 20%, for the three and six months ended July 31, 2025, respectively, compared to the same periods in the prior year, primarily driven by an increase in cash management and investment advisory assets.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80"/>
          </w:cols>
          <w:pgMar w:left="300" w:top="209" w:right="3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r>
        <w:rPr>
          <w:rFonts w:ascii="Arial" w:cs="Arial" w:eastAsia="Arial" w:hAnsi="Arial"/>
          <w:sz w:val="18"/>
          <w:szCs w:val="18"/>
          <w:i w:val="1"/>
          <w:iCs w:val="1"/>
          <w:color w:val="auto"/>
          <w:vertAlign w:val="superscript"/>
        </w:rPr>
        <w:t>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1"/>
                <w:szCs w:val="11"/>
                <w:b w:val="1"/>
                <w:bCs w:val="1"/>
                <w:color w:val="auto"/>
              </w:rPr>
              <w:t>Three Months Ended July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1"/>
                <w:szCs w:val="11"/>
                <w:b w:val="1"/>
                <w:bCs w:val="1"/>
                <w:color w:val="auto"/>
              </w:rPr>
              <w:t>Six Months Ended July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millions, except annualized rate and percentages)</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Change</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Change</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00"/>
        </w:trPr>
        <w:tc>
          <w:tcPr>
            <w:tcW w:w="3500" w:type="dxa"/>
            <w:vAlign w:val="bottom"/>
            <w:shd w:val="clear" w:color="auto" w:fill="CCEEFF"/>
          </w:tcPr>
          <w:p>
            <w:pPr>
              <w:ind w:left="20"/>
              <w:spacing w:after="0" w:line="100" w:lineRule="exact"/>
              <w:rPr>
                <w:sz w:val="20"/>
                <w:szCs w:val="20"/>
                <w:color w:val="auto"/>
              </w:rPr>
            </w:pPr>
            <w:r>
              <w:rPr>
                <w:rFonts w:ascii="Arial" w:cs="Arial" w:eastAsia="Arial" w:hAnsi="Arial"/>
                <w:sz w:val="11"/>
                <w:szCs w:val="11"/>
                <w:color w:val="auto"/>
              </w:rPr>
              <w:t>Cash management assets (off-balance sheet), beginning of the</w:t>
            </w:r>
          </w:p>
        </w:tc>
        <w:tc>
          <w:tcPr>
            <w:tcW w:w="1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8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34,284</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4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43,774</w:t>
            </w:r>
          </w:p>
        </w:tc>
        <w:tc>
          <w:tcPr>
            <w:tcW w:w="8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70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9,490</w:t>
            </w:r>
          </w:p>
        </w:tc>
        <w:tc>
          <w:tcPr>
            <w:tcW w:w="100" w:type="dxa"/>
            <w:vAlign w:val="bottom"/>
            <w:shd w:val="clear" w:color="auto" w:fill="CCEEFF"/>
          </w:tcPr>
          <w:p>
            <w:pPr>
              <w:spacing w:after="0"/>
              <w:rPr>
                <w:sz w:val="8"/>
                <w:szCs w:val="8"/>
                <w:color w:val="auto"/>
              </w:rPr>
            </w:pPr>
          </w:p>
        </w:tc>
        <w:tc>
          <w:tcPr>
            <w:tcW w:w="11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28 %  $</w:t>
            </w:r>
          </w:p>
        </w:tc>
        <w:tc>
          <w:tcPr>
            <w:tcW w:w="74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29,361</w:t>
            </w:r>
          </w:p>
        </w:tc>
        <w:tc>
          <w:tcPr>
            <w:tcW w:w="8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104"/>
              <w:spacing w:after="0"/>
              <w:rPr>
                <w:sz w:val="20"/>
                <w:szCs w:val="20"/>
                <w:color w:val="auto"/>
              </w:rPr>
            </w:pPr>
            <w:r>
              <w:rPr>
                <w:rFonts w:ascii="Arial" w:cs="Arial" w:eastAsia="Arial" w:hAnsi="Arial"/>
                <w:sz w:val="11"/>
                <w:szCs w:val="11"/>
                <w:color w:val="auto"/>
              </w:rPr>
              <w:t>42,411</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13,050</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period</w:t>
            </w:r>
          </w:p>
        </w:tc>
        <w:tc>
          <w:tcPr>
            <w:tcW w:w="1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00" w:type="dxa"/>
            <w:vAlign w:val="bottom"/>
          </w:tcPr>
          <w:p>
            <w:pPr>
              <w:ind w:left="20"/>
              <w:spacing w:after="0"/>
              <w:rPr>
                <w:sz w:val="20"/>
                <w:szCs w:val="20"/>
                <w:color w:val="auto"/>
              </w:rPr>
            </w:pPr>
            <w:r>
              <w:rPr>
                <w:rFonts w:ascii="Arial" w:cs="Arial" w:eastAsia="Arial" w:hAnsi="Arial"/>
                <w:sz w:val="11"/>
                <w:szCs w:val="11"/>
                <w:color w:val="auto"/>
              </w:rPr>
              <w:t>Cash management assets (off-balance sheet), end of the period</w:t>
            </w:r>
          </w:p>
        </w:tc>
        <w:tc>
          <w:tcPr>
            <w:tcW w:w="140" w:type="dxa"/>
            <w:vAlign w:val="bottom"/>
          </w:tcPr>
          <w:p>
            <w:pPr>
              <w:spacing w:after="0"/>
              <w:rPr>
                <w:sz w:val="13"/>
                <w:szCs w:val="13"/>
                <w:color w:val="auto"/>
              </w:rPr>
            </w:pPr>
          </w:p>
        </w:tc>
        <w:tc>
          <w:tcPr>
            <w:tcW w:w="820" w:type="dxa"/>
            <w:vAlign w:val="bottom"/>
          </w:tcPr>
          <w:p>
            <w:pPr>
              <w:jc w:val="right"/>
              <w:ind w:right="84"/>
              <w:spacing w:after="0"/>
              <w:rPr>
                <w:sz w:val="20"/>
                <w:szCs w:val="20"/>
                <w:color w:val="auto"/>
              </w:rPr>
            </w:pPr>
            <w:r>
              <w:rPr>
                <w:rFonts w:ascii="Arial" w:cs="Arial" w:eastAsia="Arial" w:hAnsi="Arial"/>
                <w:sz w:val="11"/>
                <w:szCs w:val="11"/>
                <w:color w:val="auto"/>
              </w:rPr>
              <w:t>38,085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1"/>
                <w:szCs w:val="11"/>
                <w:color w:val="auto"/>
              </w:rPr>
              <w:t>46,579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8,494</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1"/>
                <w:szCs w:val="11"/>
                <w:color w:val="auto"/>
              </w:rPr>
              <w:t>38,085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04"/>
              <w:spacing w:after="0"/>
              <w:rPr>
                <w:sz w:val="20"/>
                <w:szCs w:val="20"/>
                <w:color w:val="auto"/>
              </w:rPr>
            </w:pPr>
            <w:r>
              <w:rPr>
                <w:rFonts w:ascii="Arial" w:cs="Arial" w:eastAsia="Arial" w:hAnsi="Arial"/>
                <w:sz w:val="11"/>
                <w:szCs w:val="11"/>
                <w:color w:val="auto"/>
              </w:rPr>
              <w:t>46,579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84"/>
              <w:spacing w:after="0"/>
              <w:rPr>
                <w:sz w:val="20"/>
                <w:szCs w:val="20"/>
                <w:color w:val="auto"/>
              </w:rPr>
            </w:pPr>
            <w:r>
              <w:rPr>
                <w:rFonts w:ascii="Arial" w:cs="Arial" w:eastAsia="Arial" w:hAnsi="Arial"/>
                <w:sz w:val="11"/>
                <w:szCs w:val="11"/>
                <w:color w:val="auto"/>
              </w:rPr>
              <w:t>8,494</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61"/>
        </w:trPr>
        <w:tc>
          <w:tcPr>
            <w:tcW w:w="3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36,185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45,177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8,992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33,723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44,495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10,772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55"/>
        </w:trPr>
        <w:tc>
          <w:tcPr>
            <w:tcW w:w="3500" w:type="dxa"/>
            <w:vAlign w:val="bottom"/>
          </w:tcPr>
          <w:p>
            <w:pPr>
              <w:ind w:left="20"/>
              <w:spacing w:after="0"/>
              <w:rPr>
                <w:sz w:val="20"/>
                <w:szCs w:val="20"/>
                <w:color w:val="auto"/>
              </w:rPr>
            </w:pPr>
            <w:r>
              <w:rPr>
                <w:rFonts w:ascii="Arial" w:cs="Arial" w:eastAsia="Arial" w:hAnsi="Arial"/>
                <w:sz w:val="11"/>
                <w:szCs w:val="11"/>
                <w:color w:val="auto"/>
              </w:rPr>
              <w:t>Cash management revenue</w:t>
            </w:r>
          </w:p>
        </w:tc>
        <w:tc>
          <w:tcPr>
            <w:tcW w:w="140" w:type="dxa"/>
            <w:vAlign w:val="bottom"/>
          </w:tcPr>
          <w:p>
            <w:pPr>
              <w:spacing w:after="0"/>
              <w:rPr>
                <w:sz w:val="13"/>
                <w:szCs w:val="13"/>
                <w:color w:val="auto"/>
              </w:rPr>
            </w:pPr>
          </w:p>
        </w:tc>
        <w:tc>
          <w:tcPr>
            <w:tcW w:w="820" w:type="dxa"/>
            <w:vAlign w:val="bottom"/>
          </w:tcPr>
          <w:p>
            <w:pPr>
              <w:jc w:val="right"/>
              <w:ind w:right="84"/>
              <w:spacing w:after="0"/>
              <w:rPr>
                <w:sz w:val="20"/>
                <w:szCs w:val="20"/>
                <w:color w:val="auto"/>
              </w:rPr>
            </w:pPr>
            <w:r>
              <w:rPr>
                <w:rFonts w:ascii="Arial" w:cs="Arial" w:eastAsia="Arial" w:hAnsi="Arial"/>
                <w:sz w:val="11"/>
                <w:szCs w:val="11"/>
                <w:color w:val="auto"/>
              </w:rPr>
              <w:t>58.3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1"/>
                <w:szCs w:val="11"/>
                <w:color w:val="auto"/>
              </w:rPr>
              <w:t>68.9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10.5</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1"/>
                <w:szCs w:val="11"/>
                <w:color w:val="auto"/>
              </w:rPr>
              <w:t>108.7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04"/>
              <w:spacing w:after="0"/>
              <w:rPr>
                <w:sz w:val="20"/>
                <w:szCs w:val="20"/>
                <w:color w:val="auto"/>
              </w:rPr>
            </w:pPr>
            <w:r>
              <w:rPr>
                <w:rFonts w:ascii="Arial" w:cs="Arial" w:eastAsia="Arial" w:hAnsi="Arial"/>
                <w:sz w:val="11"/>
                <w:szCs w:val="11"/>
                <w:color w:val="auto"/>
              </w:rPr>
              <w:t>133.1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84"/>
              <w:spacing w:after="0"/>
              <w:rPr>
                <w:sz w:val="20"/>
                <w:szCs w:val="20"/>
                <w:color w:val="auto"/>
              </w:rPr>
            </w:pPr>
            <w:r>
              <w:rPr>
                <w:rFonts w:ascii="Arial" w:cs="Arial" w:eastAsia="Arial" w:hAnsi="Arial"/>
                <w:sz w:val="11"/>
                <w:szCs w:val="11"/>
                <w:color w:val="auto"/>
              </w:rPr>
              <w:t>24.4</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61"/>
        </w:trPr>
        <w:tc>
          <w:tcPr>
            <w:tcW w:w="3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Annualized cash management fee rate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0.60 %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0.65 %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0.60 %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7" w:lineRule="exact"/>
        <w:rPr>
          <w:sz w:val="20"/>
          <w:szCs w:val="20"/>
          <w:color w:val="auto"/>
        </w:rPr>
      </w:pPr>
    </w:p>
    <w:p>
      <w:pPr>
        <w:ind w:left="260" w:hanging="256"/>
        <w:spacing w:after="0"/>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ind w:left="260" w:hanging="256"/>
        <w:spacing w:after="0"/>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Annualized cash management fee rate is calculated by annualizing revenue for the given period and dividing by the applicable average asset balance.</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Cash management revenue increased by $10.5 million, or 18%, and $24.4 million, or 22%, for the three and six months ended July 31, 2025, respectively, compared to the same periods in the prior year. The increase in cash management revenue was primarily attributable to a 25% and 32% increase, year over year, in the average balance of cash management assets for the three and six months ended July 31, 2025, respectively, compared to the same periods in the prior year. The annualized cash management fee rate declined by 5% and 7% for the three and six months ended July 31, 2025, respectively, compared to the same periods in the prior year.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r>
        <w:rPr>
          <w:rFonts w:ascii="Arial" w:cs="Arial" w:eastAsia="Arial" w:hAnsi="Arial"/>
          <w:sz w:val="18"/>
          <w:szCs w:val="18"/>
          <w:i w:val="1"/>
          <w:iCs w:val="1"/>
          <w:color w:val="auto"/>
          <w:vertAlign w:val="superscript"/>
        </w:rPr>
        <w:t>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20" w:type="dxa"/>
            <w:vAlign w:val="bottom"/>
          </w:tcPr>
          <w:p>
            <w:pPr>
              <w:spacing w:after="0"/>
              <w:rPr>
                <w:sz w:val="14"/>
                <w:szCs w:val="14"/>
                <w:color w:val="auto"/>
              </w:rPr>
            </w:pPr>
          </w:p>
        </w:tc>
        <w:tc>
          <w:tcPr>
            <w:tcW w:w="2060" w:type="dxa"/>
            <w:vAlign w:val="bottom"/>
            <w:tcBorders>
              <w:bottom w:val="single" w:sz="8" w:color="auto"/>
            </w:tcBorders>
            <w:gridSpan w:val="4"/>
          </w:tcPr>
          <w:p>
            <w:pPr>
              <w:ind w:left="180"/>
              <w:spacing w:after="0"/>
              <w:rPr>
                <w:sz w:val="20"/>
                <w:szCs w:val="20"/>
                <w:color w:val="auto"/>
              </w:rPr>
            </w:pPr>
            <w:r>
              <w:rPr>
                <w:rFonts w:ascii="Arial" w:cs="Arial" w:eastAsia="Arial" w:hAnsi="Arial"/>
                <w:sz w:val="11"/>
                <w:szCs w:val="11"/>
                <w:b w:val="1"/>
                <w:bCs w:val="1"/>
                <w:color w:val="auto"/>
              </w:rPr>
              <w:t>Three Months Ended July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Six Months Ended July 31,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millions, except annualized rate and percentages)</w:t>
            </w: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96"/>
        </w:trPr>
        <w:tc>
          <w:tcPr>
            <w:tcW w:w="3420" w:type="dxa"/>
            <w:vAlign w:val="bottom"/>
            <w:shd w:val="clear" w:color="auto" w:fill="CCEEFF"/>
          </w:tcPr>
          <w:p>
            <w:pPr>
              <w:ind w:left="20"/>
              <w:spacing w:after="0" w:line="96" w:lineRule="exact"/>
              <w:rPr>
                <w:sz w:val="20"/>
                <w:szCs w:val="20"/>
                <w:color w:val="auto"/>
              </w:rPr>
            </w:pPr>
            <w:r>
              <w:rPr>
                <w:rFonts w:ascii="Arial" w:cs="Arial" w:eastAsia="Arial" w:hAnsi="Arial"/>
                <w:sz w:val="11"/>
                <w:szCs w:val="11"/>
                <w:color w:val="auto"/>
              </w:rPr>
              <w:t>Investment advisory assets (off-balance sheet), beginning of the</w:t>
            </w:r>
          </w:p>
        </w:tc>
        <w:tc>
          <w:tcPr>
            <w:tcW w:w="940" w:type="dxa"/>
            <w:vAlign w:val="bottom"/>
            <w:vMerge w:val="restart"/>
            <w:shd w:val="clear" w:color="auto" w:fill="CCEEFF"/>
          </w:tcPr>
          <w:p>
            <w:pPr>
              <w:jc w:val="right"/>
              <w:ind w:right="104"/>
              <w:spacing w:after="0"/>
              <w:rPr>
                <w:sz w:val="20"/>
                <w:szCs w:val="20"/>
                <w:color w:val="auto"/>
              </w:rPr>
            </w:pPr>
            <w:r>
              <w:rPr>
                <w:rFonts w:ascii="Arial" w:cs="Arial" w:eastAsia="Arial" w:hAnsi="Arial"/>
                <w:sz w:val="11"/>
                <w:szCs w:val="11"/>
                <w:color w:val="auto"/>
              </w:rPr>
              <w:t>$29,873</w:t>
            </w: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$37,085</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104"/>
              <w:spacing w:after="0"/>
              <w:rPr>
                <w:sz w:val="20"/>
                <w:szCs w:val="20"/>
                <w:color w:val="auto"/>
              </w:rPr>
            </w:pPr>
            <w:r>
              <w:rPr>
                <w:rFonts w:ascii="Arial" w:cs="Arial" w:eastAsia="Arial" w:hAnsi="Arial"/>
                <w:sz w:val="11"/>
                <w:szCs w:val="11"/>
                <w:color w:val="auto"/>
              </w:rPr>
              <w:t>$7,212</w:t>
            </w:r>
          </w:p>
        </w:tc>
        <w:tc>
          <w:tcPr>
            <w:tcW w:w="80" w:type="dxa"/>
            <w:vAlign w:val="bottom"/>
            <w:shd w:val="clear" w:color="auto" w:fill="CCEEFF"/>
          </w:tcPr>
          <w:p>
            <w:pPr>
              <w:spacing w:after="0"/>
              <w:rPr>
                <w:sz w:val="8"/>
                <w:szCs w:val="8"/>
                <w:color w:val="auto"/>
              </w:rPr>
            </w:pPr>
          </w:p>
        </w:tc>
        <w:tc>
          <w:tcPr>
            <w:tcW w:w="11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24 %  $</w:t>
            </w:r>
          </w:p>
        </w:tc>
        <w:tc>
          <w:tcPr>
            <w:tcW w:w="78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28,240</w:t>
            </w:r>
          </w:p>
        </w:tc>
        <w:tc>
          <w:tcPr>
            <w:tcW w:w="10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4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37,764</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$9,524</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47"/>
        </w:trPr>
        <w:tc>
          <w:tcPr>
            <w:tcW w:w="3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period</w:t>
            </w:r>
          </w:p>
        </w:tc>
        <w:tc>
          <w:tcPr>
            <w:tcW w:w="9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20" w:type="dxa"/>
            <w:vAlign w:val="bottom"/>
          </w:tcPr>
          <w:p>
            <w:pPr>
              <w:ind w:left="20"/>
              <w:spacing w:after="0"/>
              <w:rPr>
                <w:sz w:val="20"/>
                <w:szCs w:val="20"/>
                <w:color w:val="auto"/>
              </w:rPr>
            </w:pPr>
            <w:r>
              <w:rPr>
                <w:rFonts w:ascii="Arial" w:cs="Arial" w:eastAsia="Arial" w:hAnsi="Arial"/>
                <w:sz w:val="11"/>
                <w:szCs w:val="11"/>
                <w:color w:val="auto"/>
              </w:rPr>
              <w:t>Investment advisory assets (off-balance sheet), end of the period</w:t>
            </w:r>
          </w:p>
        </w:tc>
        <w:tc>
          <w:tcPr>
            <w:tcW w:w="940" w:type="dxa"/>
            <w:vAlign w:val="bottom"/>
          </w:tcPr>
          <w:p>
            <w:pPr>
              <w:jc w:val="right"/>
              <w:ind w:right="84"/>
              <w:spacing w:after="0"/>
              <w:rPr>
                <w:sz w:val="20"/>
                <w:szCs w:val="20"/>
                <w:color w:val="auto"/>
              </w:rPr>
            </w:pPr>
            <w:r>
              <w:rPr>
                <w:rFonts w:ascii="Arial" w:cs="Arial" w:eastAsia="Arial" w:hAnsi="Arial"/>
                <w:sz w:val="11"/>
                <w:szCs w:val="11"/>
                <w:color w:val="auto"/>
              </w:rPr>
              <w:t>33,275</w:t>
            </w:r>
          </w:p>
        </w:tc>
        <w:tc>
          <w:tcPr>
            <w:tcW w:w="8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color w:val="auto"/>
              </w:rPr>
              <w:t>41,596</w:t>
            </w:r>
          </w:p>
        </w:tc>
        <w:tc>
          <w:tcPr>
            <w:tcW w:w="100" w:type="dxa"/>
            <w:vAlign w:val="bottom"/>
          </w:tcPr>
          <w:p>
            <w:pPr>
              <w:spacing w:after="0"/>
              <w:rPr>
                <w:sz w:val="13"/>
                <w:szCs w:val="13"/>
                <w:color w:val="auto"/>
              </w:rPr>
            </w:pPr>
          </w:p>
        </w:tc>
        <w:tc>
          <w:tcPr>
            <w:tcW w:w="860" w:type="dxa"/>
            <w:vAlign w:val="bottom"/>
          </w:tcPr>
          <w:p>
            <w:pPr>
              <w:jc w:val="right"/>
              <w:ind w:right="104"/>
              <w:spacing w:after="0"/>
              <w:rPr>
                <w:sz w:val="20"/>
                <w:szCs w:val="20"/>
                <w:color w:val="auto"/>
              </w:rPr>
            </w:pPr>
            <w:r>
              <w:rPr>
                <w:rFonts w:ascii="Arial" w:cs="Arial" w:eastAsia="Arial" w:hAnsi="Arial"/>
                <w:sz w:val="11"/>
                <w:szCs w:val="11"/>
                <w:color w:val="auto"/>
              </w:rPr>
              <w:t>8,321</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33,275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1"/>
                <w:szCs w:val="11"/>
                <w:color w:val="auto"/>
              </w:rPr>
              <w:t>41,596</w:t>
            </w:r>
          </w:p>
        </w:tc>
        <w:tc>
          <w:tcPr>
            <w:tcW w:w="80" w:type="dxa"/>
            <w:vAlign w:val="bottom"/>
          </w:tcPr>
          <w:p>
            <w:pPr>
              <w:spacing w:after="0"/>
              <w:rPr>
                <w:sz w:val="13"/>
                <w:szCs w:val="13"/>
                <w:color w:val="auto"/>
              </w:rPr>
            </w:pPr>
          </w:p>
        </w:tc>
        <w:tc>
          <w:tcPr>
            <w:tcW w:w="860" w:type="dxa"/>
            <w:vAlign w:val="bottom"/>
          </w:tcPr>
          <w:p>
            <w:pPr>
              <w:jc w:val="right"/>
              <w:ind w:right="84"/>
              <w:spacing w:after="0"/>
              <w:rPr>
                <w:sz w:val="20"/>
                <w:szCs w:val="20"/>
                <w:color w:val="auto"/>
              </w:rPr>
            </w:pPr>
            <w:r>
              <w:rPr>
                <w:rFonts w:ascii="Arial" w:cs="Arial" w:eastAsia="Arial" w:hAnsi="Arial"/>
                <w:sz w:val="11"/>
                <w:szCs w:val="11"/>
                <w:color w:val="auto"/>
              </w:rPr>
              <w:t>8,321</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61"/>
        </w:trPr>
        <w:tc>
          <w:tcPr>
            <w:tcW w:w="3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Average</w:t>
            </w:r>
            <w:r>
              <w:rPr>
                <w:rFonts w:ascii="Arial" w:cs="Arial" w:eastAsia="Arial" w:hAnsi="Arial"/>
                <w:sz w:val="14"/>
                <w:szCs w:val="14"/>
                <w:color w:val="auto"/>
                <w:vertAlign w:val="superscript"/>
              </w:rPr>
              <w:t>(1)</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31,574</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39,341</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7,767</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30,758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39,680</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8,923</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29 %</w:t>
            </w:r>
          </w:p>
        </w:tc>
        <w:tc>
          <w:tcPr>
            <w:tcW w:w="0" w:type="dxa"/>
            <w:vAlign w:val="bottom"/>
          </w:tcPr>
          <w:p>
            <w:pPr>
              <w:spacing w:after="0"/>
              <w:rPr>
                <w:sz w:val="1"/>
                <w:szCs w:val="1"/>
                <w:color w:val="auto"/>
              </w:rPr>
            </w:pPr>
          </w:p>
        </w:tc>
      </w:tr>
      <w:tr>
        <w:trPr>
          <w:trHeight w:val="155"/>
        </w:trPr>
        <w:tc>
          <w:tcPr>
            <w:tcW w:w="3420" w:type="dxa"/>
            <w:vAlign w:val="bottom"/>
          </w:tcPr>
          <w:p>
            <w:pPr>
              <w:ind w:left="20"/>
              <w:spacing w:after="0"/>
              <w:rPr>
                <w:sz w:val="20"/>
                <w:szCs w:val="20"/>
                <w:color w:val="auto"/>
              </w:rPr>
            </w:pPr>
            <w:r>
              <w:rPr>
                <w:rFonts w:ascii="Arial" w:cs="Arial" w:eastAsia="Arial" w:hAnsi="Arial"/>
                <w:sz w:val="11"/>
                <w:szCs w:val="11"/>
                <w:color w:val="auto"/>
              </w:rPr>
              <w:t>Investment advisory revenue</w:t>
            </w:r>
          </w:p>
        </w:tc>
        <w:tc>
          <w:tcPr>
            <w:tcW w:w="940" w:type="dxa"/>
            <w:vAlign w:val="bottom"/>
          </w:tcPr>
          <w:p>
            <w:pPr>
              <w:jc w:val="right"/>
              <w:ind w:right="104"/>
              <w:spacing w:after="0"/>
              <w:rPr>
                <w:sz w:val="20"/>
                <w:szCs w:val="20"/>
                <w:color w:val="auto"/>
              </w:rPr>
            </w:pPr>
            <w:r>
              <w:rPr>
                <w:rFonts w:ascii="Arial" w:cs="Arial" w:eastAsia="Arial" w:hAnsi="Arial"/>
                <w:sz w:val="11"/>
                <w:szCs w:val="11"/>
                <w:color w:val="auto"/>
              </w:rPr>
              <w:t>17.9</w:t>
            </w:r>
          </w:p>
        </w:tc>
        <w:tc>
          <w:tcPr>
            <w:tcW w:w="8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3"/>
                <w:szCs w:val="13"/>
                <w:color w:val="auto"/>
              </w:rPr>
            </w:pPr>
          </w:p>
        </w:tc>
        <w:tc>
          <w:tcPr>
            <w:tcW w:w="860" w:type="dxa"/>
            <w:vAlign w:val="bottom"/>
          </w:tcPr>
          <w:p>
            <w:pPr>
              <w:jc w:val="right"/>
              <w:ind w:right="104"/>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color w:val="auto"/>
              </w:rPr>
              <w:t>34.3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1"/>
                <w:szCs w:val="11"/>
                <w:color w:val="auto"/>
              </w:rPr>
              <w:t>41.9</w:t>
            </w:r>
          </w:p>
        </w:tc>
        <w:tc>
          <w:tcPr>
            <w:tcW w:w="80" w:type="dxa"/>
            <w:vAlign w:val="bottom"/>
          </w:tcPr>
          <w:p>
            <w:pPr>
              <w:spacing w:after="0"/>
              <w:rPr>
                <w:sz w:val="13"/>
                <w:szCs w:val="13"/>
                <w:color w:val="auto"/>
              </w:rPr>
            </w:pPr>
          </w:p>
        </w:tc>
        <w:tc>
          <w:tcPr>
            <w:tcW w:w="860" w:type="dxa"/>
            <w:vAlign w:val="bottom"/>
          </w:tcPr>
          <w:p>
            <w:pPr>
              <w:jc w:val="right"/>
              <w:ind w:right="84"/>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61"/>
        </w:trPr>
        <w:tc>
          <w:tcPr>
            <w:tcW w:w="3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Annualized investment advisory fee rate </w:t>
            </w:r>
            <w:r>
              <w:rPr>
                <w:rFonts w:ascii="Arial" w:cs="Arial" w:eastAsia="Arial" w:hAnsi="Arial"/>
                <w:sz w:val="14"/>
                <w:szCs w:val="14"/>
                <w:color w:val="auto"/>
                <w:vertAlign w:val="superscript"/>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0.22 %</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0.22 %</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0.21 %</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Annualized investment advisory fee rate is calculated by annualizing revenue for the given period and dividing by the applicable average asset balance.</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Investment advisory revenue increased by $4.2 million, or 23%, and $7.6 million, or 22%, for the three and six months ended July 31, 2025, respectively, compared to the same periods in the prior year. The increase in investment advisory revenue was primarily driven by a 25% and 29% increase in the average balance of investment advisory assets for the three and six months ended July 31, 2025, respectively, compared to the same periods in the prior year. The annualized investment advisory fee rate was relatively unchanged for the three months ended July 31, 2025, compared to the same period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17621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50" w:lineRule="exact"/>
        <w:rPr>
          <w:sz w:val="20"/>
          <w:szCs w:val="20"/>
          <w:color w:val="auto"/>
        </w:rPr>
      </w:pPr>
    </w:p>
    <w:p>
      <w:pPr>
        <w:ind w:left="140" w:hanging="136"/>
        <w:spacing w:after="0"/>
        <w:tabs>
          <w:tab w:leader="none" w:pos="140" w:val="left"/>
        </w:tabs>
        <w:numPr>
          <w:ilvl w:val="0"/>
          <w:numId w:val="59"/>
        </w:numPr>
        <w:rPr>
          <w:rFonts w:ascii="Arial" w:cs="Arial" w:eastAsia="Arial" w:hAnsi="Arial"/>
          <w:sz w:val="16"/>
          <w:szCs w:val="16"/>
          <w:color w:val="auto"/>
          <w:vertAlign w:val="superscript"/>
        </w:rPr>
      </w:pPr>
      <w:r>
        <w:rPr>
          <w:rFonts w:ascii="Arial" w:cs="Arial" w:eastAsia="Arial" w:hAnsi="Arial"/>
          <w:sz w:val="13"/>
          <w:szCs w:val="13"/>
          <w:color w:val="auto"/>
        </w:rPr>
        <w:t>Wealthfront accrues and/or recognizes cash management revenue on a daily basis. The chart shows resulting averages for the periods presented.</w:t>
      </w:r>
    </w:p>
    <w:p>
      <w:pPr>
        <w:ind w:left="140" w:hanging="136"/>
        <w:spacing w:after="0" w:line="201" w:lineRule="auto"/>
        <w:tabs>
          <w:tab w:leader="none" w:pos="140" w:val="left"/>
        </w:tabs>
        <w:numPr>
          <w:ilvl w:val="0"/>
          <w:numId w:val="59"/>
        </w:numPr>
        <w:rPr>
          <w:rFonts w:ascii="Arial" w:cs="Arial" w:eastAsia="Arial" w:hAnsi="Arial"/>
          <w:sz w:val="16"/>
          <w:szCs w:val="16"/>
          <w:color w:val="auto"/>
          <w:vertAlign w:val="superscript"/>
        </w:rPr>
      </w:pPr>
      <w:r>
        <w:rPr>
          <w:rFonts w:ascii="Arial" w:cs="Arial" w:eastAsia="Arial" w:hAnsi="Arial"/>
          <w:sz w:val="13"/>
          <w:szCs w:val="13"/>
          <w:color w:val="auto"/>
        </w:rPr>
        <w:t>Wealthfront accrues and/or recognizes investment advisory revenue on a daily basis. The chart shows resulting averages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80"/>
          </w:cols>
          <w:pgMar w:left="300" w:top="209"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prior year and declined by 5% for the six months ended July 31, 2025, compared to the same period in the prior year.</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revenue decreased by approximately $ 1.1 million, or 84%, and $2.3 million, or 80%, for the three and six months ended July 31, 2025, respectively, compared to the same periods in the prior year. The decline in other revenue was primarily due to discontinuing a product offering in November 2024. Additionally, a strategic decision was made in June 2024 to reduce the client borrowing rate for PLOC. This decision, unrelated to the interest rate environment, resulted in a decline in net interest margin revenue for the three and six months ended July 31, 2025, compared to the prior year.</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the three and six months ended July 31, 2025, the average margin lending rates ranged from 5.32% to 5.41% and 5.20% to 5.82%, respectively, while the funding costs incurred under our lending arrangement with RBC Clearing &amp; Custody ranged from 5.32% to 5.41% and 5.20% to 5.82%, respectively. For the three and six months ended July 31, 2024, the average margin lending rates ranged from 6.41% to 8.13% and 6.41% to 8.20%, respectively, while the funding costs incurred under our lending arrangement with RBC Clearing &amp; Custody ranged from 6.33% to 6.41% and 6.33% to 6.42%, respectively. New loan originations totaled $77.8 million and $170.3 million for the three and six months ended July 31, 2025, respectively, compared to $44.3 million and $ 80.4 million for the same periods in the prior year. Repayments totaled $66.0 million and $134.3 million for the three and six months ended July 31, 2025, respectively, compared to $35.3 million and $74.1 million for the same periods in the prior year. There were no loan write-offs for either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Costs and Operating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5"/>
          </w:tcPr>
          <w:p>
            <w:pPr>
              <w:ind w:left="80"/>
              <w:spacing w:after="0"/>
              <w:rPr>
                <w:sz w:val="20"/>
                <w:szCs w:val="20"/>
                <w:color w:val="auto"/>
              </w:rPr>
            </w:pPr>
            <w:r>
              <w:rPr>
                <w:rFonts w:ascii="Arial" w:cs="Arial" w:eastAsia="Arial" w:hAnsi="Arial"/>
                <w:sz w:val="11"/>
                <w:szCs w:val="11"/>
                <w:b w:val="1"/>
                <w:bCs w:val="1"/>
                <w:color w:val="auto"/>
              </w:rPr>
              <w:t>Three Months Ended July 31,</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tcPr>
          <w:p>
            <w:pPr>
              <w:ind w:left="120"/>
              <w:spacing w:after="0"/>
              <w:rPr>
                <w:sz w:val="20"/>
                <w:szCs w:val="20"/>
                <w:color w:val="auto"/>
              </w:rPr>
            </w:pPr>
            <w:r>
              <w:rPr>
                <w:rFonts w:ascii="Arial" w:cs="Arial" w:eastAsia="Arial" w:hAnsi="Arial"/>
                <w:sz w:val="11"/>
                <w:szCs w:val="11"/>
                <w:b w:val="1"/>
                <w:bCs w:val="1"/>
                <w:color w:val="auto"/>
              </w:rPr>
              <w:t>Six Months Ended July 31,</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8"/>
        </w:trPr>
        <w:tc>
          <w:tcPr>
            <w:tcW w:w="296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 Change</w:t>
            </w:r>
          </w:p>
        </w:tc>
        <w:tc>
          <w:tcPr>
            <w:tcW w:w="1120" w:type="dxa"/>
            <w:vAlign w:val="bottom"/>
            <w:gridSpan w:val="2"/>
          </w:tcPr>
          <w:p>
            <w:pPr>
              <w:ind w:left="260"/>
              <w:spacing w:after="0"/>
              <w:rPr>
                <w:sz w:val="20"/>
                <w:szCs w:val="20"/>
                <w:color w:val="auto"/>
              </w:rPr>
            </w:pPr>
            <w:r>
              <w:rPr>
                <w:rFonts w:ascii="Arial" w:cs="Arial" w:eastAsia="Arial" w:hAnsi="Arial"/>
                <w:sz w:val="11"/>
                <w:szCs w:val="11"/>
                <w:b w:val="1"/>
                <w:bCs w:val="1"/>
                <w:color w:val="auto"/>
              </w:rPr>
              <w:t>% Change</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040" w:type="dxa"/>
            <w:vAlign w:val="bottom"/>
          </w:tcPr>
          <w:p>
            <w:pPr>
              <w:jc w:val="right"/>
              <w:ind w:right="184"/>
              <w:spacing w:after="0"/>
              <w:rPr>
                <w:sz w:val="20"/>
                <w:szCs w:val="20"/>
                <w:color w:val="auto"/>
              </w:rPr>
            </w:pPr>
            <w:r>
              <w:rPr>
                <w:rFonts w:ascii="Arial" w:cs="Arial" w:eastAsia="Arial" w:hAnsi="Arial"/>
                <w:sz w:val="11"/>
                <w:szCs w:val="11"/>
                <w:b w:val="1"/>
                <w:bCs w:val="1"/>
                <w:color w:val="auto"/>
              </w:rPr>
              <w:t>% Change</w:t>
            </w:r>
          </w:p>
        </w:tc>
      </w:tr>
      <w:tr>
        <w:trPr>
          <w:trHeight w:val="148"/>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7,703</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9,587</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1,884</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24 %</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14,433</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18,255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3,822</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26 %</w:t>
            </w:r>
          </w:p>
        </w:tc>
      </w:tr>
      <w:tr>
        <w:trPr>
          <w:trHeight w:val="155"/>
        </w:trPr>
        <w:tc>
          <w:tcPr>
            <w:tcW w:w="2960" w:type="dxa"/>
            <w:vAlign w:val="bottom"/>
          </w:tcPr>
          <w:p>
            <w:pPr>
              <w:ind w:left="20"/>
              <w:spacing w:after="0"/>
              <w:rPr>
                <w:sz w:val="20"/>
                <w:szCs w:val="20"/>
                <w:color w:val="auto"/>
              </w:rPr>
            </w:pPr>
            <w:r>
              <w:rPr>
                <w:rFonts w:ascii="Arial" w:cs="Arial" w:eastAsia="Arial" w:hAnsi="Arial"/>
                <w:sz w:val="11"/>
                <w:szCs w:val="11"/>
                <w:color w:val="auto"/>
              </w:rPr>
              <w:t>Product development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15,080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21,227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6,147</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41 %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29,367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41,459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12,092</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41 %</w:t>
            </w:r>
          </w:p>
        </w:tc>
      </w:tr>
      <w:tr>
        <w:trPr>
          <w:trHeight w:val="161"/>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7,182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1,691</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13,886</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18,740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4,854</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35 %</w:t>
            </w:r>
          </w:p>
        </w:tc>
      </w:tr>
      <w:tr>
        <w:trPr>
          <w:trHeight w:val="155"/>
        </w:trPr>
        <w:tc>
          <w:tcPr>
            <w:tcW w:w="2960" w:type="dxa"/>
            <w:vAlign w:val="bottom"/>
          </w:tcPr>
          <w:p>
            <w:pPr>
              <w:ind w:left="20"/>
              <w:spacing w:after="0"/>
              <w:rPr>
                <w:sz w:val="20"/>
                <w:szCs w:val="20"/>
                <w:color w:val="auto"/>
              </w:rPr>
            </w:pPr>
            <w:r>
              <w:rPr>
                <w:rFonts w:ascii="Arial" w:cs="Arial" w:eastAsia="Arial" w:hAnsi="Arial"/>
                <w:sz w:val="11"/>
                <w:szCs w:val="11"/>
                <w:color w:val="auto"/>
              </w:rPr>
              <w:t>Marketing</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11,531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9,093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(2,438)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21,909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19,281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(2,628)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58"/>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Operations and support</w:t>
            </w: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3,063</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19 %</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5,075</w:t>
            </w:r>
          </w:p>
        </w:tc>
        <w:tc>
          <w:tcPr>
            <w:tcW w:w="1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5,988</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913</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18 %</w:t>
            </w:r>
          </w:p>
        </w:tc>
      </w:tr>
      <w:tr>
        <w:trPr>
          <w:trHeight w:val="151"/>
        </w:trPr>
        <w:tc>
          <w:tcPr>
            <w:tcW w:w="2960" w:type="dxa"/>
            <w:vAlign w:val="bottom"/>
          </w:tcPr>
          <w:p>
            <w:pPr>
              <w:ind w:left="20"/>
              <w:spacing w:after="0"/>
              <w:rPr>
                <w:sz w:val="20"/>
                <w:szCs w:val="20"/>
                <w:color w:val="auto"/>
              </w:rPr>
            </w:pPr>
            <w:r>
              <w:rPr>
                <w:rFonts w:ascii="Arial" w:cs="Arial" w:eastAsia="Arial" w:hAnsi="Arial"/>
                <w:sz w:val="11"/>
                <w:szCs w:val="11"/>
                <w:color w:val="auto"/>
              </w:rPr>
              <w:t>Total costs and operating expenses</w:t>
            </w: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44,071</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51,843</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7,772</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18 %</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84,670</w:t>
            </w: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103,723</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19,053</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23 %</w:t>
            </w:r>
          </w:p>
        </w:tc>
      </w:tr>
      <w:tr>
        <w:trPr>
          <w:trHeight w:val="20"/>
        </w:trPr>
        <w:tc>
          <w:tcPr>
            <w:tcW w:w="2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Cost of revenue increased by $1.9 million, or 24%, and $3.8 million, or 26%, for the three and six months ended July 31, 2025, respectively, compared to the same periods in the prior year. The increase was primarily due to:</w:t>
      </w:r>
    </w:p>
    <w:p>
      <w:pPr>
        <w:spacing w:after="0" w:line="79" w:lineRule="exact"/>
        <w:rPr>
          <w:sz w:val="20"/>
          <w:szCs w:val="20"/>
          <w:color w:val="auto"/>
        </w:rPr>
      </w:pPr>
    </w:p>
    <w:p>
      <w:pPr>
        <w:ind w:left="500" w:hanging="244"/>
        <w:spacing w:after="0" w:line="286" w:lineRule="auto"/>
        <w:tabs>
          <w:tab w:leader="none" w:pos="496"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$0.7 million and $1.7 million in cash management costs for the three and six months ended July 31, 2025, respectively, compared to the same periods in the prior year. The increase in cash management costs was primarily due to increased cash assets held by clients in the cash sweep program;</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$0.9 million and $1.5 million in brokerage platform fees for the three and six months ended July 31, 2025, respectively, compared to the same periods in the prior year. The increases in brokerage platform costs were primarily due to an increase in money movement volumes, clients and accounts ; 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80"/>
          </w:cols>
          <w:pgMar w:left="300" w:top="209" w:right="3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line="286" w:lineRule="auto"/>
        <w:tabs>
          <w:tab w:leader="none" w:pos="496"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increase of $0.3 million and $0.6 million in other cost of revenue for the three and six months ended July 31, 2025, respectively, compared to the same periods in the prior year due primarily to increased amortization of internally developed software.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“Components of Operations—Costs and Operating Expenses”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Product development expenses increased by $6.1 million, or 41%, and $12.1 million, or 41%, for the three and six months ended July 31, 2025, respectively, compared to the same periods in the prior year. The increase was primarily due to an increase of $5.8 million and $11.4 million in personnel-related expenses due to increased headcount for the three and six months ended July 31, 2025, respectively, compared to the same periods in the prior year, which reflected a $0.9 million and $1.6 million decrease in stock-based compensation for the three and six months ended July 31, 2025, respectively, compared to the same periods in the prior year.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General and administrative expenses increased by $1.7 million, or 24%, and $4.9 million, or 35%, for the three and six months ended July 31, 2025, respectively, compared to the same periods in the prior year. The increase was primarily due to an increase of $0.6 million and $2.4 million in professional fees for the three and six months ended July 31, 2025, respectively, compared to the same periods in the prior year, and an increase of $1.0 million and $1.8 million in personnel-related expenses due to increased headcount for the three and six months ended July 31, 2025, respectively, compared to the same periods in the prior year.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1"/>
                <w:szCs w:val="11"/>
                <w:b w:val="1"/>
                <w:bCs w:val="1"/>
                <w:color w:val="auto"/>
              </w:rPr>
              <w:t>Three Months Ended July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1"/>
                <w:szCs w:val="11"/>
                <w:b w:val="1"/>
                <w:bCs w:val="1"/>
                <w:color w:val="auto"/>
              </w:rPr>
              <w:t>Six Months Ended July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9"/>
        </w:trPr>
        <w:tc>
          <w:tcPr>
            <w:tcW w:w="21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200" w:type="dxa"/>
            <w:vAlign w:val="bottom"/>
          </w:tcPr>
          <w:p>
            <w:pPr>
              <w:spacing w:after="0"/>
              <w:rPr>
                <w:sz w:val="14"/>
                <w:szCs w:val="14"/>
                <w:color w:val="auto"/>
              </w:rPr>
            </w:pPr>
          </w:p>
        </w:tc>
        <w:tc>
          <w:tcPr>
            <w:tcW w:w="860" w:type="dxa"/>
            <w:vAlign w:val="bottom"/>
          </w:tcPr>
          <w:p>
            <w:pPr>
              <w:jc w:val="right"/>
              <w:ind w:right="344"/>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420" w:type="dxa"/>
            <w:vAlign w:val="bottom"/>
            <w:gridSpan w:val="3"/>
          </w:tcPr>
          <w:p>
            <w:pPr>
              <w:jc w:val="right"/>
              <w:ind w:right="600"/>
              <w:spacing w:after="0"/>
              <w:rPr>
                <w:sz w:val="20"/>
                <w:szCs w:val="20"/>
                <w:color w:val="auto"/>
              </w:rPr>
            </w:pPr>
            <w:r>
              <w:rPr>
                <w:rFonts w:ascii="Arial" w:cs="Arial" w:eastAsia="Arial" w:hAnsi="Arial"/>
                <w:sz w:val="11"/>
                <w:szCs w:val="11"/>
                <w:b w:val="1"/>
                <w:bCs w:val="1"/>
                <w:color w:val="auto"/>
              </w:rPr>
              <w:t>% Change</w:t>
            </w:r>
          </w:p>
        </w:tc>
        <w:tc>
          <w:tcPr>
            <w:tcW w:w="840" w:type="dxa"/>
            <w:vAlign w:val="bottom"/>
          </w:tcPr>
          <w:p>
            <w:pPr>
              <w:jc w:val="right"/>
              <w:ind w:right="364"/>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120" w:type="dxa"/>
            <w:vAlign w:val="bottom"/>
          </w:tcPr>
          <w:p>
            <w:pPr>
              <w:jc w:val="right"/>
              <w:ind w:right="224"/>
              <w:spacing w:after="0"/>
              <w:rPr>
                <w:sz w:val="20"/>
                <w:szCs w:val="20"/>
                <w:color w:val="auto"/>
              </w:rPr>
            </w:pPr>
            <w:r>
              <w:rPr>
                <w:rFonts w:ascii="Arial" w:cs="Arial" w:eastAsia="Arial" w:hAnsi="Arial"/>
                <w:sz w:val="11"/>
                <w:szCs w:val="11"/>
                <w:b w:val="1"/>
                <w:bCs w:val="1"/>
                <w:color w:val="auto"/>
              </w:rPr>
              <w:t>% Change</w:t>
            </w:r>
          </w:p>
        </w:tc>
      </w:tr>
      <w:tr>
        <w:trPr>
          <w:trHeight w:val="148"/>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Performance and brand advertising</w:t>
            </w: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6,697</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5,139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(1,558)</w:t>
            </w: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12,608</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11,904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(704)</w:t>
            </w:r>
          </w:p>
        </w:tc>
        <w:tc>
          <w:tcPr>
            <w:tcW w:w="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155"/>
        </w:trPr>
        <w:tc>
          <w:tcPr>
            <w:tcW w:w="2120" w:type="dxa"/>
            <w:vAlign w:val="bottom"/>
          </w:tcPr>
          <w:p>
            <w:pPr>
              <w:ind w:left="20"/>
              <w:spacing w:after="0"/>
              <w:rPr>
                <w:sz w:val="20"/>
                <w:szCs w:val="20"/>
                <w:color w:val="auto"/>
              </w:rPr>
            </w:pPr>
            <w:r>
              <w:rPr>
                <w:rFonts w:ascii="Arial" w:cs="Arial" w:eastAsia="Arial" w:hAnsi="Arial"/>
                <w:sz w:val="11"/>
                <w:szCs w:val="11"/>
                <w:color w:val="auto"/>
              </w:rPr>
              <w:t>Client referral costs</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3,415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2,193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(1,222)</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6,376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4,159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(2,217)</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61"/>
        </w:trPr>
        <w:tc>
          <w:tcPr>
            <w:tcW w:w="2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Personnel-related costs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1,034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1,228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194</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2,051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2,414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18 %</w:t>
            </w:r>
          </w:p>
        </w:tc>
      </w:tr>
      <w:tr>
        <w:trPr>
          <w:trHeight w:val="155"/>
        </w:trPr>
        <w:tc>
          <w:tcPr>
            <w:tcW w:w="2120" w:type="dxa"/>
            <w:vAlign w:val="bottom"/>
          </w:tcPr>
          <w:p>
            <w:pPr>
              <w:ind w:left="20"/>
              <w:spacing w:after="0"/>
              <w:rPr>
                <w:sz w:val="20"/>
                <w:szCs w:val="20"/>
                <w:color w:val="auto"/>
              </w:rPr>
            </w:pPr>
            <w:r>
              <w:rPr>
                <w:rFonts w:ascii="Arial" w:cs="Arial" w:eastAsia="Arial" w:hAnsi="Arial"/>
                <w:sz w:val="11"/>
                <w:szCs w:val="11"/>
                <w:color w:val="auto"/>
              </w:rPr>
              <w:t>Other marketing</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355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107</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618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473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(145)</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58"/>
        </w:trPr>
        <w:tc>
          <w:tcPr>
            <w:tcW w:w="2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Allocated overhead</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179</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31 %</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332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30 %</w:t>
            </w:r>
          </w:p>
        </w:tc>
      </w:tr>
      <w:tr>
        <w:trPr>
          <w:trHeight w:val="151"/>
        </w:trPr>
        <w:tc>
          <w:tcPr>
            <w:tcW w:w="2120" w:type="dxa"/>
            <w:vAlign w:val="bottom"/>
          </w:tcPr>
          <w:p>
            <w:pPr>
              <w:ind w:left="20"/>
              <w:spacing w:after="0"/>
              <w:rPr>
                <w:sz w:val="20"/>
                <w:szCs w:val="20"/>
                <w:color w:val="auto"/>
              </w:rPr>
            </w:pPr>
            <w:r>
              <w:rPr>
                <w:rFonts w:ascii="Arial" w:cs="Arial" w:eastAsia="Arial" w:hAnsi="Arial"/>
                <w:sz w:val="11"/>
                <w:szCs w:val="11"/>
                <w:color w:val="auto"/>
              </w:rPr>
              <w:t>Total</w:t>
            </w: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11,531</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9,093</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(2,438)</w:t>
            </w:r>
          </w:p>
        </w:tc>
        <w:tc>
          <w:tcPr>
            <w:tcW w:w="8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1"/>
                <w:szCs w:val="11"/>
                <w:color w:val="auto"/>
              </w:rPr>
              <w:t>(21)%  $</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21,909</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19,281</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(2,628)</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20"/>
        </w:trPr>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Marketing expenses decreased by $2.4 million, or 21%, and $ 2.6 million, or 12%, for the three and six months ended July 31, 2025, respectively, compared to the same periods in the prior year. The decrease was primarily due to a decrease of $2.8 million and $2.9 million in advertising expenses for the three and six months ended July 31, 2025, respectively, compared to the same periods in the prior year.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Operations and Support</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Operations and support expenses increased by $0.5 million, or 19%, and $0.9 million, or 18%, for the three and six months ended July 31, 2025, respectively, compared to the same periods in the prior year. The increase was due to an increase of $0.5 million and $0.9 million in personnel-related expenses due to increased headcount for the three and six months ended July 31, 2025, respectively, compared to the same periods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209" w:right="3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80" w:type="dxa"/>
            <w:vAlign w:val="bottom"/>
          </w:tcPr>
          <w:p>
            <w:pPr>
              <w:spacing w:after="0"/>
              <w:rPr>
                <w:sz w:val="13"/>
                <w:szCs w:val="13"/>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July 31,</w:t>
            </w: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July 31,</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8"/>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2025</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b w:val="1"/>
                <w:bCs w:val="1"/>
                <w:color w:val="auto"/>
              </w:rPr>
              <w:t>% Change</w:t>
            </w:r>
          </w:p>
        </w:tc>
      </w:tr>
      <w:tr>
        <w:trPr>
          <w:trHeight w:val="148"/>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640" w:type="dxa"/>
            <w:vAlign w:val="bottom"/>
            <w:shd w:val="clear" w:color="auto" w:fill="CCEEFF"/>
          </w:tcPr>
          <w:p>
            <w:pPr>
              <w:jc w:val="right"/>
              <w:ind w:right="504"/>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24"/>
              <w:spacing w:after="0"/>
              <w:rPr>
                <w:sz w:val="20"/>
                <w:szCs w:val="20"/>
                <w:color w:val="auto"/>
              </w:rPr>
            </w:pPr>
            <w:r>
              <w:rPr>
                <w:rFonts w:ascii="Arial" w:cs="Arial" w:eastAsia="Arial" w:hAnsi="Arial"/>
                <w:sz w:val="11"/>
                <w:szCs w:val="11"/>
                <w:color w:val="auto"/>
                <w:w w:val="97"/>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99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(709)</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(88)%  $</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6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Interest expense decreased by $0.7 million, or 88%, and decreased by $1.4 million, or 89%, for the three and six months ended July 31, 2025, respectively, compared to the same periods in the prior year. The decrease was primarily due to the repayment of the Bridge Loan in November 2024.</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1"/>
                <w:szCs w:val="11"/>
                <w:b w:val="1"/>
                <w:bCs w:val="1"/>
                <w:color w:val="auto"/>
              </w:rPr>
              <w:t>Three Months Ended July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1"/>
                <w:szCs w:val="11"/>
                <w:b w:val="1"/>
                <w:bCs w:val="1"/>
                <w:color w:val="auto"/>
              </w:rPr>
              <w:t>Six Months Ended July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8"/>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b w:val="1"/>
                <w:bCs w:val="1"/>
                <w:color w:val="auto"/>
              </w:rPr>
              <w:t>% Change</w:t>
            </w:r>
          </w:p>
        </w:tc>
      </w:tr>
      <w:tr>
        <w:trPr>
          <w:trHeight w:val="148"/>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net</w:t>
            </w: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(19)%  $</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(18,572)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16,338</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r>
    </w:tbl>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expense (income), net decreased by $0.2 million, or 19%, and $16.3 million, or 88%, for the three and six months ended July 31, 2025, respectively, compared to the same periods in the prior year. The change was primarily due to a decrease of $ 0.9 million and $ 17.5 million in fair value change in convertible note, warrant liabilities, and SAFEs for the three and six months ended July 31, 2025, respectively, compared to the same periods in the prior year, and an increase of $0.6 million and $1.1 million in dividend income from corporate cash swept into a money market fund for the three and six months ended July 31, 2025, respectively, compared to the same periods in the prior year.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July 31,</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July 31,</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w w:val="97"/>
              </w:rPr>
              <w:t>% Change</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b w:val="1"/>
                <w:bCs w:val="1"/>
                <w:color w:val="auto"/>
              </w:rPr>
              <w:t>% Change</w:t>
            </w:r>
          </w:p>
        </w:tc>
      </w:tr>
      <w:tr>
        <w:trPr>
          <w:trHeight w:val="159"/>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(655)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5,130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5,785</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NM  $</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(54,063)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13,294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67,357</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r>
      <w:tr>
        <w:trPr>
          <w:trHeight w:val="152"/>
        </w:trPr>
        <w:tc>
          <w:tcPr>
            <w:tcW w:w="2860" w:type="dxa"/>
            <w:vAlign w:val="bottom"/>
          </w:tcPr>
          <w:p>
            <w:pPr>
              <w:ind w:left="20"/>
              <w:spacing w:after="0"/>
              <w:rPr>
                <w:sz w:val="20"/>
                <w:szCs w:val="20"/>
                <w:color w:val="auto"/>
              </w:rPr>
            </w:pPr>
            <w:r>
              <w:rPr>
                <w:rFonts w:ascii="Arial" w:cs="Arial" w:eastAsia="Arial" w:hAnsi="Arial"/>
                <w:sz w:val="11"/>
                <w:szCs w:val="11"/>
                <w:color w:val="auto"/>
              </w:rPr>
              <w:t>Effective income tax rate</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12.9 %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(69.1)%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18.0 %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Provision for (benefit from) income taxes increased by $5.8 million, and $67.4 million for the three and six months ended July 31, 2025, respectively, compared to the same periods in the prior year, primarily due to the release of the $70.8 million valuation allowance on our U.S. federal and state deferred tax assets, leading to an increase of $2.7 million and $42.6 million in deferred federal tax expense for the three and six months ended July 31, 2025, respectively, compared to the same periods in the prior year, an increase of $0.2 million and $16.9 million in deferred state tax expense for the three and six months ended July 31, 2025, respectively, compared to the same periods in the prior year, and an increase of $3.1 million and $8.0 million in federal income expense for the three and six months ended July 31, 2025, respectively, compared to the same periods in the prior year. For additional information, refer to Note 14. — Income Taxes to our condensed consolidated financial statements included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80"/>
          </w:cols>
          <w:pgMar w:left="300" w:top="209"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Fiscal Years Ended January 31, 2024 and 2025</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00" w:type="dxa"/>
            <w:vAlign w:val="bottom"/>
            <w:gridSpan w:val="5"/>
          </w:tcPr>
          <w:p>
            <w:pPr>
              <w:ind w:left="420"/>
              <w:spacing w:after="0"/>
              <w:rPr>
                <w:sz w:val="20"/>
                <w:szCs w:val="20"/>
                <w:color w:val="auto"/>
              </w:rPr>
            </w:pPr>
            <w:r>
              <w:rPr>
                <w:rFonts w:ascii="Arial" w:cs="Arial" w:eastAsia="Arial" w:hAnsi="Arial"/>
                <w:sz w:val="11"/>
                <w:szCs w:val="11"/>
                <w:b w:val="1"/>
                <w:bCs w:val="1"/>
                <w:color w:val="auto"/>
              </w:rPr>
              <w:t>Fiscal Year Ended January 31,</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48"/>
        </w:trPr>
        <w:tc>
          <w:tcPr>
            <w:tcW w:w="468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3"/>
              <w:spacing w:after="0"/>
              <w:rPr>
                <w:sz w:val="20"/>
                <w:szCs w:val="20"/>
                <w:color w:val="auto"/>
              </w:rPr>
            </w:pPr>
            <w:r>
              <w:rPr>
                <w:rFonts w:ascii="Arial" w:cs="Arial" w:eastAsia="Arial" w:hAnsi="Arial"/>
                <w:sz w:val="11"/>
                <w:szCs w:val="11"/>
                <w:b w:val="1"/>
                <w:bCs w:val="1"/>
                <w:color w:val="auto"/>
              </w:rPr>
              <w:t>% Change</w:t>
            </w:r>
          </w:p>
        </w:tc>
      </w:tr>
      <w:tr>
        <w:trPr>
          <w:trHeight w:val="16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management</w:t>
            </w: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154,800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230,946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76,146</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179"/>
        </w:trPr>
        <w:tc>
          <w:tcPr>
            <w:tcW w:w="4680" w:type="dxa"/>
            <w:vAlign w:val="bottom"/>
          </w:tcPr>
          <w:p>
            <w:pPr>
              <w:ind w:left="20"/>
              <w:spacing w:after="0"/>
              <w:rPr>
                <w:sz w:val="20"/>
                <w:szCs w:val="20"/>
                <w:color w:val="auto"/>
              </w:rPr>
            </w:pPr>
            <w:r>
              <w:rPr>
                <w:rFonts w:ascii="Arial" w:cs="Arial" w:eastAsia="Arial" w:hAnsi="Arial"/>
                <w:sz w:val="14"/>
                <w:szCs w:val="14"/>
                <w:color w:val="auto"/>
              </w:rPr>
              <w:t>Investment advisory</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56,095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73,045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16,950</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17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69"/>
        </w:trPr>
        <w:tc>
          <w:tcPr>
            <w:tcW w:w="46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216,714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308,859</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92,145</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Total revenue increased by $92.1 million, or 43%, for the fiscal year ended January 31, 2025, compared to the prior year, primarily driven by an increase in cash management and investment advisory assets.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r>
        <w:rPr>
          <w:rFonts w:ascii="Arial" w:cs="Arial" w:eastAsia="Arial" w:hAnsi="Arial"/>
          <w:sz w:val="18"/>
          <w:szCs w:val="18"/>
          <w:i w:val="1"/>
          <w:iCs w:val="1"/>
          <w:color w:val="auto"/>
          <w:vertAlign w:val="superscript"/>
        </w:rPr>
        <w:t>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1"/>
                <w:szCs w:val="11"/>
                <w:b w:val="1"/>
                <w:bCs w:val="1"/>
                <w:color w:val="auto"/>
              </w:rPr>
              <w:t>Fiscal Year Ended January 31,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48"/>
        </w:trPr>
        <w:tc>
          <w:tcPr>
            <w:tcW w:w="490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(in millions, except annualized rate and percentages)</w:t>
            </w:r>
          </w:p>
        </w:tc>
        <w:tc>
          <w:tcPr>
            <w:tcW w:w="1240" w:type="dxa"/>
            <w:vAlign w:val="bottom"/>
          </w:tcPr>
          <w:p>
            <w:pPr>
              <w:jc w:val="right"/>
              <w:ind w:right="614"/>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right"/>
              <w:ind w:right="63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1620" w:type="dxa"/>
            <w:vAlign w:val="bottom"/>
          </w:tcPr>
          <w:p>
            <w:pPr>
              <w:jc w:val="right"/>
              <w:ind w:right="472"/>
              <w:spacing w:after="0"/>
              <w:rPr>
                <w:sz w:val="20"/>
                <w:szCs w:val="20"/>
                <w:color w:val="auto"/>
              </w:rPr>
            </w:pPr>
            <w:r>
              <w:rPr>
                <w:rFonts w:ascii="Arial" w:cs="Arial" w:eastAsia="Arial" w:hAnsi="Arial"/>
                <w:sz w:val="11"/>
                <w:szCs w:val="11"/>
                <w:b w:val="1"/>
                <w:bCs w:val="1"/>
                <w:color w:val="auto"/>
              </w:rPr>
              <w:t>% Change</w:t>
            </w:r>
          </w:p>
        </w:tc>
      </w:tr>
      <w:tr>
        <w:trPr>
          <w:trHeight w:val="16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management assets (off-balance sheet), beginning of the period</w:t>
            </w: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10,392</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29,361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18,969</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183 %</w:t>
            </w:r>
          </w:p>
        </w:tc>
      </w:tr>
      <w:tr>
        <w:trPr>
          <w:trHeight w:val="179"/>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Cash management assets (off-balance sheet), end of the period</w:t>
            </w:r>
          </w:p>
        </w:tc>
        <w:tc>
          <w:tcPr>
            <w:tcW w:w="1240" w:type="dxa"/>
            <w:vAlign w:val="bottom"/>
          </w:tcPr>
          <w:p>
            <w:pPr>
              <w:jc w:val="right"/>
              <w:ind w:right="114"/>
              <w:spacing w:after="0"/>
              <w:rPr>
                <w:sz w:val="20"/>
                <w:szCs w:val="20"/>
                <w:color w:val="auto"/>
              </w:rPr>
            </w:pPr>
            <w:r>
              <w:rPr>
                <w:rFonts w:ascii="Arial" w:cs="Arial" w:eastAsia="Arial" w:hAnsi="Arial"/>
                <w:sz w:val="14"/>
                <w:szCs w:val="14"/>
                <w:color w:val="auto"/>
              </w:rPr>
              <w:t>29,361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Arial" w:cs="Arial" w:eastAsia="Arial" w:hAnsi="Arial"/>
                <w:sz w:val="14"/>
                <w:szCs w:val="14"/>
                <w:color w:val="auto"/>
              </w:rPr>
              <w:t>42,411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32"/>
              <w:spacing w:after="0"/>
              <w:rPr>
                <w:sz w:val="20"/>
                <w:szCs w:val="20"/>
                <w:color w:val="auto"/>
              </w:rPr>
            </w:pPr>
            <w:r>
              <w:rPr>
                <w:rFonts w:ascii="Arial" w:cs="Arial" w:eastAsia="Arial" w:hAnsi="Arial"/>
                <w:sz w:val="14"/>
                <w:szCs w:val="14"/>
                <w:color w:val="auto"/>
              </w:rPr>
              <w:t>13,050</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44 %</w:t>
            </w:r>
          </w:p>
        </w:tc>
      </w:tr>
      <w:tr>
        <w:trPr>
          <w:trHeight w:val="179"/>
        </w:trPr>
        <w:tc>
          <w:tcPr>
            <w:tcW w:w="490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 xml:space="preserve">Average </w:t>
            </w:r>
            <w:r>
              <w:rPr>
                <w:rFonts w:ascii="Arial" w:cs="Arial" w:eastAsia="Arial" w:hAnsi="Arial"/>
                <w:sz w:val="18"/>
                <w:szCs w:val="18"/>
                <w:color w:val="auto"/>
                <w:vertAlign w:val="superscript"/>
              </w:rPr>
              <w:t>(1)</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19,877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35,886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16,009</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81 %</w:t>
            </w:r>
          </w:p>
        </w:tc>
      </w:tr>
      <w:tr>
        <w:trPr>
          <w:trHeight w:val="179"/>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Cash management revenue</w:t>
            </w:r>
          </w:p>
        </w:tc>
        <w:tc>
          <w:tcPr>
            <w:tcW w:w="1240" w:type="dxa"/>
            <w:vAlign w:val="bottom"/>
          </w:tcPr>
          <w:p>
            <w:pPr>
              <w:jc w:val="right"/>
              <w:ind w:right="114"/>
              <w:spacing w:after="0"/>
              <w:rPr>
                <w:sz w:val="20"/>
                <w:szCs w:val="20"/>
                <w:color w:val="auto"/>
              </w:rPr>
            </w:pPr>
            <w:r>
              <w:rPr>
                <w:rFonts w:ascii="Arial" w:cs="Arial" w:eastAsia="Arial" w:hAnsi="Arial"/>
                <w:sz w:val="14"/>
                <w:szCs w:val="14"/>
                <w:color w:val="auto"/>
              </w:rPr>
              <w:t>154.8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Arial" w:cs="Arial" w:eastAsia="Arial" w:hAnsi="Arial"/>
                <w:sz w:val="14"/>
                <w:szCs w:val="14"/>
                <w:color w:val="auto"/>
              </w:rPr>
              <w:t>230.9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32"/>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179"/>
        </w:trPr>
        <w:tc>
          <w:tcPr>
            <w:tcW w:w="490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 xml:space="preserve">Annualized cash management fee rate </w:t>
            </w:r>
            <w:r>
              <w:rPr>
                <w:rFonts w:ascii="Arial" w:cs="Arial" w:eastAsia="Arial" w:hAnsi="Arial"/>
                <w:sz w:val="18"/>
                <w:szCs w:val="18"/>
                <w:color w:val="auto"/>
                <w:vertAlign w:val="superscript"/>
              </w:rPr>
              <w:t>(2)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tabs>
          <w:tab w:leader="none" w:pos="2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Annualized cash management fee rate is calculated by annualizing revenue for the given period and dividing by the applicable average asset balance.</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Cash management revenue increased by $76.1 million, or 49%, for the fiscal year ended January 31, 2025, compared to the prior year. The significant increase in cash management revenue was primarily attributable to an 81% increase, year over year, in the average balance of cash management assets and net deposits of $13.0 billion in the fiscal year ended January 31, 2025. In November 2023, we increased the APY our clients receive on their program deposits without an associated increase in the benchmark. As a result, the annualized cash management fee rate received for the delivery of cash management services declined by 17% in the fiscal year ended January 31, 2025, compared to the prior year. See the section titled “—Components of Operations—Revenue”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17621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70" w:lineRule="exact"/>
        <w:rPr>
          <w:sz w:val="20"/>
          <w:szCs w:val="20"/>
          <w:color w:val="auto"/>
        </w:rPr>
      </w:pPr>
    </w:p>
    <w:p>
      <w:pPr>
        <w:ind w:left="140" w:hanging="136"/>
        <w:spacing w:after="0"/>
        <w:tabs>
          <w:tab w:leader="none" w:pos="14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Wealthfront accrues and/or recognizes cash management revenue on a daily basis. The chart shows resulting averages for the periods presented.</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91" w:lineRule="exact"/>
        <w:rPr>
          <w:rFonts w:ascii="Arial" w:cs="Arial" w:eastAsia="Arial" w:hAnsi="Arial"/>
          <w:sz w:val="16"/>
          <w:szCs w:val="16"/>
          <w:color w:val="auto"/>
          <w:vertAlign w:val="superscript"/>
        </w:rPr>
      </w:pPr>
    </w:p>
    <w:p>
      <w:pPr>
        <w:ind w:left="5520"/>
        <w:spacing w:after="0"/>
        <w:rPr>
          <w:rFonts w:ascii="Arial" w:cs="Arial" w:eastAsia="Arial" w:hAnsi="Arial"/>
          <w:sz w:val="16"/>
          <w:szCs w:val="16"/>
          <w:color w:val="auto"/>
          <w:vertAlign w:val="superscript"/>
        </w:rPr>
      </w:pPr>
      <w:r>
        <w:rPr>
          <w:rFonts w:ascii="Arial" w:cs="Arial" w:eastAsia="Arial" w:hAnsi="Arial"/>
          <w:sz w:val="14"/>
          <w:szCs w:val="14"/>
          <w:color w:val="auto"/>
        </w:rPr>
        <w:t>130</w:t>
      </w:r>
    </w:p>
    <w:p>
      <w:pPr>
        <w:sectPr>
          <w:pgSz w:w="11900" w:h="16838" w:orient="portrait"/>
          <w:cols w:equalWidth="0" w:num="1">
            <w:col w:w="11280"/>
          </w:cols>
          <w:pgMar w:left="300" w:top="209"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r>
        <w:rPr>
          <w:rFonts w:ascii="Arial" w:cs="Arial" w:eastAsia="Arial" w:hAnsi="Arial"/>
          <w:sz w:val="18"/>
          <w:szCs w:val="18"/>
          <w:i w:val="1"/>
          <w:iCs w:val="1"/>
          <w:color w:val="auto"/>
          <w:vertAlign w:val="superscript"/>
        </w:rPr>
        <w:t>25</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7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1"/>
                <w:szCs w:val="11"/>
                <w:b w:val="1"/>
                <w:bCs w:val="1"/>
                <w:color w:val="auto"/>
              </w:rPr>
              <w:t>Fiscal Year Ended January 31,</w:t>
            </w: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millions, except annualized rate and percentages)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92"/>
              <w:spacing w:after="0"/>
              <w:rPr>
                <w:sz w:val="20"/>
                <w:szCs w:val="20"/>
                <w:color w:val="auto"/>
              </w:rPr>
            </w:pPr>
            <w:r>
              <w:rPr>
                <w:rFonts w:ascii="Arial" w:cs="Arial" w:eastAsia="Arial" w:hAnsi="Arial"/>
                <w:sz w:val="11"/>
                <w:szCs w:val="11"/>
                <w:b w:val="1"/>
                <w:bCs w:val="1"/>
                <w:color w:val="auto"/>
              </w:rPr>
              <w:t>Change</w:t>
            </w: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 Change</w:t>
            </w:r>
          </w:p>
        </w:tc>
      </w:tr>
      <w:tr>
        <w:trPr>
          <w:trHeight w:val="169"/>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advisory assets (off-balance sheet), beginning of the period</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24,083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28,240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4,157</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79"/>
        </w:trPr>
        <w:tc>
          <w:tcPr>
            <w:tcW w:w="4740" w:type="dxa"/>
            <w:vAlign w:val="bottom"/>
          </w:tcPr>
          <w:p>
            <w:pPr>
              <w:ind w:left="20"/>
              <w:spacing w:after="0"/>
              <w:rPr>
                <w:sz w:val="20"/>
                <w:szCs w:val="20"/>
                <w:color w:val="auto"/>
              </w:rPr>
            </w:pPr>
            <w:r>
              <w:rPr>
                <w:rFonts w:ascii="Arial" w:cs="Arial" w:eastAsia="Arial" w:hAnsi="Arial"/>
                <w:sz w:val="14"/>
                <w:szCs w:val="14"/>
                <w:color w:val="auto"/>
              </w:rPr>
              <w:t>Investment advisory assets (off-balance sheet), end of the period</w:t>
            </w:r>
          </w:p>
        </w:tc>
        <w:tc>
          <w:tcPr>
            <w:tcW w:w="380" w:type="dxa"/>
            <w:vAlign w:val="bottom"/>
          </w:tcPr>
          <w:p>
            <w:pPr>
              <w:spacing w:after="0"/>
              <w:rPr>
                <w:sz w:val="15"/>
                <w:szCs w:val="15"/>
                <w:color w:val="auto"/>
              </w:rPr>
            </w:pPr>
          </w:p>
        </w:tc>
        <w:tc>
          <w:tcPr>
            <w:tcW w:w="1200" w:type="dxa"/>
            <w:vAlign w:val="bottom"/>
          </w:tcPr>
          <w:p>
            <w:pPr>
              <w:jc w:val="right"/>
              <w:ind w:right="134"/>
              <w:spacing w:after="0"/>
              <w:rPr>
                <w:sz w:val="20"/>
                <w:szCs w:val="20"/>
                <w:color w:val="auto"/>
              </w:rPr>
            </w:pPr>
            <w:r>
              <w:rPr>
                <w:rFonts w:ascii="Arial" w:cs="Arial" w:eastAsia="Arial" w:hAnsi="Arial"/>
                <w:sz w:val="14"/>
                <w:szCs w:val="14"/>
                <w:color w:val="auto"/>
              </w:rPr>
              <w:t>28,240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37,764</w:t>
            </w:r>
          </w:p>
        </w:tc>
        <w:tc>
          <w:tcPr>
            <w:tcW w:w="440" w:type="dxa"/>
            <w:vAlign w:val="bottom"/>
          </w:tcPr>
          <w:p>
            <w:pPr>
              <w:spacing w:after="0"/>
              <w:rPr>
                <w:sz w:val="15"/>
                <w:szCs w:val="15"/>
                <w:color w:val="auto"/>
              </w:rPr>
            </w:pPr>
          </w:p>
        </w:tc>
        <w:tc>
          <w:tcPr>
            <w:tcW w:w="1520" w:type="dxa"/>
            <w:vAlign w:val="bottom"/>
          </w:tcPr>
          <w:p>
            <w:pPr>
              <w:jc w:val="right"/>
              <w:ind w:right="412"/>
              <w:spacing w:after="0"/>
              <w:rPr>
                <w:sz w:val="20"/>
                <w:szCs w:val="20"/>
                <w:color w:val="auto"/>
              </w:rPr>
            </w:pPr>
            <w:r>
              <w:rPr>
                <w:rFonts w:ascii="Arial" w:cs="Arial" w:eastAsia="Arial" w:hAnsi="Arial"/>
                <w:sz w:val="14"/>
                <w:szCs w:val="14"/>
                <w:color w:val="auto"/>
              </w:rPr>
              <w:t>9,524</w:t>
            </w:r>
          </w:p>
        </w:tc>
        <w:tc>
          <w:tcPr>
            <w:tcW w:w="1360" w:type="dxa"/>
            <w:vAlign w:val="bottom"/>
          </w:tcPr>
          <w:p>
            <w:pPr>
              <w:jc w:val="right"/>
              <w:spacing w:after="0"/>
              <w:rPr>
                <w:sz w:val="20"/>
                <w:szCs w:val="20"/>
                <w:color w:val="auto"/>
              </w:rPr>
            </w:pPr>
            <w:r>
              <w:rPr>
                <w:rFonts w:ascii="Arial" w:cs="Arial" w:eastAsia="Arial" w:hAnsi="Arial"/>
                <w:sz w:val="14"/>
                <w:szCs w:val="14"/>
                <w:color w:val="auto"/>
              </w:rPr>
              <w:t>34 %</w:t>
            </w:r>
          </w:p>
        </w:tc>
      </w:tr>
      <w:tr>
        <w:trPr>
          <w:trHeight w:val="179"/>
        </w:trPr>
        <w:tc>
          <w:tcPr>
            <w:tcW w:w="4740" w:type="dxa"/>
            <w:vAlign w:val="bottom"/>
            <w:shd w:val="clear" w:color="auto" w:fill="CCEEFF"/>
          </w:tcPr>
          <w:p>
            <w:pPr>
              <w:ind w:left="20"/>
              <w:spacing w:after="0" w:line="179"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26,162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33,002</w:t>
            </w:r>
          </w:p>
        </w:tc>
        <w:tc>
          <w:tcPr>
            <w:tcW w:w="4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6,840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179"/>
        </w:trPr>
        <w:tc>
          <w:tcPr>
            <w:tcW w:w="4740" w:type="dxa"/>
            <w:vAlign w:val="bottom"/>
          </w:tcPr>
          <w:p>
            <w:pPr>
              <w:ind w:left="20"/>
              <w:spacing w:after="0"/>
              <w:rPr>
                <w:sz w:val="20"/>
                <w:szCs w:val="20"/>
                <w:color w:val="auto"/>
              </w:rPr>
            </w:pPr>
            <w:r>
              <w:rPr>
                <w:rFonts w:ascii="Arial" w:cs="Arial" w:eastAsia="Arial" w:hAnsi="Arial"/>
                <w:sz w:val="14"/>
                <w:szCs w:val="14"/>
                <w:color w:val="auto"/>
              </w:rPr>
              <w:t>Investment advisory revenue</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4"/>
              <w:spacing w:after="0"/>
              <w:rPr>
                <w:sz w:val="20"/>
                <w:szCs w:val="20"/>
                <w:color w:val="auto"/>
              </w:rPr>
            </w:pPr>
            <w:r>
              <w:rPr>
                <w:rFonts w:ascii="Arial" w:cs="Arial" w:eastAsia="Arial" w:hAnsi="Arial"/>
                <w:sz w:val="14"/>
                <w:szCs w:val="14"/>
                <w:color w:val="auto"/>
              </w:rPr>
              <w:t>56.1</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73.0</w:t>
            </w:r>
          </w:p>
        </w:tc>
        <w:tc>
          <w:tcPr>
            <w:tcW w:w="4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12"/>
              <w:spacing w:after="0"/>
              <w:rPr>
                <w:sz w:val="20"/>
                <w:szCs w:val="20"/>
                <w:color w:val="auto"/>
              </w:rPr>
            </w:pPr>
            <w:r>
              <w:rPr>
                <w:rFonts w:ascii="Arial" w:cs="Arial" w:eastAsia="Arial" w:hAnsi="Arial"/>
                <w:sz w:val="14"/>
                <w:szCs w:val="14"/>
                <w:color w:val="auto"/>
              </w:rPr>
              <w:t>17.0</w:t>
            </w:r>
          </w:p>
        </w:tc>
        <w:tc>
          <w:tcPr>
            <w:tcW w:w="136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179"/>
        </w:trPr>
        <w:tc>
          <w:tcPr>
            <w:tcW w:w="4740" w:type="dxa"/>
            <w:vAlign w:val="bottom"/>
            <w:shd w:val="clear" w:color="auto" w:fill="CCEEFF"/>
          </w:tcPr>
          <w:p>
            <w:pPr>
              <w:ind w:left="20"/>
              <w:spacing w:after="0" w:line="179" w:lineRule="exact"/>
              <w:rPr>
                <w:sz w:val="20"/>
                <w:szCs w:val="20"/>
                <w:color w:val="auto"/>
              </w:rPr>
            </w:pPr>
            <w:r>
              <w:rPr>
                <w:rFonts w:ascii="Arial" w:cs="Arial" w:eastAsia="Arial" w:hAnsi="Arial"/>
                <w:sz w:val="14"/>
                <w:szCs w:val="14"/>
                <w:color w:val="auto"/>
              </w:rPr>
              <w:t xml:space="preserve">Annualized investment advisory fee rate </w:t>
            </w:r>
            <w:r>
              <w:rPr>
                <w:rFonts w:ascii="Arial" w:cs="Arial" w:eastAsia="Arial" w:hAnsi="Arial"/>
                <w:sz w:val="18"/>
                <w:szCs w:val="18"/>
                <w:color w:val="auto"/>
                <w:vertAlign w:val="superscript"/>
              </w:rPr>
              <w:t>(2)</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0.22 %</w:t>
            </w:r>
          </w:p>
        </w:tc>
        <w:tc>
          <w:tcPr>
            <w:tcW w:w="4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0.01 %</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7" w:lineRule="exact"/>
        <w:rPr>
          <w:sz w:val="20"/>
          <w:szCs w:val="20"/>
          <w:color w:val="auto"/>
        </w:rPr>
      </w:pPr>
    </w:p>
    <w:p>
      <w:pPr>
        <w:ind w:left="260" w:hanging="256"/>
        <w:spacing w:after="0"/>
        <w:tabs>
          <w:tab w:leader="none" w:pos="2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ind w:left="260" w:hanging="256"/>
        <w:spacing w:after="0"/>
        <w:tabs>
          <w:tab w:leader="none" w:pos="2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Annualized investment advisory fee rate.</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Investment advisory revenue increased by $17.0 million, or 30%, for the fiscal year ended January 31, 2025, compared to the prior year. The increase in investment advisory revenue was primarily driven by a 26% increase in the average balance of investment advisory assets and the introduction of new investment advisory products. The annualized investment advisory fee rate increased by 3% in the fiscal year ended January 31, 2025, compared to the prior year.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Other revenue decreased by approximately $1.0 million, or 16%, for the fiscal year ended January 31, 2025, compared to the prior year. The decline in other revenue was primarily due to the decline in net interest margin revenue. A strategic decision was made in June 2024 to reduce the client borrowing rate for PLOC. This decision, unrelated to the interest rate environment, resulted in a decline in net interest margin revenue for the fiscal year ended January 31, 2025, compared to the prior year.</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the fiscal years ended January 31, 2024 and 2025, the average margin lending rates ranged from 7.33% to 8.94% and 5.41% to 8.20%, respectively, while the funding costs incurred under our lending arrangement with RBC Clearing &amp; Custody ranged from 5.59% to 6.99% and 5.41% to 6.42%, respectively. New loan originations totaled $212.2 million for the fiscal year ended January 31, 2025, compared to $111.8 million for the prior year, with repayments totaling $169.1 million for the fiscal year ended January 31, 2025, compared to $165.9 million for the prior year. There were no loan write-offs for either year.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Costs and Operating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00" w:type="dxa"/>
            <w:vAlign w:val="bottom"/>
            <w:gridSpan w:val="5"/>
          </w:tcPr>
          <w:p>
            <w:pPr>
              <w:ind w:left="420"/>
              <w:spacing w:after="0"/>
              <w:rPr>
                <w:sz w:val="20"/>
                <w:szCs w:val="20"/>
                <w:color w:val="auto"/>
              </w:rPr>
            </w:pPr>
            <w:r>
              <w:rPr>
                <w:rFonts w:ascii="Arial" w:cs="Arial" w:eastAsia="Arial" w:hAnsi="Arial"/>
                <w:sz w:val="11"/>
                <w:szCs w:val="11"/>
                <w:b w:val="1"/>
                <w:bCs w:val="1"/>
                <w:color w:val="auto"/>
              </w:rPr>
              <w:t>Fiscal Year Ended January 31,</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48"/>
        </w:trPr>
        <w:tc>
          <w:tcPr>
            <w:tcW w:w="468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2"/>
              <w:spacing w:after="0"/>
              <w:rPr>
                <w:sz w:val="20"/>
                <w:szCs w:val="20"/>
                <w:color w:val="auto"/>
              </w:rPr>
            </w:pPr>
            <w:r>
              <w:rPr>
                <w:rFonts w:ascii="Arial" w:cs="Arial" w:eastAsia="Arial" w:hAnsi="Arial"/>
                <w:sz w:val="11"/>
                <w:szCs w:val="11"/>
                <w:b w:val="1"/>
                <w:bCs w:val="1"/>
                <w:color w:val="auto"/>
              </w:rPr>
              <w:t>% Change</w:t>
            </w:r>
          </w:p>
        </w:tc>
      </w:tr>
      <w:tr>
        <w:trPr>
          <w:trHeight w:val="16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22,898</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35 %</w:t>
            </w:r>
          </w:p>
        </w:tc>
      </w:tr>
      <w:tr>
        <w:trPr>
          <w:trHeight w:val="179"/>
        </w:trPr>
        <w:tc>
          <w:tcPr>
            <w:tcW w:w="468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57,558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64,515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6,957</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7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5,326</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79"/>
        </w:trPr>
        <w:tc>
          <w:tcPr>
            <w:tcW w:w="4680" w:type="dxa"/>
            <w:vAlign w:val="bottom"/>
          </w:tcPr>
          <w:p>
            <w:pPr>
              <w:ind w:left="20"/>
              <w:spacing w:after="0"/>
              <w:rPr>
                <w:sz w:val="20"/>
                <w:szCs w:val="20"/>
                <w:color w:val="auto"/>
              </w:rPr>
            </w:pPr>
            <w:r>
              <w:rPr>
                <w:rFonts w:ascii="Arial" w:cs="Arial" w:eastAsia="Arial" w:hAnsi="Arial"/>
                <w:sz w:val="14"/>
                <w:szCs w:val="14"/>
                <w:color w:val="auto"/>
              </w:rPr>
              <w:t>Marketing</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21,150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52,196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31,046</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147 %</w:t>
            </w:r>
          </w:p>
        </w:tc>
      </w:tr>
      <w:tr>
        <w:trPr>
          <w:trHeight w:val="17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 and support</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69"/>
        </w:trPr>
        <w:tc>
          <w:tcPr>
            <w:tcW w:w="4680" w:type="dxa"/>
            <w:vAlign w:val="bottom"/>
          </w:tcPr>
          <w:p>
            <w:pPr>
              <w:ind w:left="20"/>
              <w:spacing w:after="0"/>
              <w:rPr>
                <w:sz w:val="20"/>
                <w:szCs w:val="20"/>
                <w:color w:val="auto"/>
              </w:rPr>
            </w:pPr>
            <w:r>
              <w:rPr>
                <w:rFonts w:ascii="Arial" w:cs="Arial" w:eastAsia="Arial" w:hAnsi="Arial"/>
                <w:sz w:val="14"/>
                <w:szCs w:val="14"/>
                <w:color w:val="auto"/>
              </w:rPr>
              <w:t>Total costs and operating expenses</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135,139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187,386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52,247</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17621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246" w:lineRule="exact"/>
        <w:rPr>
          <w:sz w:val="20"/>
          <w:szCs w:val="20"/>
          <w:color w:val="auto"/>
        </w:rPr>
      </w:pPr>
    </w:p>
    <w:p>
      <w:pPr>
        <w:ind w:left="140" w:hanging="136"/>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Wealthfront accrues and/or recognizes investment advisory revenue on a daily basis. The chart shows resulting averages for the periods presented.</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91" w:lineRule="exact"/>
        <w:rPr>
          <w:rFonts w:ascii="Arial" w:cs="Arial" w:eastAsia="Arial" w:hAnsi="Arial"/>
          <w:sz w:val="16"/>
          <w:szCs w:val="16"/>
          <w:color w:val="auto"/>
          <w:vertAlign w:val="superscript"/>
        </w:rPr>
      </w:pPr>
    </w:p>
    <w:p>
      <w:pPr>
        <w:ind w:left="5520"/>
        <w:spacing w:after="0"/>
        <w:rPr>
          <w:rFonts w:ascii="Arial" w:cs="Arial" w:eastAsia="Arial" w:hAnsi="Arial"/>
          <w:sz w:val="16"/>
          <w:szCs w:val="16"/>
          <w:color w:val="auto"/>
          <w:vertAlign w:val="superscript"/>
        </w:rPr>
      </w:pPr>
      <w:r>
        <w:rPr>
          <w:rFonts w:ascii="Arial" w:cs="Arial" w:eastAsia="Arial" w:hAnsi="Arial"/>
          <w:sz w:val="14"/>
          <w:szCs w:val="14"/>
          <w:color w:val="auto"/>
        </w:rPr>
        <w:t>131</w:t>
      </w:r>
    </w:p>
    <w:p>
      <w:pPr>
        <w:sectPr>
          <w:pgSz w:w="11900" w:h="16838" w:orient="portrait"/>
          <w:cols w:equalWidth="0" w:num="1">
            <w:col w:w="11280"/>
          </w:cols>
          <w:pgMar w:left="300" w:top="209" w:right="3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Cost of revenue increased by $8.1 million, or 35%, for the fiscal year ended January 31, 2025, compared to the prior year. The increase was primarily due to:</w:t>
      </w:r>
    </w:p>
    <w:p>
      <w:pPr>
        <w:spacing w:after="0" w:line="133" w:lineRule="exact"/>
        <w:rPr>
          <w:sz w:val="20"/>
          <w:szCs w:val="20"/>
          <w:color w:val="auto"/>
        </w:rPr>
      </w:pPr>
    </w:p>
    <w:p>
      <w:pPr>
        <w:jc w:val="both"/>
        <w:ind w:left="500" w:hanging="244"/>
        <w:spacing w:after="0" w:line="268" w:lineRule="auto"/>
        <w:tabs>
          <w:tab w:leader="none" w:pos="496"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 increase of $5.2 million in cash management costs to $15.2 million for the fiscal year ended January 31, 2025, driven largely by an increase of $4.7 million in the amount paid to a third party for the administration of our cash sweep program, compared to $10.0 million for the prior year. The increase in cash management costs was primarily due to increased cash assets held by clients in the cash sweep program;</w:t>
      </w:r>
    </w:p>
    <w:p>
      <w:pPr>
        <w:spacing w:after="0" w:line="91" w:lineRule="exact"/>
        <w:rPr>
          <w:rFonts w:ascii="Arial" w:cs="Arial" w:eastAsia="Arial" w:hAnsi="Arial"/>
          <w:sz w:val="14"/>
          <w:szCs w:val="14"/>
          <w:color w:val="auto"/>
        </w:rPr>
      </w:pPr>
    </w:p>
    <w:p>
      <w:pPr>
        <w:jc w:val="both"/>
        <w:ind w:left="500" w:hanging="244"/>
        <w:spacing w:after="0" w:line="262" w:lineRule="auto"/>
        <w:tabs>
          <w:tab w:leader="none" w:pos="496"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 increase of $2.0 million in brokerage platform fees to $7.7 million for the fiscal year ended January 31, 2025, driven largely by an increase of $0.8 million of money movement fees, $0.4 million of IRA custodial and tax reporting fees, $0.3 million of clearing and execution fees, $0.3 million of client identification program costs, and $0.2 million of regulatory fees, compared to $5.7 million for the prior year. The increases in brokerage platform costs were primarily due to an increase in clients, accounts and money movement volumes; and</w:t>
      </w:r>
    </w:p>
    <w:p>
      <w:pPr>
        <w:spacing w:after="0" w:line="95"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 increase of $0.8 million in other cost of revenue to $8.0 million for the fiscal year ended January 31, 2025, compared to $7.2 million for the prior year due primarily to increased data costs and amortization of internally developed software.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“Components of Operations—Costs and Operating Expenses”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Product development expenses increased by $7.0 million, or 12%, for the fiscal year ended January 31, 2025, compared to the prior year. The increase was primarily due to an increase of $6.3 million in personnel-related expenses due to increased headcount, which reflected a $1.4 million decrease in stock-based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General and administrative expenses increased by $5.3 million, or 22%, for the fiscal year ended January 31, 2025, compared to the prior year. The increase was primarily due to an increase of $4.0 million in professional fees.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00" w:type="dxa"/>
            <w:vAlign w:val="bottom"/>
            <w:gridSpan w:val="5"/>
          </w:tcPr>
          <w:p>
            <w:pPr>
              <w:ind w:left="420"/>
              <w:spacing w:after="0"/>
              <w:rPr>
                <w:sz w:val="20"/>
                <w:szCs w:val="20"/>
                <w:color w:val="auto"/>
              </w:rPr>
            </w:pPr>
            <w:r>
              <w:rPr>
                <w:rFonts w:ascii="Arial" w:cs="Arial" w:eastAsia="Arial" w:hAnsi="Arial"/>
                <w:sz w:val="11"/>
                <w:szCs w:val="11"/>
                <w:b w:val="1"/>
                <w:bCs w:val="1"/>
                <w:color w:val="auto"/>
              </w:rPr>
              <w:t>Fiscal Year Ended January 31,</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48"/>
        </w:trPr>
        <w:tc>
          <w:tcPr>
            <w:tcW w:w="468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2"/>
              <w:spacing w:after="0"/>
              <w:rPr>
                <w:sz w:val="20"/>
                <w:szCs w:val="20"/>
                <w:color w:val="auto"/>
              </w:rPr>
            </w:pPr>
            <w:r>
              <w:rPr>
                <w:rFonts w:ascii="Arial" w:cs="Arial" w:eastAsia="Arial" w:hAnsi="Arial"/>
                <w:sz w:val="11"/>
                <w:szCs w:val="11"/>
                <w:b w:val="1"/>
                <w:bCs w:val="1"/>
                <w:color w:val="auto"/>
              </w:rPr>
              <w:t>% Change</w:t>
            </w:r>
          </w:p>
        </w:tc>
      </w:tr>
      <w:tr>
        <w:trPr>
          <w:trHeight w:val="16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Performance and brand advertising</w:t>
            </w: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6,987</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23,966</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343 %</w:t>
            </w:r>
          </w:p>
        </w:tc>
      </w:tr>
      <w:tr>
        <w:trPr>
          <w:trHeight w:val="179"/>
        </w:trPr>
        <w:tc>
          <w:tcPr>
            <w:tcW w:w="4680" w:type="dxa"/>
            <w:vAlign w:val="bottom"/>
          </w:tcPr>
          <w:p>
            <w:pPr>
              <w:ind w:left="20"/>
              <w:spacing w:after="0"/>
              <w:rPr>
                <w:sz w:val="20"/>
                <w:szCs w:val="20"/>
                <w:color w:val="auto"/>
              </w:rPr>
            </w:pPr>
            <w:r>
              <w:rPr>
                <w:rFonts w:ascii="Arial" w:cs="Arial" w:eastAsia="Arial" w:hAnsi="Arial"/>
                <w:sz w:val="14"/>
                <w:szCs w:val="14"/>
                <w:color w:val="auto"/>
              </w:rPr>
              <w:t>Client referral costs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3,311</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17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Personnel-related costs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79"/>
        </w:trPr>
        <w:tc>
          <w:tcPr>
            <w:tcW w:w="4680" w:type="dxa"/>
            <w:vAlign w:val="bottom"/>
          </w:tcPr>
          <w:p>
            <w:pPr>
              <w:ind w:left="20"/>
              <w:spacing w:after="0"/>
              <w:rPr>
                <w:sz w:val="20"/>
                <w:szCs w:val="20"/>
                <w:color w:val="auto"/>
              </w:rPr>
            </w:pPr>
            <w:r>
              <w:rPr>
                <w:rFonts w:ascii="Arial" w:cs="Arial" w:eastAsia="Arial" w:hAnsi="Arial"/>
                <w:sz w:val="14"/>
                <w:szCs w:val="14"/>
                <w:color w:val="auto"/>
              </w:rPr>
              <w:t>Other marketing</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2,874</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386 %</w:t>
            </w:r>
          </w:p>
        </w:tc>
      </w:tr>
      <w:tr>
        <w:trPr>
          <w:trHeight w:val="17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overhead</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169"/>
        </w:trPr>
        <w:tc>
          <w:tcPr>
            <w:tcW w:w="4680" w:type="dxa"/>
            <w:vAlign w:val="bottom"/>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21,150</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52,196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31,046</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147 %</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Marketing expenses increased by $31.0 million, or 147%, for the fiscal year ended January 31, 2025, compared to the prior year. The increase was primarily due to an increase of $27.3 million in advertising expenses, including performance and brand advertising, and an increase of $3.3 million in client referral expenses. Additionally, other marketing increased $2.9 million primarily due to consulting costs related to a brand awareness campaign.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80"/>
          </w:cols>
          <w:pgMar w:left="300" w:top="209" w:right="31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Operations and Support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Operations and support expenses increased by $0.9 million, or 9%, for the fiscal year ended January 31, 2025, compared to the prior year. The increase was due to an increase of $0.9 million in personnel-related expenses due to increased headcount.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ind w:left="420"/>
              <w:spacing w:after="0"/>
              <w:rPr>
                <w:sz w:val="20"/>
                <w:szCs w:val="20"/>
                <w:color w:val="auto"/>
              </w:rPr>
            </w:pPr>
            <w:r>
              <w:rPr>
                <w:rFonts w:ascii="Arial" w:cs="Arial" w:eastAsia="Arial" w:hAnsi="Arial"/>
                <w:sz w:val="11"/>
                <w:szCs w:val="11"/>
                <w:b w:val="1"/>
                <w:bCs w:val="1"/>
                <w:color w:val="auto"/>
              </w:rPr>
              <w:t>Fiscal Year Ended January 31,</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48"/>
        </w:trPr>
        <w:tc>
          <w:tcPr>
            <w:tcW w:w="47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7"/>
              <w:spacing w:after="0"/>
              <w:rPr>
                <w:sz w:val="20"/>
                <w:szCs w:val="20"/>
                <w:color w:val="auto"/>
              </w:rPr>
            </w:pPr>
            <w:r>
              <w:rPr>
                <w:rFonts w:ascii="Arial" w:cs="Arial" w:eastAsia="Arial" w:hAnsi="Arial"/>
                <w:sz w:val="11"/>
                <w:szCs w:val="11"/>
                <w:b w:val="1"/>
                <w:bCs w:val="1"/>
                <w:color w:val="auto"/>
              </w:rPr>
              <w:t>% Change</w:t>
            </w:r>
          </w:p>
        </w:tc>
      </w:tr>
      <w:tr>
        <w:trPr>
          <w:trHeight w:val="16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41 %</w:t>
            </w: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Interest expense increased by $0.8 million, or 41%, for the fiscal year ended January 31, 2025, compared to the prior year. The increase was primarily due to the increase of the interest rate for the Bridge Loan.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1"/>
                <w:szCs w:val="11"/>
                <w:b w:val="1"/>
                <w:bCs w:val="1"/>
                <w:color w:val="auto"/>
              </w:rPr>
              <w:t>Fiscal Year Ended January 31,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48"/>
        </w:trPr>
        <w:tc>
          <w:tcPr>
            <w:tcW w:w="476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100" w:type="dxa"/>
            <w:vAlign w:val="bottom"/>
          </w:tcPr>
          <w:p>
            <w:pPr>
              <w:jc w:val="right"/>
              <w:ind w:right="119"/>
              <w:spacing w:after="0"/>
              <w:rPr>
                <w:sz w:val="20"/>
                <w:szCs w:val="20"/>
                <w:color w:val="auto"/>
              </w:rPr>
            </w:pPr>
            <w:r>
              <w:rPr>
                <w:rFonts w:ascii="Arial" w:cs="Arial" w:eastAsia="Arial" w:hAnsi="Arial"/>
                <w:sz w:val="11"/>
                <w:szCs w:val="11"/>
                <w:b w:val="1"/>
                <w:bCs w:val="1"/>
                <w:color w:val="auto"/>
              </w:rPr>
              <w:t>2024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ind w:left="220"/>
              <w:spacing w:after="0"/>
              <w:rPr>
                <w:sz w:val="20"/>
                <w:szCs w:val="20"/>
                <w:color w:val="auto"/>
              </w:rPr>
            </w:pPr>
            <w:r>
              <w:rPr>
                <w:rFonts w:ascii="Arial" w:cs="Arial" w:eastAsia="Arial" w:hAnsi="Arial"/>
                <w:sz w:val="11"/>
                <w:szCs w:val="11"/>
                <w:b w:val="1"/>
                <w:bCs w:val="1"/>
                <w:color w:val="auto"/>
              </w:rPr>
              <w:t>$ Change</w:t>
            </w:r>
          </w:p>
        </w:tc>
        <w:tc>
          <w:tcPr>
            <w:tcW w:w="1560" w:type="dxa"/>
            <w:vAlign w:val="bottom"/>
          </w:tcPr>
          <w:p>
            <w:pPr>
              <w:ind w:left="520"/>
              <w:spacing w:after="0"/>
              <w:rPr>
                <w:sz w:val="20"/>
                <w:szCs w:val="20"/>
                <w:color w:val="auto"/>
              </w:rPr>
            </w:pPr>
            <w:r>
              <w:rPr>
                <w:rFonts w:ascii="Arial" w:cs="Arial" w:eastAsia="Arial" w:hAnsi="Arial"/>
                <w:sz w:val="11"/>
                <w:szCs w:val="11"/>
                <w:b w:val="1"/>
                <w:bCs w:val="1"/>
                <w:color w:val="auto"/>
              </w:rPr>
              <w:t>% Change</w:t>
            </w: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110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7"/>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(21,552)</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w w:val="91"/>
              </w:rPr>
              <w:t>NM</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expense (income), net increased by $21.6 million for the fiscal year ended January 31, 2025, compared to the prior year. The increase was primarily due to an increase of $19.4 million in fair value change in convertible note, warrant liabilities, and SAFEs, and an increase of $2.3 million in dividend income from corporate cash swept into a money market fund. For additional information regarding the fair value change for each of the convertible note, warrant liabilities, and SAFEs, refer to Note 7. — Financing Activities and Note 11. — Warrants to our consolidated financial statements included in this prospectus.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2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1"/>
                <w:szCs w:val="11"/>
                <w:b w:val="1"/>
                <w:bCs w:val="1"/>
                <w:color w:val="auto"/>
              </w:rPr>
              <w:t>Fiscal Year Ended January 31,</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48"/>
        </w:trPr>
        <w:tc>
          <w:tcPr>
            <w:tcW w:w="46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040" w:type="dxa"/>
            <w:vAlign w:val="bottom"/>
          </w:tcPr>
          <w:p>
            <w:pPr>
              <w:jc w:val="right"/>
              <w:ind w:right="19"/>
              <w:spacing w:after="0"/>
              <w:rPr>
                <w:sz w:val="20"/>
                <w:szCs w:val="20"/>
                <w:color w:val="auto"/>
              </w:rPr>
            </w:pPr>
            <w:r>
              <w:rPr>
                <w:rFonts w:ascii="Arial" w:cs="Arial" w:eastAsia="Arial" w:hAnsi="Arial"/>
                <w:sz w:val="11"/>
                <w:szCs w:val="11"/>
                <w:b w:val="1"/>
                <w:bCs w:val="1"/>
                <w:color w:val="auto"/>
              </w:rPr>
              <w:t>2024</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2025</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Arial" w:cs="Arial" w:eastAsia="Arial" w:hAnsi="Arial"/>
                <w:sz w:val="11"/>
                <w:szCs w:val="11"/>
                <w:b w:val="1"/>
                <w:bCs w:val="1"/>
                <w:color w:val="auto"/>
              </w:rPr>
              <w:t>$ Change</w:t>
            </w:r>
          </w:p>
        </w:tc>
        <w:tc>
          <w:tcPr>
            <w:tcW w:w="1540" w:type="dxa"/>
            <w:vAlign w:val="bottom"/>
          </w:tcPr>
          <w:p>
            <w:pPr>
              <w:ind w:left="500"/>
              <w:spacing w:after="0"/>
              <w:rPr>
                <w:sz w:val="20"/>
                <w:szCs w:val="20"/>
                <w:color w:val="auto"/>
              </w:rPr>
            </w:pPr>
            <w:r>
              <w:rPr>
                <w:rFonts w:ascii="Arial" w:cs="Arial" w:eastAsia="Arial" w:hAnsi="Arial"/>
                <w:sz w:val="11"/>
                <w:szCs w:val="11"/>
                <w:b w:val="1"/>
                <w:bCs w:val="1"/>
                <w:color w:val="auto"/>
              </w:rPr>
              <w:t>% Change</w:t>
            </w:r>
          </w:p>
        </w:tc>
      </w:tr>
      <w:tr>
        <w:trPr>
          <w:trHeight w:val="201"/>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04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1,623</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17"/>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99"/>
              </w:rPr>
              <w:t>(55,218)</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(56,841)</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4"/>
                <w:szCs w:val="14"/>
                <w:color w:val="auto"/>
                <w:w w:val="91"/>
              </w:rPr>
              <w:t>NM</w:t>
            </w:r>
          </w:p>
        </w:tc>
      </w:tr>
      <w:tr>
        <w:trPr>
          <w:trHeight w:val="185"/>
        </w:trPr>
        <w:tc>
          <w:tcPr>
            <w:tcW w:w="4620" w:type="dxa"/>
            <w:vAlign w:val="bottom"/>
          </w:tcPr>
          <w:p>
            <w:pPr>
              <w:ind w:left="20"/>
              <w:spacing w:after="0"/>
              <w:rPr>
                <w:sz w:val="20"/>
                <w:szCs w:val="20"/>
                <w:color w:val="auto"/>
              </w:rPr>
            </w:pPr>
            <w:r>
              <w:rPr>
                <w:rFonts w:ascii="Arial" w:cs="Arial" w:eastAsia="Arial" w:hAnsi="Arial"/>
                <w:sz w:val="14"/>
                <w:szCs w:val="14"/>
                <w:color w:val="auto"/>
              </w:rPr>
              <w:t>Effective income tax rate</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Provision for (benefit from) income taxes decreased by $56.8 million for the fiscal year ended January 31, 2025, compared to the prior year, primarily due to the release of the $80.2 million valuation allowance on our U.S. federal and state deferred tax assets, leading to a decrease of $43.3 million in deferred federal tax expense and a decrease of $16.9 million in deferred state tax expense. For additional information, refer to Note 14. — Income Taxes to our consolidated financial statements included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80"/>
          </w:cols>
          <w:pgMar w:left="300" w:top="209" w:right="31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Quarterly Results of Operations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following table sets forth our unaudited quarterly condensed consolidated statements of operations data for each of the quarters presented. The unaudited quarterly statements of operations data have been prepared on the same basis as our audited consolidated financial statements included elsewhere in this prospectus and include all adjustments and reflect, in our opinion, all adjustments of a normal, recurring nature that are necessary for the fair statement of the results of operations for these periods. Our historical results are not necessarily indicative of the results that may be expected in the future. The results of a particular quarter or other interim period are not necessarily indicative of the results for a full fiscal year or any other period. The following unaudited quarterly condensed consolidated results of operations should be read in conjunction with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80"/>
          </w:cols>
          <w:pgMar w:left="300" w:top="209" w:right="31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40" w:type="dxa"/>
            <w:vAlign w:val="bottom"/>
            <w:vMerge w:val="restart"/>
          </w:tcPr>
          <w:p>
            <w:pPr>
              <w:ind w:left="20"/>
              <w:spacing w:after="0"/>
              <w:rPr>
                <w:sz w:val="20"/>
                <w:szCs w:val="20"/>
                <w:color w:val="auto"/>
              </w:rPr>
            </w:pPr>
            <w:r>
              <w:rPr>
                <w:rFonts w:ascii="Arial" w:cs="Arial" w:eastAsia="Arial" w:hAnsi="Arial"/>
                <w:sz w:val="10"/>
                <w:szCs w:val="10"/>
                <w:b w:val="1"/>
                <w:bCs w:val="1"/>
                <w:i w:val="1"/>
                <w:iCs w:val="1"/>
                <w:color w:val="auto"/>
              </w:rPr>
              <w:t>(in thousands, except percentages)</w:t>
            </w: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April 30, 2023</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July 31, 2023</w:t>
            </w:r>
          </w:p>
        </w:tc>
        <w:tc>
          <w:tcPr>
            <w:tcW w:w="1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October 31,</w:t>
            </w:r>
          </w:p>
        </w:tc>
        <w:tc>
          <w:tcPr>
            <w:tcW w:w="1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January 31,</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April 30, 2024</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July 31, 2024</w:t>
            </w:r>
          </w:p>
        </w:tc>
        <w:tc>
          <w:tcPr>
            <w:tcW w:w="1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October 31,</w:t>
            </w:r>
          </w:p>
        </w:tc>
        <w:tc>
          <w:tcPr>
            <w:tcW w:w="1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January 31,</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April 30, 2025</w:t>
            </w:r>
          </w:p>
        </w:tc>
        <w:tc>
          <w:tcPr>
            <w:tcW w:w="80" w:type="dxa"/>
            <w:vAlign w:val="bottom"/>
          </w:tcPr>
          <w:p>
            <w:pPr>
              <w:spacing w:after="0"/>
              <w:rPr>
                <w:sz w:val="10"/>
                <w:szCs w:val="10"/>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0"/>
                <w:szCs w:val="10"/>
                <w:b w:val="1"/>
                <w:bCs w:val="1"/>
                <w:color w:val="auto"/>
                <w:w w:val="97"/>
              </w:rPr>
              <w:t>July 31, 2025</w:t>
            </w:r>
          </w:p>
        </w:tc>
        <w:tc>
          <w:tcPr>
            <w:tcW w:w="0" w:type="dxa"/>
            <w:vAlign w:val="bottom"/>
          </w:tcPr>
          <w:p>
            <w:pPr>
              <w:spacing w:after="0"/>
              <w:rPr>
                <w:sz w:val="1"/>
                <w:szCs w:val="1"/>
                <w:color w:val="auto"/>
              </w:rPr>
            </w:pPr>
          </w:p>
        </w:tc>
      </w:tr>
      <w:tr>
        <w:trPr>
          <w:trHeight w:val="144"/>
        </w:trPr>
        <w:tc>
          <w:tcPr>
            <w:tcW w:w="2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0"/>
                <w:szCs w:val="10"/>
                <w:b w:val="1"/>
                <w:bCs w:val="1"/>
                <w:color w:val="auto"/>
              </w:rPr>
              <w:t>2023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0"/>
                <w:szCs w:val="10"/>
                <w:b w:val="1"/>
                <w:bCs w:val="1"/>
                <w:color w:val="auto"/>
              </w:rPr>
              <w:t>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0"/>
                <w:szCs w:val="10"/>
                <w:b w:val="1"/>
                <w:bCs w:val="1"/>
                <w:color w:val="auto"/>
              </w:rPr>
              <w:t>2024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40" w:type="dxa"/>
            <w:vAlign w:val="bottom"/>
          </w:tcPr>
          <w:p>
            <w:pPr>
              <w:ind w:left="180"/>
              <w:spacing w:after="0"/>
              <w:rPr>
                <w:sz w:val="20"/>
                <w:szCs w:val="20"/>
                <w:color w:val="auto"/>
              </w:rPr>
            </w:pPr>
            <w:r>
              <w:rPr>
                <w:rFonts w:ascii="Arial" w:cs="Arial" w:eastAsia="Arial" w:hAnsi="Arial"/>
                <w:sz w:val="11"/>
                <w:szCs w:val="11"/>
                <w:color w:val="auto"/>
              </w:rPr>
              <w:t>Cash management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25,388</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38,379</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47,413</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43,620</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50,402</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58,331</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60,157</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62,056</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64,266</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68,873</w:t>
            </w:r>
          </w:p>
        </w:tc>
        <w:tc>
          <w:tcPr>
            <w:tcW w:w="0" w:type="dxa"/>
            <w:vAlign w:val="bottom"/>
          </w:tcPr>
          <w:p>
            <w:pPr>
              <w:spacing w:after="0"/>
              <w:rPr>
                <w:sz w:val="1"/>
                <w:szCs w:val="1"/>
                <w:color w:val="auto"/>
              </w:rPr>
            </w:pPr>
          </w:p>
        </w:tc>
      </w:tr>
      <w:tr>
        <w:trPr>
          <w:trHeight w:val="161"/>
        </w:trPr>
        <w:tc>
          <w:tcPr>
            <w:tcW w:w="29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Investment advisory</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12,761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13,951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14,189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15,194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16,383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17,889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19,141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19,632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19,874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22,040</w:t>
            </w:r>
          </w:p>
        </w:tc>
        <w:tc>
          <w:tcPr>
            <w:tcW w:w="0" w:type="dxa"/>
            <w:vAlign w:val="bottom"/>
          </w:tcPr>
          <w:p>
            <w:pPr>
              <w:spacing w:after="0"/>
              <w:rPr>
                <w:sz w:val="1"/>
                <w:szCs w:val="1"/>
                <w:color w:val="auto"/>
              </w:rPr>
            </w:pPr>
          </w:p>
        </w:tc>
      </w:tr>
      <w:tr>
        <w:trPr>
          <w:trHeight w:val="155"/>
        </w:trPr>
        <w:tc>
          <w:tcPr>
            <w:tcW w:w="29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revenue</w:t>
            </w: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1,649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1,492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1,266</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1,412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1,535</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1,330</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1,011</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w:t>
            </w:r>
          </w:p>
        </w:tc>
        <w:tc>
          <w:tcPr>
            <w:tcW w:w="0" w:type="dxa"/>
            <w:vAlign w:val="bottom"/>
          </w:tcPr>
          <w:p>
            <w:pPr>
              <w:spacing w:after="0"/>
              <w:rPr>
                <w:sz w:val="1"/>
                <w:szCs w:val="1"/>
                <w:color w:val="auto"/>
              </w:rPr>
            </w:pPr>
          </w:p>
        </w:tc>
      </w:tr>
      <w:tr>
        <w:trPr>
          <w:trHeight w:val="141"/>
        </w:trPr>
        <w:tc>
          <w:tcPr>
            <w:tcW w:w="29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revenue</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39,798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53,822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62,868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60,226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77,550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82,680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84,514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91,123</w:t>
            </w:r>
          </w:p>
        </w:tc>
        <w:tc>
          <w:tcPr>
            <w:tcW w:w="0" w:type="dxa"/>
            <w:vAlign w:val="bottom"/>
          </w:tcPr>
          <w:p>
            <w:pPr>
              <w:spacing w:after="0"/>
              <w:rPr>
                <w:sz w:val="1"/>
                <w:szCs w:val="1"/>
                <w:color w:val="auto"/>
              </w:rPr>
            </w:pPr>
          </w:p>
        </w:tc>
      </w:tr>
      <w:tr>
        <w:trPr>
          <w:trHeight w:val="155"/>
        </w:trPr>
        <w:tc>
          <w:tcPr>
            <w:tcW w:w="2940" w:type="dxa"/>
            <w:vAlign w:val="bottom"/>
          </w:tcPr>
          <w:p>
            <w:pPr>
              <w:ind w:left="20"/>
              <w:spacing w:after="0"/>
              <w:rPr>
                <w:sz w:val="20"/>
                <w:szCs w:val="20"/>
                <w:color w:val="auto"/>
              </w:rPr>
            </w:pPr>
            <w:r>
              <w:rPr>
                <w:rFonts w:ascii="Arial" w:cs="Arial" w:eastAsia="Arial" w:hAnsi="Arial"/>
                <w:sz w:val="11"/>
                <w:szCs w:val="11"/>
                <w:color w:val="auto"/>
              </w:rPr>
              <w:t>Costs and operating expenses: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Cost of 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5,026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5,649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5,798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6,425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6,730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7,703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7,988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8,543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8,668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9,587</w:t>
            </w:r>
          </w:p>
        </w:tc>
        <w:tc>
          <w:tcPr>
            <w:tcW w:w="0" w:type="dxa"/>
            <w:vAlign w:val="bottom"/>
          </w:tcPr>
          <w:p>
            <w:pPr>
              <w:spacing w:after="0"/>
              <w:rPr>
                <w:sz w:val="1"/>
                <w:szCs w:val="1"/>
                <w:color w:val="auto"/>
              </w:rPr>
            </w:pPr>
          </w:p>
        </w:tc>
      </w:tr>
      <w:tr>
        <w:trPr>
          <w:trHeight w:val="155"/>
        </w:trPr>
        <w:tc>
          <w:tcPr>
            <w:tcW w:w="2940" w:type="dxa"/>
            <w:vAlign w:val="bottom"/>
          </w:tcPr>
          <w:p>
            <w:pPr>
              <w:ind w:left="180"/>
              <w:spacing w:after="0"/>
              <w:rPr>
                <w:sz w:val="20"/>
                <w:szCs w:val="20"/>
                <w:color w:val="auto"/>
              </w:rPr>
            </w:pPr>
            <w:r>
              <w:rPr>
                <w:rFonts w:ascii="Arial" w:cs="Arial" w:eastAsia="Arial" w:hAnsi="Arial"/>
                <w:sz w:val="11"/>
                <w:szCs w:val="11"/>
                <w:color w:val="auto"/>
              </w:rPr>
              <w:t>Product development</w:t>
            </w:r>
          </w:p>
        </w:tc>
        <w:tc>
          <w:tcPr>
            <w:tcW w:w="60" w:type="dxa"/>
            <w:vAlign w:val="bottom"/>
          </w:tcPr>
          <w:p>
            <w:pPr>
              <w:spacing w:after="0"/>
              <w:rPr>
                <w:sz w:val="13"/>
                <w:szCs w:val="13"/>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14,429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15,948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13,760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13,421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14,287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15,080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17,063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18,085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20,232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21,227</w:t>
            </w:r>
          </w:p>
        </w:tc>
        <w:tc>
          <w:tcPr>
            <w:tcW w:w="0" w:type="dxa"/>
            <w:vAlign w:val="bottom"/>
          </w:tcPr>
          <w:p>
            <w:pPr>
              <w:spacing w:after="0"/>
              <w:rPr>
                <w:sz w:val="1"/>
                <w:szCs w:val="1"/>
                <w:color w:val="auto"/>
              </w:rPr>
            </w:pPr>
          </w:p>
        </w:tc>
      </w:tr>
      <w:tr>
        <w:trPr>
          <w:trHeight w:val="161"/>
        </w:trPr>
        <w:tc>
          <w:tcPr>
            <w:tcW w:w="29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5,775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5,658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6,297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6,036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7,182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7,365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7,841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9,867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8,873</w:t>
            </w:r>
          </w:p>
        </w:tc>
        <w:tc>
          <w:tcPr>
            <w:tcW w:w="0" w:type="dxa"/>
            <w:vAlign w:val="bottom"/>
          </w:tcPr>
          <w:p>
            <w:pPr>
              <w:spacing w:after="0"/>
              <w:rPr>
                <w:sz w:val="1"/>
                <w:szCs w:val="1"/>
                <w:color w:val="auto"/>
              </w:rPr>
            </w:pPr>
          </w:p>
        </w:tc>
      </w:tr>
      <w:tr>
        <w:trPr>
          <w:trHeight w:val="155"/>
        </w:trPr>
        <w:tc>
          <w:tcPr>
            <w:tcW w:w="2940" w:type="dxa"/>
            <w:vAlign w:val="bottom"/>
          </w:tcPr>
          <w:p>
            <w:pPr>
              <w:ind w:left="180"/>
              <w:spacing w:after="0"/>
              <w:rPr>
                <w:sz w:val="20"/>
                <w:szCs w:val="20"/>
                <w:color w:val="auto"/>
              </w:rPr>
            </w:pPr>
            <w:r>
              <w:rPr>
                <w:rFonts w:ascii="Arial" w:cs="Arial" w:eastAsia="Arial" w:hAnsi="Arial"/>
                <w:sz w:val="11"/>
                <w:szCs w:val="11"/>
                <w:color w:val="auto"/>
              </w:rPr>
              <w:t>Marketing</w:t>
            </w:r>
          </w:p>
        </w:tc>
        <w:tc>
          <w:tcPr>
            <w:tcW w:w="60" w:type="dxa"/>
            <w:vAlign w:val="bottom"/>
          </w:tcPr>
          <w:p>
            <w:pPr>
              <w:spacing w:after="0"/>
              <w:rPr>
                <w:sz w:val="13"/>
                <w:szCs w:val="13"/>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3,808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4,947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5,444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6,951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10,378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11,531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15,812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14,475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10,188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9,093</w:t>
            </w:r>
          </w:p>
        </w:tc>
        <w:tc>
          <w:tcPr>
            <w:tcW w:w="0" w:type="dxa"/>
            <w:vAlign w:val="bottom"/>
          </w:tcPr>
          <w:p>
            <w:pPr>
              <w:spacing w:after="0"/>
              <w:rPr>
                <w:sz w:val="1"/>
                <w:szCs w:val="1"/>
                <w:color w:val="auto"/>
              </w:rPr>
            </w:pPr>
          </w:p>
        </w:tc>
      </w:tr>
      <w:tr>
        <w:trPr>
          <w:trHeight w:val="161"/>
        </w:trPr>
        <w:tc>
          <w:tcPr>
            <w:tcW w:w="29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Operations and support</w:t>
            </w: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2,434</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2,535</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2,444</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2,354</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2,500</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2,575</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2,705</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2,839</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2,925</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3,063</w:t>
            </w:r>
          </w:p>
        </w:tc>
        <w:tc>
          <w:tcPr>
            <w:tcW w:w="0" w:type="dxa"/>
            <w:vAlign w:val="bottom"/>
          </w:tcPr>
          <w:p>
            <w:pPr>
              <w:spacing w:after="0"/>
              <w:rPr>
                <w:sz w:val="1"/>
                <w:szCs w:val="1"/>
                <w:color w:val="auto"/>
              </w:rPr>
            </w:pPr>
          </w:p>
        </w:tc>
      </w:tr>
      <w:tr>
        <w:trPr>
          <w:trHeight w:val="135"/>
        </w:trPr>
        <w:tc>
          <w:tcPr>
            <w:tcW w:w="2940" w:type="dxa"/>
            <w:vAlign w:val="bottom"/>
          </w:tcPr>
          <w:p>
            <w:pPr>
              <w:ind w:left="360"/>
              <w:spacing w:after="0"/>
              <w:rPr>
                <w:sz w:val="20"/>
                <w:szCs w:val="20"/>
                <w:color w:val="auto"/>
              </w:rPr>
            </w:pPr>
            <w:r>
              <w:rPr>
                <w:rFonts w:ascii="Arial" w:cs="Arial" w:eastAsia="Arial" w:hAnsi="Arial"/>
                <w:sz w:val="11"/>
                <w:szCs w:val="11"/>
                <w:color w:val="auto"/>
              </w:rPr>
              <w:t>Total costs and operating expenses</w:t>
            </w:r>
          </w:p>
        </w:tc>
        <w:tc>
          <w:tcPr>
            <w:tcW w:w="6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31,472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34,737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33,743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35,187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40,599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44,071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50,933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51,783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51,880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51,843</w:t>
            </w:r>
          </w:p>
        </w:tc>
        <w:tc>
          <w:tcPr>
            <w:tcW w:w="0" w:type="dxa"/>
            <w:vAlign w:val="bottom"/>
          </w:tcPr>
          <w:p>
            <w:pPr>
              <w:spacing w:after="0"/>
              <w:rPr>
                <w:sz w:val="1"/>
                <w:szCs w:val="1"/>
                <w:color w:val="auto"/>
              </w:rPr>
            </w:pPr>
          </w:p>
        </w:tc>
      </w:tr>
      <w:tr>
        <w:trPr>
          <w:trHeight w:val="161"/>
        </w:trPr>
        <w:tc>
          <w:tcPr>
            <w:tcW w:w="2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488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504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504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55"/>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 net</w:t>
            </w: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13,149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10,502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(7,542)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(15,123)</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(17,720)</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(690)</w:t>
            </w:r>
          </w:p>
        </w:tc>
        <w:tc>
          <w:tcPr>
            <w:tcW w:w="0" w:type="dxa"/>
            <w:vAlign w:val="bottom"/>
          </w:tcPr>
          <w:p>
            <w:pPr>
              <w:spacing w:after="0"/>
              <w:rPr>
                <w:sz w:val="1"/>
                <w:szCs w:val="1"/>
                <w:color w:val="auto"/>
              </w:rPr>
            </w:pPr>
          </w:p>
        </w:tc>
      </w:tr>
      <w:tr>
        <w:trPr>
          <w:trHeight w:val="141"/>
        </w:trPr>
        <w:tc>
          <w:tcPr>
            <w:tcW w:w="29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Income (Loss) before income taxes</w:t>
            </w: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(5,311)</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8,079</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36,163</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39,658</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44,723</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33,523</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29,527</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31,456</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34,111</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39,871</w:t>
            </w:r>
          </w:p>
        </w:tc>
        <w:tc>
          <w:tcPr>
            <w:tcW w:w="0" w:type="dxa"/>
            <w:vAlign w:val="bottom"/>
          </w:tcPr>
          <w:p>
            <w:pPr>
              <w:spacing w:after="0"/>
              <w:rPr>
                <w:sz w:val="1"/>
                <w:szCs w:val="1"/>
                <w:color w:val="auto"/>
              </w:rPr>
            </w:pPr>
          </w:p>
        </w:tc>
      </w:tr>
      <w:tr>
        <w:trPr>
          <w:trHeight w:val="135"/>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481</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720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207</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(53,408)</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(655)</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(519)</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8,164</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5,130</w:t>
            </w:r>
          </w:p>
        </w:tc>
        <w:tc>
          <w:tcPr>
            <w:tcW w:w="0" w:type="dxa"/>
            <w:vAlign w:val="bottom"/>
          </w:tcPr>
          <w:p>
            <w:pPr>
              <w:spacing w:after="0"/>
              <w:rPr>
                <w:sz w:val="1"/>
                <w:szCs w:val="1"/>
                <w:color w:val="auto"/>
              </w:rPr>
            </w:pPr>
          </w:p>
        </w:tc>
      </w:tr>
      <w:tr>
        <w:trPr>
          <w:trHeight w:val="155"/>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(5,526)</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7,598</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35,443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39,451</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98,131</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34,178</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30,046</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32,092</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25,947</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34,741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common stockholders</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940" w:type="dxa"/>
            <w:vAlign w:val="bottom"/>
          </w:tcPr>
          <w:p>
            <w:pPr>
              <w:ind w:left="20"/>
              <w:spacing w:after="0"/>
              <w:rPr>
                <w:sz w:val="20"/>
                <w:szCs w:val="20"/>
                <w:color w:val="auto"/>
              </w:rPr>
            </w:pPr>
            <w:r>
              <w:rPr>
                <w:rFonts w:ascii="Arial" w:cs="Arial" w:eastAsia="Arial" w:hAnsi="Arial"/>
                <w:sz w:val="11"/>
                <w:szCs w:val="11"/>
                <w:color w:val="auto"/>
              </w:rPr>
              <w:t>Basic</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(5,526)</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7,598</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35,443</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39,451</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98,131</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34,178</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30,046</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32,092</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25,947</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34,741</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940" w:type="dxa"/>
            <w:vAlign w:val="bottom"/>
            <w:tcBorders>
              <w:bottom w:val="single" w:sz="8" w:color="CCEEFF"/>
            </w:tcBorders>
            <w:shd w:val="clear" w:color="auto" w:fill="CCEEFF"/>
          </w:tcPr>
          <w:p>
            <w:pPr>
              <w:ind w:left="20"/>
              <w:spacing w:after="0" w:line="119" w:lineRule="exact"/>
              <w:rPr>
                <w:sz w:val="20"/>
                <w:szCs w:val="20"/>
                <w:color w:val="auto"/>
              </w:rPr>
            </w:pPr>
            <w:r>
              <w:rPr>
                <w:rFonts w:ascii="Arial" w:cs="Arial" w:eastAsia="Arial" w:hAnsi="Arial"/>
                <w:sz w:val="11"/>
                <w:szCs w:val="11"/>
                <w:color w:val="auto"/>
              </w:rPr>
              <w:t>Diluted</w:t>
            </w: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7,598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30,320</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28,867</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85,502</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34,178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30,046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32,092</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25,947</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34,741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94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rPr>
              <w:t>Net income (loss) per share attributable to common</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stockholders</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40" w:type="dxa"/>
            <w:vAlign w:val="bottom"/>
          </w:tcPr>
          <w:p>
            <w:pPr>
              <w:ind w:left="20"/>
              <w:spacing w:after="0"/>
              <w:rPr>
                <w:sz w:val="20"/>
                <w:szCs w:val="20"/>
                <w:color w:val="auto"/>
              </w:rPr>
            </w:pPr>
            <w:r>
              <w:rPr>
                <w:rFonts w:ascii="Arial" w:cs="Arial" w:eastAsia="Arial" w:hAnsi="Arial"/>
                <w:sz w:val="11"/>
                <w:szCs w:val="11"/>
                <w:color w:val="auto"/>
              </w:rPr>
              <w:t>Basic</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(0.15)</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0.21</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0.96</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1.03</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2.52</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0.88</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0.77</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0.82</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0.64</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0.86</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940" w:type="dxa"/>
            <w:vAlign w:val="bottom"/>
            <w:tcBorders>
              <w:bottom w:val="single" w:sz="8" w:color="CCEEFF"/>
            </w:tcBorders>
            <w:shd w:val="clear" w:color="auto" w:fill="CCEEFF"/>
          </w:tcPr>
          <w:p>
            <w:pPr>
              <w:ind w:left="20"/>
              <w:spacing w:after="0" w:line="119" w:lineRule="exact"/>
              <w:rPr>
                <w:sz w:val="20"/>
                <w:szCs w:val="20"/>
                <w:color w:val="auto"/>
              </w:rPr>
            </w:pPr>
            <w:r>
              <w:rPr>
                <w:rFonts w:ascii="Arial" w:cs="Arial" w:eastAsia="Arial" w:hAnsi="Arial"/>
                <w:sz w:val="11"/>
                <w:szCs w:val="11"/>
                <w:color w:val="auto"/>
              </w:rPr>
              <w:t>Diluted</w:t>
            </w: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(0.15)</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0.06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0.21</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0.20</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0.61</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0.25</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0.23</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0.18</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62800" cy="167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16700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p>
      <w:pPr>
        <w:spacing w:after="0" w:line="193" w:lineRule="exact"/>
        <w:rPr>
          <w:sz w:val="20"/>
          <w:szCs w:val="20"/>
          <w:color w:val="auto"/>
        </w:rPr>
      </w:pPr>
    </w:p>
    <w:p>
      <w:pPr>
        <w:ind w:left="140" w:hanging="125"/>
        <w:spacing w:after="0" w:line="249" w:lineRule="auto"/>
        <w:rPr>
          <w:sz w:val="20"/>
          <w:szCs w:val="20"/>
          <w:color w:val="auto"/>
        </w:rPr>
      </w:pPr>
      <w:r>
        <w:rPr>
          <w:rFonts w:ascii="Arial" w:cs="Arial" w:eastAsia="Arial" w:hAnsi="Arial"/>
          <w:sz w:val="11"/>
          <w:szCs w:val="11"/>
          <w:color w:val="auto"/>
        </w:rPr>
        <w:t>Weighted-average number of common stock outstanding used in computing net income (loss) per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36,923,528</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36,931,368</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36,947,751</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38,374,053</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38,976,162</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39,021,040</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38,856,370</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39,108,339</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40,271,969</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40,497,003</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0"/>
        </w:trPr>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36,923,528</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136,842,266</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144,504,513</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142,844,437</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140,248,483</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138,348,657</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138,336,934</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137,775,723</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142,487,835</w:t>
            </w:r>
          </w:p>
        </w:tc>
        <w:tc>
          <w:tcPr>
            <w:tcW w:w="6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141,996,997</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-126365</wp:posOffset>
            </wp:positionV>
            <wp:extent cx="7162800" cy="1136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100"/>
            <w:col w:w="8340"/>
          </w:cols>
          <w:pgMar w:left="300" w:top="20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80"/>
          </w:cols>
          <w:pgMar w:left="300" w:top="209" w:right="31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stock-based compensation for the periods indicated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40" w:type="dxa"/>
            <w:vAlign w:val="bottom"/>
            <w:vMerge w:val="restart"/>
          </w:tcPr>
          <w:p>
            <w:pPr>
              <w:ind w:left="20"/>
              <w:spacing w:after="0"/>
              <w:rPr>
                <w:sz w:val="20"/>
                <w:szCs w:val="20"/>
                <w:color w:val="auto"/>
              </w:rPr>
            </w:pPr>
            <w:r>
              <w:rPr>
                <w:rFonts w:ascii="Arial" w:cs="Arial" w:eastAsia="Arial" w:hAnsi="Arial"/>
                <w:sz w:val="10"/>
                <w:szCs w:val="10"/>
                <w:b w:val="1"/>
                <w:bCs w:val="1"/>
                <w:i w:val="1"/>
                <w:iCs w:val="1"/>
                <w:color w:val="auto"/>
              </w:rPr>
              <w:t>(in thousands)</w:t>
            </w: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April 30, 2023</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July 31, 2023</w:t>
            </w:r>
          </w:p>
        </w:tc>
        <w:tc>
          <w:tcPr>
            <w:tcW w:w="1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October 31,</w:t>
            </w:r>
          </w:p>
        </w:tc>
        <w:tc>
          <w:tcPr>
            <w:tcW w:w="1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January 31,</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April 30, 2024</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July 31, 2024</w:t>
            </w:r>
          </w:p>
        </w:tc>
        <w:tc>
          <w:tcPr>
            <w:tcW w:w="1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October 31,</w:t>
            </w:r>
          </w:p>
        </w:tc>
        <w:tc>
          <w:tcPr>
            <w:tcW w:w="1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January 31,</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April 30, 2025</w:t>
            </w:r>
          </w:p>
        </w:tc>
        <w:tc>
          <w:tcPr>
            <w:tcW w:w="80" w:type="dxa"/>
            <w:vAlign w:val="bottom"/>
          </w:tcPr>
          <w:p>
            <w:pPr>
              <w:spacing w:after="0"/>
              <w:rPr>
                <w:sz w:val="10"/>
                <w:szCs w:val="10"/>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0"/>
                <w:szCs w:val="10"/>
                <w:b w:val="1"/>
                <w:bCs w:val="1"/>
                <w:color w:val="auto"/>
                <w:w w:val="97"/>
              </w:rPr>
              <w:t>July 31, 2025</w:t>
            </w:r>
          </w:p>
        </w:tc>
        <w:tc>
          <w:tcPr>
            <w:tcW w:w="0" w:type="dxa"/>
            <w:vAlign w:val="bottom"/>
          </w:tcPr>
          <w:p>
            <w:pPr>
              <w:spacing w:after="0"/>
              <w:rPr>
                <w:sz w:val="1"/>
                <w:szCs w:val="1"/>
                <w:color w:val="auto"/>
              </w:rPr>
            </w:pPr>
          </w:p>
        </w:tc>
      </w:tr>
      <w:tr>
        <w:trPr>
          <w:trHeight w:val="144"/>
        </w:trPr>
        <w:tc>
          <w:tcPr>
            <w:tcW w:w="2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0"/>
                <w:szCs w:val="10"/>
                <w:b w:val="1"/>
                <w:bCs w:val="1"/>
                <w:color w:val="auto"/>
              </w:rPr>
              <w:t>2023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0"/>
                <w:szCs w:val="10"/>
                <w:b w:val="1"/>
                <w:bCs w:val="1"/>
                <w:color w:val="auto"/>
              </w:rPr>
              <w:t>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0"/>
                <w:szCs w:val="10"/>
                <w:b w:val="1"/>
                <w:bCs w:val="1"/>
                <w:color w:val="auto"/>
              </w:rPr>
              <w:t>2024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Product development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2,526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2,455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2,409</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1,302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1,971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1,923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1,833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1,598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1,046</w:t>
            </w:r>
          </w:p>
        </w:tc>
        <w:tc>
          <w:tcPr>
            <w:tcW w:w="0" w:type="dxa"/>
            <w:vAlign w:val="bottom"/>
          </w:tcPr>
          <w:p>
            <w:pPr>
              <w:spacing w:after="0"/>
              <w:rPr>
                <w:sz w:val="1"/>
                <w:szCs w:val="1"/>
                <w:color w:val="auto"/>
              </w:rPr>
            </w:pPr>
          </w:p>
        </w:tc>
      </w:tr>
      <w:tr>
        <w:trPr>
          <w:trHeight w:val="155"/>
        </w:trPr>
        <w:tc>
          <w:tcPr>
            <w:tcW w:w="294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60" w:type="dxa"/>
            <w:vAlign w:val="bottom"/>
          </w:tcPr>
          <w:p>
            <w:pPr>
              <w:spacing w:after="0"/>
              <w:rPr>
                <w:sz w:val="13"/>
                <w:szCs w:val="13"/>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769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748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733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397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549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511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445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349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291</w:t>
            </w:r>
          </w:p>
        </w:tc>
        <w:tc>
          <w:tcPr>
            <w:tcW w:w="0" w:type="dxa"/>
            <w:vAlign w:val="bottom"/>
          </w:tcPr>
          <w:p>
            <w:pPr>
              <w:spacing w:after="0"/>
              <w:rPr>
                <w:sz w:val="1"/>
                <w:szCs w:val="1"/>
                <w:color w:val="auto"/>
              </w:rPr>
            </w:pPr>
          </w:p>
        </w:tc>
      </w:tr>
      <w:tr>
        <w:trPr>
          <w:trHeight w:val="161"/>
        </w:trPr>
        <w:tc>
          <w:tcPr>
            <w:tcW w:w="2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Marketing</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155"/>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Operations and support</w:t>
            </w: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387</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377</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369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296</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275</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157</w:t>
            </w:r>
          </w:p>
        </w:tc>
        <w:tc>
          <w:tcPr>
            <w:tcW w:w="0" w:type="dxa"/>
            <w:vAlign w:val="bottom"/>
          </w:tcPr>
          <w:p>
            <w:pPr>
              <w:spacing w:after="0"/>
              <w:rPr>
                <w:sz w:val="1"/>
                <w:szCs w:val="1"/>
                <w:color w:val="auto"/>
              </w:rPr>
            </w:pPr>
          </w:p>
        </w:tc>
      </w:tr>
      <w:tr>
        <w:trPr>
          <w:trHeight w:val="141"/>
        </w:trPr>
        <w:tc>
          <w:tcPr>
            <w:tcW w:w="2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stock-based compensation expense</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3,745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1,571</w:t>
            </w:r>
          </w:p>
        </w:tc>
        <w:tc>
          <w:tcPr>
            <w:tcW w:w="0" w:type="dxa"/>
            <w:vAlign w:val="bottom"/>
          </w:tcPr>
          <w:p>
            <w:pPr>
              <w:spacing w:after="0"/>
              <w:rPr>
                <w:sz w:val="1"/>
                <w:szCs w:val="1"/>
                <w:color w:val="auto"/>
              </w:rPr>
            </w:pPr>
          </w:p>
        </w:tc>
      </w:tr>
      <w:tr>
        <w:trPr>
          <w:trHeight w:val="155"/>
        </w:trPr>
        <w:tc>
          <w:tcPr>
            <w:tcW w:w="2940" w:type="dxa"/>
            <w:vAlign w:val="bottom"/>
          </w:tcPr>
          <w:p>
            <w:pPr>
              <w:ind w:left="20"/>
              <w:spacing w:after="0"/>
              <w:rPr>
                <w:sz w:val="20"/>
                <w:szCs w:val="20"/>
                <w:color w:val="auto"/>
              </w:rPr>
            </w:pPr>
            <w:r>
              <w:rPr>
                <w:rFonts w:ascii="Arial" w:cs="Arial" w:eastAsia="Arial" w:hAnsi="Arial"/>
                <w:sz w:val="11"/>
                <w:szCs w:val="11"/>
                <w:color w:val="auto"/>
              </w:rPr>
              <w:t>Capitalized stock-based compensation expense</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(281)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(517)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(582)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(526)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(250)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(279)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3"/>
        </w:trPr>
        <w:tc>
          <w:tcPr>
            <w:tcW w:w="2940" w:type="dxa"/>
            <w:vAlign w:val="bottom"/>
            <w:tcBorders>
              <w:top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color w:val="auto"/>
              </w:rPr>
              <w:t>Total stock-based compensation expense, net of amounts</w:t>
            </w:r>
          </w:p>
        </w:tc>
        <w:tc>
          <w:tcPr>
            <w:tcW w:w="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3,570</w:t>
            </w: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3,609</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3,155</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1,512</w:t>
            </w: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2,378</w:t>
            </w: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2,363</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2,503</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2,120</w:t>
            </w: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1,879</w:t>
            </w: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1,571</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EFF"/>
            </w:tcBorders>
            <w:shd w:val="clear" w:color="auto" w:fill="CCEEFF"/>
          </w:tcPr>
          <w:p>
            <w:pPr>
              <w:ind w:left="140"/>
              <w:spacing w:after="0" w:line="122" w:lineRule="exact"/>
              <w:rPr>
                <w:sz w:val="20"/>
                <w:szCs w:val="20"/>
                <w:color w:val="auto"/>
              </w:rPr>
            </w:pPr>
            <w:r>
              <w:rPr>
                <w:rFonts w:ascii="Arial" w:cs="Arial" w:eastAsia="Arial" w:hAnsi="Arial"/>
                <w:sz w:val="11"/>
                <w:szCs w:val="11"/>
                <w:color w:val="auto"/>
              </w:rPr>
              <w:t>capitalized</w:t>
            </w: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not recognized stock-based compensation for awards with performance-based conditions because the qualifying event, such as an initial public offering (“IPO”), had not occurred and, therefore, could not be considered probable. See Note 12. — Stock-Based Compensation of our consolidated financial statements included elsewhere in this prospectus and “Risk Factors—Sales of substantial amounts of our common stock in the public markets, or the perception that they might occur, could cause the market price of our common stock to decline”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80"/>
          </w:cols>
          <w:pgMar w:left="300" w:top="209" w:right="3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components of our condensed consolidated statements of operations data, for each of the periods presented, as a percent of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(as a percentage of revenue)</w:t>
            </w:r>
          </w:p>
        </w:tc>
        <w:tc>
          <w:tcPr>
            <w:tcW w:w="8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April 30, 2023</w:t>
            </w:r>
          </w:p>
        </w:tc>
        <w:tc>
          <w:tcPr>
            <w:tcW w:w="60" w:type="dxa"/>
            <w:vAlign w:val="bottom"/>
          </w:tcPr>
          <w:p>
            <w:pPr>
              <w:spacing w:after="0"/>
              <w:rPr>
                <w:sz w:val="10"/>
                <w:szCs w:val="10"/>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July 31, 2023</w:t>
            </w:r>
          </w:p>
        </w:tc>
        <w:tc>
          <w:tcPr>
            <w:tcW w:w="60" w:type="dxa"/>
            <w:vAlign w:val="bottom"/>
          </w:tcPr>
          <w:p>
            <w:pPr>
              <w:spacing w:after="0"/>
              <w:rPr>
                <w:sz w:val="10"/>
                <w:szCs w:val="10"/>
                <w:color w:val="auto"/>
              </w:rPr>
            </w:pPr>
          </w:p>
        </w:tc>
        <w:tc>
          <w:tcPr>
            <w:tcW w:w="780" w:type="dxa"/>
            <w:vAlign w:val="bottom"/>
            <w:gridSpan w:val="3"/>
          </w:tcPr>
          <w:p>
            <w:pPr>
              <w:jc w:val="center"/>
              <w:ind w:left="24"/>
              <w:spacing w:after="0"/>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7"/>
          </w:tcPr>
          <w:p>
            <w:pPr>
              <w:ind w:left="120"/>
              <w:spacing w:after="0"/>
              <w:rPr>
                <w:sz w:val="20"/>
                <w:szCs w:val="20"/>
                <w:color w:val="auto"/>
              </w:rPr>
            </w:pPr>
            <w:r>
              <w:rPr>
                <w:rFonts w:ascii="Arial" w:cs="Arial" w:eastAsia="Arial" w:hAnsi="Arial"/>
                <w:sz w:val="11"/>
                <w:szCs w:val="11"/>
                <w:b w:val="1"/>
                <w:bCs w:val="1"/>
                <w:color w:val="auto"/>
              </w:rPr>
              <w:t>January 31,</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6"/>
          </w:tcPr>
          <w:p>
            <w:pPr>
              <w:jc w:val="right"/>
              <w:ind w:right="260"/>
              <w:spacing w:after="0"/>
              <w:rPr>
                <w:sz w:val="20"/>
                <w:szCs w:val="20"/>
                <w:color w:val="auto"/>
              </w:rPr>
            </w:pPr>
            <w:r>
              <w:rPr>
                <w:rFonts w:ascii="Arial" w:cs="Arial" w:eastAsia="Arial" w:hAnsi="Arial"/>
                <w:sz w:val="11"/>
                <w:szCs w:val="11"/>
                <w:b w:val="1"/>
                <w:bCs w:val="1"/>
                <w:color w:val="auto"/>
                <w:w w:val="99"/>
              </w:rPr>
              <w:t>October 31,</w:t>
            </w:r>
          </w:p>
        </w:tc>
        <w:tc>
          <w:tcPr>
            <w:tcW w:w="84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rPr>
              <w:t>January 31,</w:t>
            </w:r>
          </w:p>
        </w:tc>
        <w:tc>
          <w:tcPr>
            <w:tcW w:w="88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rPr>
              <w:t>April 30, 2025</w:t>
            </w:r>
          </w:p>
        </w:tc>
        <w:tc>
          <w:tcPr>
            <w:tcW w:w="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July 31, 2025</w:t>
            </w: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40" w:type="dxa"/>
            <w:vAlign w:val="bottom"/>
            <w:gridSpan w:val="4"/>
          </w:tcPr>
          <w:p>
            <w:pPr>
              <w:jc w:val="center"/>
              <w:ind w:left="104"/>
              <w:spacing w:after="0"/>
              <w:rPr>
                <w:sz w:val="20"/>
                <w:szCs w:val="20"/>
                <w:color w:val="auto"/>
              </w:rPr>
            </w:pPr>
            <w:r>
              <w:rPr>
                <w:rFonts w:ascii="Arial" w:cs="Arial" w:eastAsia="Arial" w:hAnsi="Arial"/>
                <w:sz w:val="11"/>
                <w:szCs w:val="11"/>
                <w:b w:val="1"/>
                <w:bCs w:val="1"/>
                <w:color w:val="auto"/>
                <w:w w:val="97"/>
              </w:rPr>
              <w:t>2023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11"/>
          </w:tcPr>
          <w:p>
            <w:pPr>
              <w:jc w:val="right"/>
              <w:ind w:right="220"/>
              <w:spacing w:after="0"/>
              <w:rPr>
                <w:sz w:val="20"/>
                <w:szCs w:val="20"/>
                <w:color w:val="auto"/>
              </w:rPr>
            </w:pPr>
            <w:r>
              <w:rPr>
                <w:rFonts w:ascii="Arial" w:cs="Arial" w:eastAsia="Arial" w:hAnsi="Arial"/>
                <w:sz w:val="11"/>
                <w:szCs w:val="11"/>
                <w:b w:val="1"/>
                <w:bCs w:val="1"/>
                <w:color w:val="auto"/>
              </w:rPr>
              <w:t>April 30, 2024   July 31, 2024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34"/>
              <w:spacing w:after="0"/>
              <w:rPr>
                <w:sz w:val="20"/>
                <w:szCs w:val="20"/>
                <w:color w:val="auto"/>
              </w:rPr>
            </w:pPr>
            <w:r>
              <w:rPr>
                <w:rFonts w:ascii="Arial" w:cs="Arial" w:eastAsia="Arial" w:hAnsi="Arial"/>
                <w:sz w:val="11"/>
                <w:szCs w:val="11"/>
                <w:b w:val="1"/>
                <w:bCs w:val="1"/>
                <w:color w:val="auto"/>
                <w:w w:val="97"/>
              </w:rPr>
              <w:t>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34"/>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w:t>
            </w:r>
          </w:p>
        </w:tc>
        <w:tc>
          <w:tcPr>
            <w:tcW w:w="4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80"/>
              <w:spacing w:after="0"/>
              <w:rPr>
                <w:sz w:val="20"/>
                <w:szCs w:val="20"/>
                <w:color w:val="auto"/>
              </w:rPr>
            </w:pPr>
            <w:r>
              <w:rPr>
                <w:rFonts w:ascii="Arial" w:cs="Arial" w:eastAsia="Arial" w:hAnsi="Arial"/>
                <w:sz w:val="14"/>
                <w:szCs w:val="14"/>
                <w:color w:val="auto"/>
              </w:rPr>
              <w:t>Cash management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73 %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74 %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75 %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advisory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79"/>
        </w:trPr>
        <w:tc>
          <w:tcPr>
            <w:tcW w:w="2480" w:type="dxa"/>
            <w:vAlign w:val="bottom"/>
          </w:tcPr>
          <w:p>
            <w:pPr>
              <w:ind w:left="180"/>
              <w:spacing w:after="0"/>
              <w:rPr>
                <w:sz w:val="20"/>
                <w:szCs w:val="20"/>
                <w:color w:val="auto"/>
              </w:rPr>
            </w:pPr>
            <w:r>
              <w:rPr>
                <w:rFonts w:ascii="Arial" w:cs="Arial" w:eastAsia="Arial" w:hAnsi="Arial"/>
                <w:sz w:val="14"/>
                <w:szCs w:val="14"/>
                <w:color w:val="auto"/>
              </w:rPr>
              <w:t>Other revenue</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9"/>
              </w:rPr>
              <w:t>2 %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9"/>
        </w:trPr>
        <w:tc>
          <w:tcPr>
            <w:tcW w:w="2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revenue</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79"/>
        </w:trPr>
        <w:tc>
          <w:tcPr>
            <w:tcW w:w="2480" w:type="dxa"/>
            <w:vAlign w:val="bottom"/>
          </w:tcPr>
          <w:p>
            <w:pPr>
              <w:ind w:left="20"/>
              <w:spacing w:after="0"/>
              <w:rPr>
                <w:sz w:val="20"/>
                <w:szCs w:val="20"/>
                <w:color w:val="auto"/>
              </w:rPr>
            </w:pPr>
            <w:r>
              <w:rPr>
                <w:rFonts w:ascii="Arial" w:cs="Arial" w:eastAsia="Arial" w:hAnsi="Arial"/>
                <w:sz w:val="14"/>
                <w:szCs w:val="14"/>
                <w:color w:val="auto"/>
              </w:rPr>
              <w:t>Costs and operating expenses: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79"/>
        </w:trPr>
        <w:tc>
          <w:tcPr>
            <w:tcW w:w="2480" w:type="dxa"/>
            <w:vAlign w:val="bottom"/>
          </w:tcPr>
          <w:p>
            <w:pPr>
              <w:ind w:left="180"/>
              <w:spacing w:after="0"/>
              <w:rPr>
                <w:sz w:val="20"/>
                <w:szCs w:val="20"/>
                <w:color w:val="auto"/>
              </w:rPr>
            </w:pPr>
            <w:r>
              <w:rPr>
                <w:rFonts w:ascii="Arial" w:cs="Arial" w:eastAsia="Arial" w:hAnsi="Arial"/>
                <w:sz w:val="14"/>
                <w:szCs w:val="14"/>
                <w:color w:val="auto"/>
              </w:rPr>
              <w:t>Product development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30 %</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22 %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22 %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9"/>
        </w:trPr>
        <w:tc>
          <w:tcPr>
            <w:tcW w:w="2480" w:type="dxa"/>
            <w:vAlign w:val="bottom"/>
          </w:tcPr>
          <w:p>
            <w:pPr>
              <w:ind w:left="180"/>
              <w:spacing w:after="0"/>
              <w:rPr>
                <w:sz w:val="20"/>
                <w:szCs w:val="20"/>
                <w:color w:val="auto"/>
              </w:rPr>
            </w:pPr>
            <w:r>
              <w:rPr>
                <w:rFonts w:ascii="Arial" w:cs="Arial" w:eastAsia="Arial" w:hAnsi="Arial"/>
                <w:sz w:val="14"/>
                <w:szCs w:val="14"/>
                <w:color w:val="auto"/>
              </w:rPr>
              <w:t>Marketing</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9 %</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9 %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12 %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 and support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4 %</w:t>
            </w: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17"/>
        </w:trPr>
        <w:tc>
          <w:tcPr>
            <w:tcW w:w="2480" w:type="dxa"/>
            <w:vAlign w:val="bottom"/>
          </w:tcPr>
          <w:p>
            <w:pPr>
              <w:ind w:left="360"/>
              <w:spacing w:after="0" w:line="117" w:lineRule="exact"/>
              <w:rPr>
                <w:sz w:val="20"/>
                <w:szCs w:val="20"/>
                <w:color w:val="auto"/>
              </w:rPr>
            </w:pPr>
            <w:r>
              <w:rPr>
                <w:rFonts w:ascii="Arial" w:cs="Arial" w:eastAsia="Arial" w:hAnsi="Arial"/>
                <w:sz w:val="13"/>
                <w:szCs w:val="13"/>
                <w:color w:val="auto"/>
              </w:rPr>
              <w:t>Total costs and operating</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80 %</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color w:val="auto"/>
              </w:rPr>
              <w:t>65 %</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color w:val="auto"/>
              </w:rPr>
              <w:t>54 %</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color w:val="auto"/>
              </w:rPr>
              <w:t>59 %</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60 %</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56 %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63 %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62 %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61 %</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89"/>
        </w:trPr>
        <w:tc>
          <w:tcPr>
            <w:tcW w:w="2480" w:type="dxa"/>
            <w:vAlign w:val="bottom"/>
          </w:tcPr>
          <w:p>
            <w:pPr>
              <w:ind w:left="360"/>
              <w:spacing w:after="0"/>
              <w:rPr>
                <w:sz w:val="20"/>
                <w:szCs w:val="20"/>
                <w:color w:val="auto"/>
              </w:rPr>
            </w:pPr>
            <w:r>
              <w:rPr>
                <w:rFonts w:ascii="Arial" w:cs="Arial" w:eastAsia="Arial" w:hAnsi="Arial"/>
                <w:sz w:val="14"/>
                <w:szCs w:val="14"/>
                <w:color w:val="auto"/>
              </w:rPr>
              <w:t>expenses</w:t>
            </w: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33 %</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20 %</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before income taxes</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17"/>
        </w:trPr>
        <w:tc>
          <w:tcPr>
            <w:tcW w:w="2480" w:type="dxa"/>
            <w:vAlign w:val="bottom"/>
          </w:tcPr>
          <w:p>
            <w:pPr>
              <w:ind w:left="20"/>
              <w:spacing w:after="0" w:line="117" w:lineRule="exact"/>
              <w:rPr>
                <w:sz w:val="20"/>
                <w:szCs w:val="20"/>
                <w:color w:val="auto"/>
              </w:rPr>
            </w:pPr>
            <w:r>
              <w:rPr>
                <w:rFonts w:ascii="Arial" w:cs="Arial" w:eastAsia="Arial" w:hAnsi="Arial"/>
                <w:sz w:val="13"/>
                <w:szCs w:val="13"/>
                <w:color w:val="auto"/>
              </w:rPr>
              <w:t>Provision for (benefit from) income</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1 %</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color w:val="auto"/>
              </w:rPr>
              <w:t>1 %</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color w:val="auto"/>
              </w:rPr>
              <w:t>1 %</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5"/>
            <w:vMerge w:val="restart"/>
          </w:tcPr>
          <w:p>
            <w:pPr>
              <w:jc w:val="right"/>
              <w:ind w:right="34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10 %</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2480" w:type="dxa"/>
            <w:vAlign w:val="bottom"/>
          </w:tcPr>
          <w:p>
            <w:pPr>
              <w:ind w:left="140"/>
              <w:spacing w:after="0"/>
              <w:rPr>
                <w:sz w:val="20"/>
                <w:szCs w:val="20"/>
                <w:color w:val="auto"/>
              </w:rPr>
            </w:pPr>
            <w:r>
              <w:rPr>
                <w:rFonts w:ascii="Arial" w:cs="Arial" w:eastAsia="Arial" w:hAnsi="Arial"/>
                <w:sz w:val="14"/>
                <w:szCs w:val="14"/>
                <w:color w:val="auto"/>
              </w:rPr>
              <w:t>taxes</w:t>
            </w: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8"/>
          </w:tcPr>
          <w:p>
            <w:pPr>
              <w:ind w:left="20"/>
              <w:spacing w:after="0"/>
              <w:rPr>
                <w:sz w:val="20"/>
                <w:szCs w:val="20"/>
                <w:color w:val="auto"/>
              </w:rPr>
            </w:pPr>
            <w:r>
              <w:rPr>
                <w:rFonts w:ascii="Arial" w:cs="Arial" w:eastAsia="Arial" w:hAnsi="Arial"/>
                <w:sz w:val="14"/>
                <w:szCs w:val="14"/>
                <w:b w:val="1"/>
                <w:bCs w:val="1"/>
                <w:color w:val="auto"/>
              </w:rPr>
              <w:t>Quarterly Trends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Arial" w:cs="Arial" w:eastAsia="Arial" w:hAnsi="Arial"/>
                <w:sz w:val="14"/>
                <w:szCs w:val="14"/>
                <w:b w:val="1"/>
                <w:bCs w:val="1"/>
                <w:i w:val="1"/>
                <w:iCs w:val="1"/>
                <w:color w:val="auto"/>
              </w:rPr>
              <w:t>Total Revenue</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48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60" w:type="dxa"/>
            <w:vAlign w:val="bottom"/>
          </w:tcPr>
          <w:p>
            <w:pPr>
              <w:spacing w:after="0"/>
              <w:rPr>
                <w:sz w:val="21"/>
                <w:szCs w:val="21"/>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April 30, 2023</w:t>
            </w:r>
          </w:p>
        </w:tc>
        <w:tc>
          <w:tcPr>
            <w:tcW w:w="60" w:type="dxa"/>
            <w:vAlign w:val="bottom"/>
          </w:tcPr>
          <w:p>
            <w:pPr>
              <w:spacing w:after="0"/>
              <w:rPr>
                <w:sz w:val="21"/>
                <w:szCs w:val="21"/>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July 31, 2023</w:t>
            </w:r>
          </w:p>
        </w:tc>
        <w:tc>
          <w:tcPr>
            <w:tcW w:w="60" w:type="dxa"/>
            <w:vAlign w:val="bottom"/>
            <w:vMerge w:val="restart"/>
          </w:tcPr>
          <w:p>
            <w:pPr>
              <w:spacing w:after="0"/>
              <w:rPr>
                <w:sz w:val="21"/>
                <w:szCs w:val="21"/>
                <w:color w:val="auto"/>
              </w:rPr>
            </w:pPr>
          </w:p>
        </w:tc>
        <w:tc>
          <w:tcPr>
            <w:tcW w:w="780" w:type="dxa"/>
            <w:vAlign w:val="bottom"/>
            <w:gridSpan w:val="4"/>
          </w:tcPr>
          <w:p>
            <w:pPr>
              <w:jc w:val="right"/>
              <w:ind w:right="24"/>
              <w:spacing w:after="0"/>
              <w:rPr>
                <w:sz w:val="20"/>
                <w:szCs w:val="20"/>
                <w:color w:val="auto"/>
              </w:rPr>
            </w:pPr>
            <w:r>
              <w:rPr>
                <w:rFonts w:ascii="Arial" w:cs="Arial" w:eastAsia="Arial" w:hAnsi="Arial"/>
                <w:sz w:val="11"/>
                <w:szCs w:val="11"/>
                <w:b w:val="1"/>
                <w:bCs w:val="1"/>
                <w:color w:val="auto"/>
              </w:rPr>
              <w:t>October 31,</w:t>
            </w:r>
          </w:p>
        </w:tc>
        <w:tc>
          <w:tcPr>
            <w:tcW w:w="60" w:type="dxa"/>
            <w:vAlign w:val="bottom"/>
          </w:tcPr>
          <w:p>
            <w:pPr>
              <w:spacing w:after="0"/>
              <w:rPr>
                <w:sz w:val="21"/>
                <w:szCs w:val="21"/>
                <w:color w:val="auto"/>
              </w:rPr>
            </w:pPr>
          </w:p>
        </w:tc>
        <w:tc>
          <w:tcPr>
            <w:tcW w:w="840" w:type="dxa"/>
            <w:vAlign w:val="bottom"/>
            <w:gridSpan w:val="5"/>
          </w:tcPr>
          <w:p>
            <w:pPr>
              <w:ind w:left="80"/>
              <w:spacing w:after="0"/>
              <w:rPr>
                <w:sz w:val="20"/>
                <w:szCs w:val="20"/>
                <w:color w:val="auto"/>
              </w:rPr>
            </w:pPr>
            <w:r>
              <w:rPr>
                <w:rFonts w:ascii="Arial" w:cs="Arial" w:eastAsia="Arial" w:hAnsi="Arial"/>
                <w:sz w:val="11"/>
                <w:szCs w:val="11"/>
                <w:b w:val="1"/>
                <w:bCs w:val="1"/>
                <w:color w:val="auto"/>
              </w:rPr>
              <w:t>January 31,</w:t>
            </w:r>
          </w:p>
        </w:tc>
        <w:tc>
          <w:tcPr>
            <w:tcW w:w="7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April 30, 2024</w:t>
            </w:r>
          </w:p>
        </w:tc>
        <w:tc>
          <w:tcPr>
            <w:tcW w:w="60" w:type="dxa"/>
            <w:vAlign w:val="bottom"/>
            <w:vMerge w:val="restart"/>
          </w:tcPr>
          <w:p>
            <w:pPr>
              <w:spacing w:after="0"/>
              <w:rPr>
                <w:sz w:val="21"/>
                <w:szCs w:val="21"/>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July 31, 2024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9"/>
              </w:rPr>
              <w:t>October 31,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99"/>
              </w:rPr>
              <w:t>January 31,</w:t>
            </w:r>
          </w:p>
        </w:tc>
        <w:tc>
          <w:tcPr>
            <w:tcW w:w="60" w:type="dxa"/>
            <w:vAlign w:val="bottom"/>
          </w:tcPr>
          <w:p>
            <w:pPr>
              <w:spacing w:after="0"/>
              <w:rPr>
                <w:sz w:val="21"/>
                <w:szCs w:val="21"/>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April 30, 2025</w:t>
            </w:r>
          </w:p>
        </w:tc>
        <w:tc>
          <w:tcPr>
            <w:tcW w:w="4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July 31, 2025</w:t>
            </w:r>
          </w:p>
        </w:tc>
        <w:tc>
          <w:tcPr>
            <w:tcW w:w="0" w:type="dxa"/>
            <w:vAlign w:val="bottom"/>
          </w:tcPr>
          <w:p>
            <w:pPr>
              <w:spacing w:after="0"/>
              <w:rPr>
                <w:sz w:val="1"/>
                <w:szCs w:val="1"/>
                <w:color w:val="auto"/>
              </w:rPr>
            </w:pPr>
          </w:p>
        </w:tc>
      </w:tr>
      <w:tr>
        <w:trPr>
          <w:trHeight w:val="147"/>
        </w:trPr>
        <w:tc>
          <w:tcPr>
            <w:tcW w:w="248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78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1"/>
                <w:szCs w:val="11"/>
                <w:b w:val="1"/>
                <w:bCs w:val="1"/>
                <w:color w:val="auto"/>
              </w:rPr>
              <w:t>2023</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4"/>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74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management</w:t>
            </w:r>
          </w:p>
        </w:tc>
        <w:tc>
          <w:tcPr>
            <w:tcW w:w="800" w:type="dxa"/>
            <w:vAlign w:val="bottom"/>
            <w:gridSpan w:val="2"/>
            <w:shd w:val="clear" w:color="auto" w:fill="CCEEFF"/>
          </w:tcPr>
          <w:p>
            <w:pPr>
              <w:jc w:val="right"/>
              <w:ind w:right="204"/>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1"/>
                <w:szCs w:val="11"/>
                <w:color w:val="auto"/>
              </w:rPr>
              <w:t>25,388</w:t>
            </w:r>
          </w:p>
        </w:tc>
        <w:tc>
          <w:tcPr>
            <w:tcW w:w="420" w:type="dxa"/>
            <w:vAlign w:val="bottom"/>
            <w:gridSpan w:val="2"/>
            <w:shd w:val="clear" w:color="auto" w:fill="CCEEFF"/>
          </w:tcPr>
          <w:p>
            <w:pPr>
              <w:jc w:val="right"/>
              <w:ind w:right="224"/>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4"/>
              <w:spacing w:after="0"/>
              <w:rPr>
                <w:sz w:val="20"/>
                <w:szCs w:val="20"/>
                <w:color w:val="auto"/>
              </w:rPr>
            </w:pPr>
            <w:r>
              <w:rPr>
                <w:rFonts w:ascii="Arial" w:cs="Arial" w:eastAsia="Arial" w:hAnsi="Arial"/>
                <w:sz w:val="11"/>
                <w:szCs w:val="11"/>
                <w:color w:val="auto"/>
              </w:rPr>
              <w:t>38,379</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center"/>
              <w:ind w:right="193"/>
              <w:spacing w:after="0"/>
              <w:rPr>
                <w:sz w:val="20"/>
                <w:szCs w:val="20"/>
                <w:color w:val="auto"/>
              </w:rPr>
            </w:pPr>
            <w:r>
              <w:rPr>
                <w:rFonts w:ascii="Arial" w:cs="Arial" w:eastAsia="Arial" w:hAnsi="Arial"/>
                <w:sz w:val="11"/>
                <w:szCs w:val="11"/>
                <w:color w:val="auto"/>
                <w:w w:val="97"/>
              </w:rPr>
              <w:t>$</w:t>
            </w:r>
          </w:p>
        </w:tc>
        <w:tc>
          <w:tcPr>
            <w:tcW w:w="420" w:type="dxa"/>
            <w:vAlign w:val="bottom"/>
            <w:gridSpan w:val="3"/>
            <w:shd w:val="clear" w:color="auto" w:fill="CCEEFF"/>
          </w:tcPr>
          <w:p>
            <w:pPr>
              <w:jc w:val="right"/>
              <w:ind w:right="4"/>
              <w:spacing w:after="0"/>
              <w:rPr>
                <w:sz w:val="20"/>
                <w:szCs w:val="20"/>
                <w:color w:val="auto"/>
              </w:rPr>
            </w:pPr>
            <w:r>
              <w:rPr>
                <w:rFonts w:ascii="Arial" w:cs="Arial" w:eastAsia="Arial" w:hAnsi="Arial"/>
                <w:sz w:val="11"/>
                <w:szCs w:val="11"/>
                <w:color w:val="auto"/>
              </w:rPr>
              <w:t>47,413</w:t>
            </w:r>
          </w:p>
        </w:tc>
        <w:tc>
          <w:tcPr>
            <w:tcW w:w="300" w:type="dxa"/>
            <w:vAlign w:val="bottom"/>
            <w:gridSpan w:val="2"/>
            <w:shd w:val="clear" w:color="auto" w:fill="CCEEFF"/>
          </w:tcPr>
          <w:p>
            <w:pPr>
              <w:jc w:val="right"/>
              <w:ind w:right="97"/>
              <w:spacing w:after="0"/>
              <w:rPr>
                <w:sz w:val="20"/>
                <w:szCs w:val="20"/>
                <w:color w:val="auto"/>
              </w:rPr>
            </w:pPr>
            <w:r>
              <w:rPr>
                <w:rFonts w:ascii="Arial" w:cs="Arial" w:eastAsia="Arial" w:hAnsi="Arial"/>
                <w:sz w:val="11"/>
                <w:szCs w:val="11"/>
                <w:color w:val="auto"/>
              </w:rPr>
              <w:t>$</w:t>
            </w:r>
          </w:p>
        </w:tc>
        <w:tc>
          <w:tcPr>
            <w:tcW w:w="540" w:type="dxa"/>
            <w:vAlign w:val="bottom"/>
            <w:gridSpan w:val="3"/>
            <w:shd w:val="clear" w:color="auto" w:fill="CCEEFF"/>
          </w:tcPr>
          <w:p>
            <w:pPr>
              <w:jc w:val="right"/>
              <w:ind w:right="4"/>
              <w:spacing w:after="0"/>
              <w:rPr>
                <w:sz w:val="20"/>
                <w:szCs w:val="20"/>
                <w:color w:val="auto"/>
              </w:rPr>
            </w:pPr>
            <w:r>
              <w:rPr>
                <w:rFonts w:ascii="Arial" w:cs="Arial" w:eastAsia="Arial" w:hAnsi="Arial"/>
                <w:sz w:val="11"/>
                <w:szCs w:val="11"/>
                <w:color w:val="auto"/>
              </w:rPr>
              <w:t>43,620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50,402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58,331</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60,157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62,056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64,266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68,873</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color w:val="auto"/>
              </w:rPr>
              <w:t>Investment advisory</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4"/>
              <w:spacing w:after="0"/>
              <w:rPr>
                <w:sz w:val="20"/>
                <w:szCs w:val="20"/>
                <w:color w:val="auto"/>
              </w:rPr>
            </w:pPr>
            <w:r>
              <w:rPr>
                <w:rFonts w:ascii="Arial" w:cs="Arial" w:eastAsia="Arial" w:hAnsi="Arial"/>
                <w:sz w:val="11"/>
                <w:szCs w:val="11"/>
                <w:color w:val="auto"/>
              </w:rPr>
              <w:t>12,761</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gridSpan w:val="2"/>
          </w:tcPr>
          <w:p>
            <w:pPr>
              <w:jc w:val="right"/>
              <w:ind w:right="4"/>
              <w:spacing w:after="0"/>
              <w:rPr>
                <w:sz w:val="20"/>
                <w:szCs w:val="20"/>
                <w:color w:val="auto"/>
              </w:rPr>
            </w:pPr>
            <w:r>
              <w:rPr>
                <w:rFonts w:ascii="Arial" w:cs="Arial" w:eastAsia="Arial" w:hAnsi="Arial"/>
                <w:sz w:val="11"/>
                <w:szCs w:val="11"/>
                <w:color w:val="auto"/>
              </w:rPr>
              <w:t>13,951</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gridSpan w:val="3"/>
          </w:tcPr>
          <w:p>
            <w:pPr>
              <w:jc w:val="right"/>
              <w:ind w:right="4"/>
              <w:spacing w:after="0"/>
              <w:rPr>
                <w:sz w:val="20"/>
                <w:szCs w:val="20"/>
                <w:color w:val="auto"/>
              </w:rPr>
            </w:pPr>
            <w:r>
              <w:rPr>
                <w:rFonts w:ascii="Arial" w:cs="Arial" w:eastAsia="Arial" w:hAnsi="Arial"/>
                <w:sz w:val="11"/>
                <w:szCs w:val="11"/>
                <w:color w:val="auto"/>
              </w:rPr>
              <w:t>14,189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3"/>
          </w:tcPr>
          <w:p>
            <w:pPr>
              <w:jc w:val="right"/>
              <w:ind w:right="4"/>
              <w:spacing w:after="0"/>
              <w:rPr>
                <w:sz w:val="20"/>
                <w:szCs w:val="20"/>
                <w:color w:val="auto"/>
              </w:rPr>
            </w:pPr>
            <w:r>
              <w:rPr>
                <w:rFonts w:ascii="Arial" w:cs="Arial" w:eastAsia="Arial" w:hAnsi="Arial"/>
                <w:sz w:val="11"/>
                <w:szCs w:val="11"/>
                <w:color w:val="auto"/>
              </w:rPr>
              <w:t>15,194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1"/>
                <w:szCs w:val="11"/>
                <w:color w:val="auto"/>
              </w:rPr>
              <w:t>16,383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1"/>
                <w:szCs w:val="11"/>
                <w:color w:val="auto"/>
              </w:rPr>
              <w:t>17,889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1"/>
                <w:szCs w:val="11"/>
                <w:color w:val="auto"/>
              </w:rPr>
              <w:t>19,141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19,632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19,874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22,040</w:t>
            </w:r>
          </w:p>
        </w:tc>
        <w:tc>
          <w:tcPr>
            <w:tcW w:w="0" w:type="dxa"/>
            <w:vAlign w:val="bottom"/>
          </w:tcPr>
          <w:p>
            <w:pPr>
              <w:spacing w:after="0"/>
              <w:rPr>
                <w:sz w:val="1"/>
                <w:szCs w:val="1"/>
                <w:color w:val="auto"/>
              </w:rPr>
            </w:pPr>
          </w:p>
        </w:tc>
      </w:tr>
      <w:tr>
        <w:trPr>
          <w:trHeight w:val="158"/>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revenue</w:t>
            </w:r>
          </w:p>
        </w:tc>
        <w:tc>
          <w:tcPr>
            <w:tcW w:w="4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1"/>
                <w:szCs w:val="11"/>
                <w:color w:val="auto"/>
              </w:rPr>
              <w:t>1,649</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1"/>
                <w:szCs w:val="11"/>
                <w:color w:val="auto"/>
              </w:rPr>
              <w:t>1,492</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1"/>
                <w:szCs w:val="11"/>
                <w:color w:val="auto"/>
              </w:rPr>
              <w:t>1,266</w:t>
            </w: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1"/>
                <w:szCs w:val="11"/>
                <w:color w:val="auto"/>
              </w:rPr>
              <w:t>1,412</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1,535</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1,330</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1,011</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992</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51"/>
        </w:trPr>
        <w:tc>
          <w:tcPr>
            <w:tcW w:w="2480" w:type="dxa"/>
            <w:vAlign w:val="bottom"/>
          </w:tcPr>
          <w:p>
            <w:pPr>
              <w:ind w:left="20"/>
              <w:spacing w:after="0"/>
              <w:rPr>
                <w:sz w:val="20"/>
                <w:szCs w:val="20"/>
                <w:color w:val="auto"/>
              </w:rPr>
            </w:pPr>
            <w:r>
              <w:rPr>
                <w:rFonts w:ascii="Arial" w:cs="Arial" w:eastAsia="Arial" w:hAnsi="Arial"/>
                <w:sz w:val="11"/>
                <w:szCs w:val="11"/>
                <w:color w:val="auto"/>
              </w:rPr>
              <w:t>Total revenue</w:t>
            </w:r>
          </w:p>
        </w:tc>
        <w:tc>
          <w:tcPr>
            <w:tcW w:w="800" w:type="dxa"/>
            <w:vAlign w:val="bottom"/>
            <w:gridSpan w:val="2"/>
          </w:tcPr>
          <w:p>
            <w:pPr>
              <w:jc w:val="right"/>
              <w:ind w:right="204"/>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4"/>
              <w:spacing w:after="0"/>
              <w:rPr>
                <w:sz w:val="20"/>
                <w:szCs w:val="20"/>
                <w:color w:val="auto"/>
              </w:rPr>
            </w:pPr>
            <w:r>
              <w:rPr>
                <w:rFonts w:ascii="Arial" w:cs="Arial" w:eastAsia="Arial" w:hAnsi="Arial"/>
                <w:sz w:val="11"/>
                <w:szCs w:val="11"/>
                <w:color w:val="auto"/>
              </w:rPr>
              <w:t>39,798</w:t>
            </w:r>
          </w:p>
        </w:tc>
        <w:tc>
          <w:tcPr>
            <w:tcW w:w="420" w:type="dxa"/>
            <w:vAlign w:val="bottom"/>
            <w:gridSpan w:val="2"/>
          </w:tcPr>
          <w:p>
            <w:pPr>
              <w:jc w:val="right"/>
              <w:ind w:right="224"/>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4"/>
              <w:spacing w:after="0"/>
              <w:rPr>
                <w:sz w:val="20"/>
                <w:szCs w:val="20"/>
                <w:color w:val="auto"/>
              </w:rPr>
            </w:pPr>
            <w:r>
              <w:rPr>
                <w:rFonts w:ascii="Arial" w:cs="Arial" w:eastAsia="Arial" w:hAnsi="Arial"/>
                <w:sz w:val="11"/>
                <w:szCs w:val="11"/>
                <w:color w:val="auto"/>
              </w:rPr>
              <w:t>53,822</w:t>
            </w:r>
          </w:p>
        </w:tc>
        <w:tc>
          <w:tcPr>
            <w:tcW w:w="60" w:type="dxa"/>
            <w:vAlign w:val="bottom"/>
          </w:tcPr>
          <w:p>
            <w:pPr>
              <w:spacing w:after="0"/>
              <w:rPr>
                <w:sz w:val="13"/>
                <w:szCs w:val="13"/>
                <w:color w:val="auto"/>
              </w:rPr>
            </w:pPr>
          </w:p>
        </w:tc>
        <w:tc>
          <w:tcPr>
            <w:tcW w:w="360" w:type="dxa"/>
            <w:vAlign w:val="bottom"/>
          </w:tcPr>
          <w:p>
            <w:pPr>
              <w:jc w:val="center"/>
              <w:ind w:right="193"/>
              <w:spacing w:after="0"/>
              <w:rPr>
                <w:sz w:val="20"/>
                <w:szCs w:val="20"/>
                <w:color w:val="auto"/>
              </w:rPr>
            </w:pPr>
            <w:r>
              <w:rPr>
                <w:rFonts w:ascii="Arial" w:cs="Arial" w:eastAsia="Arial" w:hAnsi="Arial"/>
                <w:sz w:val="11"/>
                <w:szCs w:val="11"/>
                <w:color w:val="auto"/>
                <w:w w:val="97"/>
              </w:rPr>
              <w:t>$</w:t>
            </w:r>
          </w:p>
        </w:tc>
        <w:tc>
          <w:tcPr>
            <w:tcW w:w="420" w:type="dxa"/>
            <w:vAlign w:val="bottom"/>
            <w:gridSpan w:val="3"/>
          </w:tcPr>
          <w:p>
            <w:pPr>
              <w:jc w:val="right"/>
              <w:ind w:right="4"/>
              <w:spacing w:after="0"/>
              <w:rPr>
                <w:sz w:val="20"/>
                <w:szCs w:val="20"/>
                <w:color w:val="auto"/>
              </w:rPr>
            </w:pPr>
            <w:r>
              <w:rPr>
                <w:rFonts w:ascii="Arial" w:cs="Arial" w:eastAsia="Arial" w:hAnsi="Arial"/>
                <w:sz w:val="11"/>
                <w:szCs w:val="11"/>
                <w:color w:val="auto"/>
              </w:rPr>
              <w:t>62,868</w:t>
            </w:r>
          </w:p>
        </w:tc>
        <w:tc>
          <w:tcPr>
            <w:tcW w:w="300" w:type="dxa"/>
            <w:vAlign w:val="bottom"/>
            <w:gridSpan w:val="2"/>
          </w:tcPr>
          <w:p>
            <w:pPr>
              <w:jc w:val="right"/>
              <w:ind w:right="97"/>
              <w:spacing w:after="0"/>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4"/>
              <w:spacing w:after="0"/>
              <w:rPr>
                <w:sz w:val="20"/>
                <w:szCs w:val="20"/>
                <w:color w:val="auto"/>
              </w:rPr>
            </w:pPr>
            <w:r>
              <w:rPr>
                <w:rFonts w:ascii="Arial" w:cs="Arial" w:eastAsia="Arial" w:hAnsi="Arial"/>
                <w:sz w:val="11"/>
                <w:szCs w:val="11"/>
                <w:color w:val="auto"/>
              </w:rPr>
              <w:t>60,226</w:t>
            </w:r>
          </w:p>
        </w:tc>
        <w:tc>
          <w:tcPr>
            <w:tcW w:w="6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80" w:type="dxa"/>
            <w:vAlign w:val="bottom"/>
            <w:gridSpan w:val="3"/>
          </w:tcPr>
          <w:p>
            <w:pPr>
              <w:jc w:val="right"/>
              <w:ind w:right="60"/>
              <w:spacing w:after="0"/>
              <w:rPr>
                <w:sz w:val="20"/>
                <w:szCs w:val="20"/>
                <w:color w:val="auto"/>
              </w:rPr>
            </w:pPr>
            <w:r>
              <w:rPr>
                <w:rFonts w:ascii="Arial" w:cs="Arial" w:eastAsia="Arial" w:hAnsi="Arial"/>
                <w:sz w:val="11"/>
                <w:szCs w:val="11"/>
                <w:color w:val="auto"/>
              </w:rPr>
              <w:t>68,320</w:t>
            </w:r>
          </w:p>
        </w:tc>
        <w:tc>
          <w:tcPr>
            <w:tcW w:w="6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1"/>
                <w:szCs w:val="11"/>
                <w:color w:val="auto"/>
              </w:rPr>
              <w:t>77,550</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1"/>
                <w:szCs w:val="11"/>
                <w:color w:val="auto"/>
              </w:rPr>
              <w:t>80,309</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82,680</w:t>
            </w:r>
          </w:p>
        </w:tc>
        <w:tc>
          <w:tcPr>
            <w:tcW w:w="26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84,514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91,123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80"/>
          </w:cols>
          <w:pgMar w:left="300" w:top="209" w:right="319"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Total revenue has increased sequentially in each of the periods presented, other than the fourth quarter of fiscal 2024, primarily driven by an increase in cash management and investment advisory assets.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Cash management revenue has generally increased sequentially in each of the periods presented, other than the fourth quarter of fiscal 2024, primarily attributable to quarter over quarter increase in the daily average balance of cash management assets. In November 2023, we increased the APY our clients receive on their program deposits without an associated increase in the benchmark. As a result, the average fee rate received for the delivery of cash management services declined in the fourth quarter of fiscal 2024, compared to the prior quarter.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Investment advisory revenue has increased sequentially in each of the periods presented primarily driven by quarter over quarter increase in the daily average balance of investment advisory assets and the introduction of new investment advisory products.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Other revenue has generally decreased sequentially in each of the periods presented, other than the fourth quarter of fiscal 2024 and first quarter of fiscal 2025, primarily attributable to discontinuing a product line in November 2024 and the decline in net interest margin revenue. A strategic decision was made in June 2024 to reduce the client borrowing rate for PLOC. This decision, unrelated to the interest rate environment, resulted in a decline in net interest margin revenue.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Costs and Operating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April 30, 2023</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July 31, 2023</w:t>
            </w:r>
          </w:p>
        </w:tc>
        <w:tc>
          <w:tcPr>
            <w:tcW w:w="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January 31,</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April 30, 2024</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July 31, 2024</w:t>
            </w:r>
          </w:p>
        </w:tc>
        <w:tc>
          <w:tcPr>
            <w:tcW w:w="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January 31,</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April 30, 2025</w:t>
            </w: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July 31, 2025</w:t>
            </w:r>
          </w:p>
        </w:tc>
        <w:tc>
          <w:tcPr>
            <w:tcW w:w="0" w:type="dxa"/>
            <w:vAlign w:val="bottom"/>
          </w:tcPr>
          <w:p>
            <w:pPr>
              <w:spacing w:after="0"/>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5,026</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5,649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5,798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6,425</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6,730</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7,703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7,988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8,543</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8,668</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9,587</w:t>
            </w:r>
          </w:p>
        </w:tc>
        <w:tc>
          <w:tcPr>
            <w:tcW w:w="0" w:type="dxa"/>
            <w:vAlign w:val="bottom"/>
          </w:tcPr>
          <w:p>
            <w:pPr>
              <w:spacing w:after="0"/>
              <w:rPr>
                <w:sz w:val="1"/>
                <w:szCs w:val="1"/>
                <w:color w:val="auto"/>
              </w:rPr>
            </w:pPr>
          </w:p>
        </w:tc>
      </w:tr>
      <w:tr>
        <w:trPr>
          <w:trHeight w:val="155"/>
        </w:trPr>
        <w:tc>
          <w:tcPr>
            <w:tcW w:w="2940" w:type="dxa"/>
            <w:vAlign w:val="bottom"/>
          </w:tcPr>
          <w:p>
            <w:pPr>
              <w:ind w:left="20"/>
              <w:spacing w:after="0"/>
              <w:rPr>
                <w:sz w:val="20"/>
                <w:szCs w:val="20"/>
                <w:color w:val="auto"/>
              </w:rPr>
            </w:pPr>
            <w:r>
              <w:rPr>
                <w:rFonts w:ascii="Arial" w:cs="Arial" w:eastAsia="Arial" w:hAnsi="Arial"/>
                <w:sz w:val="11"/>
                <w:szCs w:val="11"/>
                <w:color w:val="auto"/>
              </w:rPr>
              <w:t>Product development</w:t>
            </w:r>
          </w:p>
        </w:tc>
        <w:tc>
          <w:tcPr>
            <w:tcW w:w="220" w:type="dxa"/>
            <w:vAlign w:val="bottom"/>
          </w:tcPr>
          <w:p>
            <w:pPr>
              <w:spacing w:after="0"/>
              <w:rPr>
                <w:sz w:val="13"/>
                <w:szCs w:val="13"/>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14,429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15,948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13,760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13,421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14,287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15,080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17,063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18,085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20,232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21,227</w:t>
            </w:r>
          </w:p>
        </w:tc>
        <w:tc>
          <w:tcPr>
            <w:tcW w:w="0" w:type="dxa"/>
            <w:vAlign w:val="bottom"/>
          </w:tcPr>
          <w:p>
            <w:pPr>
              <w:spacing w:after="0"/>
              <w:rPr>
                <w:sz w:val="1"/>
                <w:szCs w:val="1"/>
                <w:color w:val="auto"/>
              </w:rPr>
            </w:pPr>
          </w:p>
        </w:tc>
      </w:tr>
      <w:tr>
        <w:trPr>
          <w:trHeight w:val="161"/>
        </w:trPr>
        <w:tc>
          <w:tcPr>
            <w:tcW w:w="2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5,775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5,658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6,297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6,036</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6,704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7,182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7,365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7,841</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9,867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8,873</w:t>
            </w:r>
          </w:p>
        </w:tc>
        <w:tc>
          <w:tcPr>
            <w:tcW w:w="0" w:type="dxa"/>
            <w:vAlign w:val="bottom"/>
          </w:tcPr>
          <w:p>
            <w:pPr>
              <w:spacing w:after="0"/>
              <w:rPr>
                <w:sz w:val="1"/>
                <w:szCs w:val="1"/>
                <w:color w:val="auto"/>
              </w:rPr>
            </w:pPr>
          </w:p>
        </w:tc>
      </w:tr>
      <w:tr>
        <w:trPr>
          <w:trHeight w:val="155"/>
        </w:trPr>
        <w:tc>
          <w:tcPr>
            <w:tcW w:w="2940" w:type="dxa"/>
            <w:vAlign w:val="bottom"/>
          </w:tcPr>
          <w:p>
            <w:pPr>
              <w:ind w:left="20"/>
              <w:spacing w:after="0"/>
              <w:rPr>
                <w:sz w:val="20"/>
                <w:szCs w:val="20"/>
                <w:color w:val="auto"/>
              </w:rPr>
            </w:pPr>
            <w:r>
              <w:rPr>
                <w:rFonts w:ascii="Arial" w:cs="Arial" w:eastAsia="Arial" w:hAnsi="Arial"/>
                <w:sz w:val="11"/>
                <w:szCs w:val="11"/>
                <w:color w:val="auto"/>
              </w:rPr>
              <w:t>Marketing</w:t>
            </w:r>
          </w:p>
        </w:tc>
        <w:tc>
          <w:tcPr>
            <w:tcW w:w="220" w:type="dxa"/>
            <w:vAlign w:val="bottom"/>
          </w:tcPr>
          <w:p>
            <w:pPr>
              <w:spacing w:after="0"/>
              <w:rPr>
                <w:sz w:val="13"/>
                <w:szCs w:val="13"/>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3,808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4,947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5,444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6,951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10,378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11,531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15,812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14,475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10,188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9,093</w:t>
            </w:r>
          </w:p>
        </w:tc>
        <w:tc>
          <w:tcPr>
            <w:tcW w:w="0" w:type="dxa"/>
            <w:vAlign w:val="bottom"/>
          </w:tcPr>
          <w:p>
            <w:pPr>
              <w:spacing w:after="0"/>
              <w:rPr>
                <w:sz w:val="1"/>
                <w:szCs w:val="1"/>
                <w:color w:val="auto"/>
              </w:rPr>
            </w:pPr>
          </w:p>
        </w:tc>
      </w:tr>
      <w:tr>
        <w:trPr>
          <w:trHeight w:val="158"/>
        </w:trPr>
        <w:tc>
          <w:tcPr>
            <w:tcW w:w="2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Operations and support</w:t>
            </w:r>
          </w:p>
        </w:tc>
        <w:tc>
          <w:tcPr>
            <w:tcW w:w="2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2,434</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2,535</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2,444</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2,354</w:t>
            </w: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2,500</w:t>
            </w: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2,575</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2,705</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2,839</w:t>
            </w: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2,925</w:t>
            </w: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3,063</w:t>
            </w:r>
          </w:p>
        </w:tc>
        <w:tc>
          <w:tcPr>
            <w:tcW w:w="0" w:type="dxa"/>
            <w:vAlign w:val="bottom"/>
          </w:tcPr>
          <w:p>
            <w:pPr>
              <w:spacing w:after="0"/>
              <w:rPr>
                <w:sz w:val="1"/>
                <w:szCs w:val="1"/>
                <w:color w:val="auto"/>
              </w:rPr>
            </w:pPr>
          </w:p>
        </w:tc>
      </w:tr>
      <w:tr>
        <w:trPr>
          <w:trHeight w:val="151"/>
        </w:trPr>
        <w:tc>
          <w:tcPr>
            <w:tcW w:w="2940" w:type="dxa"/>
            <w:vAlign w:val="bottom"/>
          </w:tcPr>
          <w:p>
            <w:pPr>
              <w:ind w:left="20"/>
              <w:spacing w:after="0"/>
              <w:rPr>
                <w:sz w:val="20"/>
                <w:szCs w:val="20"/>
                <w:color w:val="auto"/>
              </w:rPr>
            </w:pPr>
            <w:r>
              <w:rPr>
                <w:rFonts w:ascii="Arial" w:cs="Arial" w:eastAsia="Arial" w:hAnsi="Arial"/>
                <w:sz w:val="11"/>
                <w:szCs w:val="11"/>
                <w:color w:val="auto"/>
              </w:rPr>
              <w:t>Total costs and operating expenses</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31,472</w:t>
            </w: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34,737</w:t>
            </w: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33,743</w:t>
            </w: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35,187</w:t>
            </w:r>
          </w:p>
        </w:tc>
        <w:tc>
          <w:tcPr>
            <w:tcW w:w="6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40,599</w:t>
            </w:r>
          </w:p>
        </w:tc>
        <w:tc>
          <w:tcPr>
            <w:tcW w:w="6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44,071</w:t>
            </w: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50,933</w:t>
            </w: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51,783</w:t>
            </w:r>
          </w:p>
        </w:tc>
        <w:tc>
          <w:tcPr>
            <w:tcW w:w="6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51,880</w:t>
            </w:r>
          </w:p>
        </w:tc>
        <w:tc>
          <w:tcPr>
            <w:tcW w:w="6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51,843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Cost of revenue has increased sequentially in each of the periods presented primarily due to:</w:t>
      </w:r>
    </w:p>
    <w:p>
      <w:pPr>
        <w:spacing w:after="0" w:line="133" w:lineRule="exact"/>
        <w:rPr>
          <w:sz w:val="20"/>
          <w:szCs w:val="20"/>
          <w:color w:val="auto"/>
        </w:rPr>
      </w:pPr>
    </w:p>
    <w:p>
      <w:pPr>
        <w:ind w:left="500" w:hanging="244"/>
        <w:spacing w:after="0" w:line="286" w:lineRule="auto"/>
        <w:tabs>
          <w:tab w:leader="none" w:pos="496"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 increase in cash management costs driven largely by an increase of the amount paid to a third party for the administration of our cash sweep program. The increase in cash management costs was primarily due to increased cash assets held by clients in the cash sweep program;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209" w:right="31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00" w:hanging="244"/>
        <w:spacing w:after="0" w:line="268" w:lineRule="auto"/>
        <w:tabs>
          <w:tab w:leader="none" w:pos="496" w:val="left"/>
        </w:tabs>
        <w:numPr>
          <w:ilvl w:val="0"/>
          <w:numId w:val="68"/>
        </w:numPr>
        <w:rPr>
          <w:rFonts w:ascii="Arial" w:cs="Arial" w:eastAsia="Arial" w:hAnsi="Arial"/>
          <w:sz w:val="14"/>
          <w:szCs w:val="14"/>
          <w:color w:val="auto"/>
        </w:rPr>
      </w:pPr>
      <w:r>
        <w:rPr>
          <w:rFonts w:ascii="Arial" w:cs="Arial" w:eastAsia="Arial" w:hAnsi="Arial"/>
          <w:sz w:val="14"/>
          <w:szCs w:val="14"/>
          <w:color w:val="auto"/>
        </w:rPr>
        <w:t>an increase in brokerage platform fees driven largely by an increase of money movement fees, IRA custodial and tax reporting fees, clearing and execution fees, client identification program costs, and regulatory fees. The increases in brokerage platform costs were primarily due to an increase in clients, accounts and money movement volumes; and</w:t>
      </w:r>
    </w:p>
    <w:p>
      <w:pPr>
        <w:spacing w:after="0" w:line="91" w:lineRule="exact"/>
        <w:rPr>
          <w:rFonts w:ascii="Arial" w:cs="Arial" w:eastAsia="Arial" w:hAnsi="Arial"/>
          <w:sz w:val="14"/>
          <w:szCs w:val="14"/>
          <w:color w:val="auto"/>
        </w:rPr>
      </w:pPr>
    </w:p>
    <w:p>
      <w:pPr>
        <w:ind w:left="500" w:hanging="244"/>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an increase in other cost of revenue due primarily to increased data costs and amortization of internally developed software.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Product development expenses have generally increased sequentially in each of the periods presented, other than the third and fourth quarter of fiscal 2024, primarily due to an increase in personnel-related expenses due to increased headcount.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General and administrative expenses have generally increased sequentially in each of the periods presented, other than the second quarter of 2024, the fourth quarter of fiscal 2025, and second quarter of fiscal 2026, primarily due to an increase in professional fees.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Marketing expenses increased sequentially through the third quarter of fiscal 2025, which was followed by sequential decreases through the second quarter of fiscal 2026, primarily due to an increase in advertising expenses, including performance and brand advertising, client referral expenses, and consulting costs related to a brand awareness campaign.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Operations and Support</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Operations and support expenses have generally increased sequentially in each of the periods presented, other than the second quarter of fiscal 2024, the fourth quarter of fiscal 2024, and second quarter of fiscal 2026, primarily due to an increase in personnel-related expenses due to increased headcount.</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Upon the closing of this offering, we expect to recognize a significant non-cash cumulative stock-based compensation charge for RSUs for which the service-based vesting condition has been satisfied, which will affect all costs and operating expenses, except for Cost of Revenue. We also expect stock-based compensation to increase annually thereafter.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April 30, 2023</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July 31, 2023</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January 31,</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April 30, 2024</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July 31, 2024</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January 31,</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April 30, 2025</w:t>
            </w: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July 31, 2025</w:t>
            </w:r>
          </w:p>
        </w:tc>
        <w:tc>
          <w:tcPr>
            <w:tcW w:w="0" w:type="dxa"/>
            <w:vAlign w:val="bottom"/>
          </w:tcPr>
          <w:p>
            <w:pPr>
              <w:spacing w:after="0"/>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488</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504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504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504</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718</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808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253</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Interest expense generally increased sequentially through the third quarter of fiscal 2025, which was followed by sequential decreases through the second quarter of fiscal 2026. The increase was primarily due to the increase of the interest rate for the Bridge Loan. The decrease was primarily due to the repayment of the Bridge Loan.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80"/>
          </w:cols>
          <w:pgMar w:left="300" w:top="209" w:right="31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April 30, 2023</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July 31, 2023</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January 31,</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April 30, 2024</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July 31, 2024</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January 31,</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April 30, 2025</w:t>
            </w: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July 31, 2025</w:t>
            </w:r>
          </w:p>
        </w:tc>
        <w:tc>
          <w:tcPr>
            <w:tcW w:w="0" w:type="dxa"/>
            <w:vAlign w:val="bottom"/>
          </w:tcPr>
          <w:p>
            <w:pPr>
              <w:spacing w:after="0"/>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4"/>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expense (income), net</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13,149</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10,502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(7,542)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(15,123)</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(17,720)</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(812)</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(1,544)</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(690)</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Fluctuation of other expense (income), net was primarily due to fair value change in convertible note, warrant liabilities, and SAFEs, and dividend income from corporate cash swept into a money market fund. For additional information regarding the fair value change for each of the convertible note, warrant liabilities, and SAFEs, refer to Note 7. — Financing Activities and Note 11. — Warrants of our consolidated financial statements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80"/>
          </w:cols>
          <w:pgMar w:left="300" w:top="209" w:right="31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Liquidity and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Since inception, we have financed operations primarily through issuances of redeemable convertible preferred stock, borrowings, and cash flow from operating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of July 31, 2025, our primary sources of liquidity were our unrestricted cash and cash equivalents of $222.7 million.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July 31, 2025, we were party to a credit agreement with a third-party financial institution to provide a revolving line of up to $50.0 million with a maturity date of October 30, 2025 (the “Revolver”). The Revolver was not drawn on during the six months ended July 31, 2025.</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Based on our current level of operations, we believe our available cash and cash provided by operations will be adequate to meet our future liquidity needs for at least the next 12 months. Our future capital requirements and the adequacy of available funds will depend on many factors, including, but not limited to our growth, our ability to attract and retain platform assets, efforts to develop and improve our platform, the growth of new and existing products, marketing activities, potential merger and acquisition activity, and other strategic initiatives.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Borrowings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Revolving Credit Facility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October 14, 2025, we entered into an amended and restated credit agreement (the “Revolving Credit Agreement”) with Wells Fargo Bank, N.A., as administrative agent, Wells Fargo Securities, LLC, as sole lead arranger and sole bookrunner, the letter of credit issuers from time to time party thereto, and the lenders from time to time party thereto, which provides for a revolving credit facility (the “Revolving Credit Facility”) of up to $ 250.0 million, including a subfacility of up to $25.0 million for letters of credit. We may, subject to certain customary conditions, on one or more occasions increase commitments under the Revolving Credit Facility in an amount not to exceed $100.0 million in the aggregate.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Loans under the Revolving Credit Facility will incur interest, at our option, at a rate per annum equal to either (i) a base rate determined by reference to the highest of (x) prime rate,</w:t>
      </w:r>
    </w:p>
    <w:p>
      <w:pPr>
        <w:spacing w:after="0" w:line="21" w:lineRule="exact"/>
        <w:rPr>
          <w:sz w:val="20"/>
          <w:szCs w:val="20"/>
          <w:color w:val="auto"/>
        </w:rPr>
      </w:pPr>
    </w:p>
    <w:p>
      <w:pPr>
        <w:jc w:val="both"/>
        <w:ind w:firstLine="4"/>
        <w:spacing w:after="0" w:line="253" w:lineRule="auto"/>
        <w:tabs>
          <w:tab w:leader="none" w:pos="20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federal funds effective rate plus 0.50%, and (z) the adjusted daily SOFR plus 1.00%, in each case plus the applicable interest margin, or (ii) the adjusted daily SOFR plus the applicable interest margin. The applicable interest margin for base rate loans ranges from 0.50% per annum to 1.00% per annum, and the applicable interest margin for adjusted daily SOFR loans ranges from 1.50% per annum to 2.00% per annum, in each case based on our consolidated total net leverage ratio. Additionally, we will be required to pay commitment fees of (i) 0.25% per annum on the undrawn portion of the commitments under the Revolving Credit Facility based on a consolidated total net leverage ratio less than 2.00 to 1.00, (ii) 0.375% per annum based on a consolidated total net leverage ratio greater than or equal to 2.00 to 1.00 but less than 3.00 to 1.00, and (iii) 0.50% per annum based on a consolidated total net leverage ratio greater than or equal to 3.00 to 1.00.</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Revolving Credit Agreement contains financial covenants that require us (i) not to exceed a maximum consolidated total net leverage ratio of 3.50 to 1.00, (ii) to have a consolidated fixed charge coverage ratio of at least 1.25 to 1.00, and (iii) to have a tangible net worth of at least $200 million, in each case as of the end of each fiscal quarter. The Revolving Credit Agreement also contains customary representations and customary affirmative and negative covenants (including restrictions on indebtedness, liens, investments, asset sales or dispositions, affiliate transactions, and certain payments, each subject to customary exceptions and baskets) and customary events of default (including, among other things, non-payment of obligations, inaccuracy of representation or warranty, non-performance of covenants and obligations, default on other material debt or hedging agreements, change of control, bankruptcy, or insolvency, ERISA events, material judgments, and actual or asserted invalidity or unenforceability of any financing documentation or liens securing obligations under financing documentation). The obligations under the Revolving Credit Facility are guaranteed by certain wholly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80"/>
          </w:cols>
          <w:pgMar w:left="300" w:top="209" w:right="31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owned subsidiaries, including Wealthfront Advisors LLC and Wealthfront Software LLC, and subject to certain customary and other exceptions, are secured by liens on substantially all of our and the guarantors’ assets. The Revolving Credit Facility is not guaranteed by Wealthfront Brokerage LLC or secured by a lien on any of its assets. The Revolving Credit Facility matures on October 13, 2028.</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expect to draw approximately $200.0 million on the Revolving Credit Facility in order to pay our anticipated tax withholding and remittance obligations in connection with the RSU Net Settlement, and we intend to use the net proceeds from this offering to repay such indebtedness.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foregoing summary and description of the provisions of the Revolving Credit Agreement do not purport to be complete and are qualified in their entirety by reference to the full text of the Revolving Credit Agreement, a copy of which is filed as an exhibit to the registration statement of which this prospectus forms a part.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Revolving Line of Credit</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October 31, 2024, we entered into the Revolver. Interest accrued on the outstanding principal balance was at (i) the base rate, plus 1.0% per annum or (ii) Adjusted Daily Simple SOFR, plus 2.0% per annum. The base rate was defined as the highest of (i) the Prime Rate; (ii) the Federal Funds Rate, plus 0.50%, and (c) Adjusted Daily Simple SOFR plus 1.00%, and was payable on a monthly basis. The Revolver was not drawn on during the six months ended July 31, 2025, and was replaced in October 2025 by the Revolving Credit Facility.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summarized condensed consolidated cash flow information for the periods presented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20" w:type="dxa"/>
            <w:vAlign w:val="bottom"/>
            <w:gridSpan w:val="5"/>
          </w:tcPr>
          <w:p>
            <w:pPr>
              <w:ind w:left="440"/>
              <w:spacing w:after="0"/>
              <w:rPr>
                <w:sz w:val="20"/>
                <w:szCs w:val="20"/>
                <w:color w:val="auto"/>
              </w:rPr>
            </w:pPr>
            <w:r>
              <w:rPr>
                <w:rFonts w:ascii="Arial" w:cs="Arial" w:eastAsia="Arial" w:hAnsi="Arial"/>
                <w:sz w:val="11"/>
                <w:szCs w:val="11"/>
                <w:b w:val="1"/>
                <w:bCs w:val="1"/>
                <w:color w:val="auto"/>
              </w:rPr>
              <w:t>Fiscal Year Ended January 31,</w:t>
            </w:r>
          </w:p>
        </w:tc>
        <w:tc>
          <w:tcPr>
            <w:tcW w:w="380" w:type="dxa"/>
            <w:vAlign w:val="bottom"/>
          </w:tcPr>
          <w:p>
            <w:pPr>
              <w:spacing w:after="0"/>
              <w:rPr>
                <w:sz w:val="13"/>
                <w:szCs w:val="13"/>
                <w:color w:val="auto"/>
              </w:rPr>
            </w:pPr>
          </w:p>
        </w:tc>
        <w:tc>
          <w:tcPr>
            <w:tcW w:w="2840" w:type="dxa"/>
            <w:vAlign w:val="bottom"/>
            <w:gridSpan w:val="4"/>
          </w:tcPr>
          <w:p>
            <w:pPr>
              <w:jc w:val="right"/>
              <w:ind w:right="833"/>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123,150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68,077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77,405</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(5,163)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(5,843)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(632)</w:t>
            </w: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-346710</wp:posOffset>
            </wp:positionV>
            <wp:extent cx="302387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23870" cy="698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Cash provided by operating activities was $68.1 million for the six months ended July 31, 2024, primarily due to the net income of $132.3 million and changes in operating assets and liabilities of $1.9 million, offset by $65.3 million non-cash adjustments. Non-cash adjustments of $65.3 million primarily reflect deferred income taxes, stock-based compensation, depreciation and amortization, non-cash lease expense, and fair value changes.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Cash provided by operating activities was $77.4 million for the six months ended July 31, 2025, primarily due to the net income of $60.7 million and non-cash adjustments of $20.6 million offset by $3.9 million of changes in operating assets and liabilities. Non-cash adjustments of $20.6 million primarily reflect deferred income taxes, stock-based compensation, depreciation and amortization, non-cash lease expense, and fair value changes.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Cash provided by operating activities was $72.9 million for fiscal 2024, primarily due to the net income of $77.0 million and non-cash adjustments of $27.2 million offset by $12.2 million interest paid on convertible note and $19.1 million of changes in operating assets and liabilities. Non-cash adjustments of $27.2 million primarily reflect stock-based compensation, depreciation and amortization, non-cash lease expense, and fair value changes. Changes in operating assets and liabilities of $19.1 million were primarily due to a $9.3 million increase in accounts receivable and $7.5 million decrease in due to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80"/>
          </w:cols>
          <w:pgMar w:left="300" w:top="209" w:right="31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increase in accounts receivable was primarily due to the increase in Cash Account and investment advisory fees earned from the growth in platform assets. The decrease in due to clients is related to the timing of cash received by the clearing firm or held in the bank account for the client’s benefit at period end. This cash has not yet been directed towards client investment or cash management, or is pending withdrawal.</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Cash provided by operating activities was $123.2 million for fiscal 2025, primarily due to the net income of $194.4 million, offset by non-cash adjustments of $54.2 million, $7.1 million interest paid on convertible note and related-party long-term debt, and $10.0 million of changes in operating assets and liabilities. Non-cash adjustments of $54.2 million primarily reflect the release of our valuation allowance on all of our historical net deferred tax assets, fair value changes, stock-based compensation, depreciation and amortization, and non-cash lease expense. Changes in operating assets and liabilities of $10.0 million were primarily due to an $8.9 million increase in accounts receivable. The increase in accounts receivable was primarily due to the increase in Cash Account and investment advisory fees earned from the growth in platform assets.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Cash used in investing activities was $3.8 million and $0.6 million, respectively, for the six months ended July 31, 2024 and July 31, 2025, primarily due to capitalized internally developed software of $3.6 million in the six months ended July 31, 2024 and $0.6 million of purchase of property, software, and equipment in the six months ended July 31, 2025, respectively.</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Cash used in investing activities was $5.2 million and $5.8 million for the fiscal years ended January 31, 2024 and 2025, respectively, primarily due to capitalized internally-developed software of $4.7 million and $5.3 million,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Cash used in financing activities was $29.0 million for the six months ended July 31, 2024, primarily due to repayment of our outstanding borrowings of $29.1 million.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Cash provided by financing activities was $4.9 million for the six months ended July 31, 2025, primarily due to proceeds from exercise of stock options of $5.1 million.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Cash used in financing activities was $39.5 million for the fiscal year ended January 31, 2024, primarily due to repayment of our outstanding borrowings of $40.6 million.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Cash used in financing activities was $ 58.5 million for the fiscal year ended January 31, 2025, primarily due to repayment of our credit facilities of $49.1 million and repurchase of common stock of $37.0 million, partially offset by proceeds from reissuance of treasury stock of $22.7 million.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One of our subsidiaries, Wealthfront Brokerage LLC, is a broker-dealer subject to the SEC Uniform Net Capital Rule (Rule 15c3-1 under the Exchange Act), administered by the SEC and the Financial Industry Regulatory Authority, which requires the maintenance of minimum net capital, as defined in SEC Rule 15c3-1. Net capital and the related net capital requirements may fluctuate on a daily basis. Wealthfront Brokerage LLC computes net capital under the alternative method as permitted by SEC Rule 15c3-1. Under the alternative method, Wealthfront Brokerage LLC is required to maintain minimum net capital equal to the greater of $250,000 or 2.0% of aggregate client debits (e.g. client-related receivables) as computed per Rule 15c3-3’s reserve formula. As of July 31, 2025, Wealthfront Brokerage LLC’s net capital was $176.0 million, which exceeded the alternative method minimum net capital requirement by $172.6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80"/>
          </w:cols>
          <w:pgMar w:left="300" w:top="209" w:right="31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principal contractual obligations as of July 31, 2025 include payments on minimum lease payments for operating leases. See Note 6. — Leases to the consolidated financial statements for the years ended January 31, 2024 and 2025, and unaudited condensed consolidated financial statements for the three and six months ended July 31, 2024 and 2025 included in this prospectus. As of July 31, 2025, the total future minimum lease payments for operating leases was $13.1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Commitments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enter into guarantees and other similar arrangements in the ordinary course of business. For information on these arrangements, see Note 8. — Commitments and Contingencies to the audited consolidated financial statements for the years ended January 31, 2024 and 2025, and unaudited condensed consolidated financial statements for the three and six months ended July 31, 2024 and 2025 included in this prospectus. As of July 31, 2025, our non-cancelable purchase commitments primarily relate to our cloud computing services consisting of total future minimum service payments of $16.7 million.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Off-Balance Sheet Arrangements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did not have, and we do not currently have, any off-balance sheet financing arrangements, as defined in Regulation S-K, during the periods presented that have or are reasonably likely to have a current or future material effect on our financial condition, changes in our financial condition, revenue or expenses, results of operations, liquidity, capital expenditures, or capital resources.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Recent Accounting Pronouncements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See Note 2. — Summary of Significant Accounting Policies to the consolidated financial statements included in this prospectus for recently adopted accounting pronouncements and recently issued accounting pronouncements not yet adopted as of the date of this prospectus.</w:t>
      </w:r>
    </w:p>
    <w:p>
      <w:pPr>
        <w:spacing w:after="0" w:line="79"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Our discussion and analysis of our financial condition and results of operations are based upon our financial statements, which have been prepared in accordance with GAAP.</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policies require significant judgment, our actual results may differ materially from our estimates.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believe that of our significant accounting policies, which are described in Note 2. — Summary of Significant Accounting Policies to the condensed consolidated financial statements included in this prospectus, the following accounting policies involve a greater degree of judgment and complexity. Accordingly, these are the policies we believe are the most critical to aid in fully understanding and evaluating our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Prior to this offering, given the absence of a public trading market for our common stock and in accordance with the American Institute of Certified Public Accountants Practice Aid, </w:t>
      </w:r>
      <w:r>
        <w:rPr>
          <w:rFonts w:ascii="Arial" w:cs="Arial" w:eastAsia="Arial" w:hAnsi="Arial"/>
          <w:sz w:val="14"/>
          <w:szCs w:val="14"/>
          <w:i w:val="1"/>
          <w:iCs w:val="1"/>
          <w:color w:val="auto"/>
        </w:rPr>
        <w:t>Valuation of Privately-Held Company Equity Securities Issued as Compensation</w:t>
      </w:r>
      <w:r>
        <w:rPr>
          <w:rFonts w:ascii="Arial" w:cs="Arial" w:eastAsia="Arial" w:hAnsi="Arial"/>
          <w:sz w:val="14"/>
          <w:szCs w:val="14"/>
          <w:color w:val="auto"/>
        </w:rPr>
        <w:t>, our board of directors considered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80"/>
          </w:cols>
          <w:pgMar w:left="300" w:top="209" w:right="31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numerous objective and subjective factors to determine the fair value of our common stock at each meeting at which awards are approved. These factors include, but are not limited to:</w:t>
      </w:r>
    </w:p>
    <w:p>
      <w:pPr>
        <w:spacing w:after="0" w:line="79" w:lineRule="exact"/>
        <w:rPr>
          <w:sz w:val="20"/>
          <w:szCs w:val="20"/>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contemporaneous valuations of common stock performed by unrelated third-party specialists;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rights, preferences, and privileges of redeemable convertible preferred shares relative to common stock;</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prices paid for common or convertible preferred stock sold to third-party investors by us or existing stockholders and in secondary transactions for shares repurchased by us in arm’s-length transactions, including any tender offers;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lack of marketability of common stock;</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actual operating and financial performance and estimated trends and prospects for our future performance;</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stage and development of our business;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hiring of key personnel and the experience of our management;</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likelihood of achieving a liquidity event, such as an IPO or sale of our company, given prevailing market conditions;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market performance of comparable publicly traded companies;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general U.S. and global economic conditions.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To evaluate the fair value of the underlying common stock for grants between two independent valuations and after the last independent valuation, a linear interpolation framework is used to evaluate the fair value of the underlying shares.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valuing our common stock, the fair value of our business was determined using various valuation methods, including combinations of income and market approaches, with input from management. The income approach estimates value based on the expectation of future cash flows that we may generate. These future cash flows are discounted to their present values using a discount rate derived from an analysis of the cost of capital of comparable publicly traded companies in our industry or similar business operations as of each valuation date, adjusted to reflect the inherent risks in our cash flows. The market approach estimates value based on a comparison of the subject company to comparable public companies in a similar line of business and may also include backsolves, which infers our value from recent financing rounds or tender offers. From these comparable companies, a representative market value multiple is determined and then applied to the subject company’s financial forecasts to estimate its value.</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For each valuation, the fair value of our business determined by the income and market approaches was then allocated to the common stock using either the option-pricing method (“OPM”), or a hybrid of the probability-weighted expected return method (“PWERM”) and OPM methods. The OPM is based on the Black-Scholes-Merton option pricing model, which identifies a range of possible future outcomes, each with an associated probability. This method is appropriate when the range of possible future outcomes is difficult to predict, resulting in highly speculative forecasts. PWERM involves a forward-looking analysis of potential future outcomes for the enterprise, including an IPO and other market-based outcomes. After determining and allocating the equity value to the various classes of securities, a discount for lack of marketability (“DLOM”) is applied to arrive at the fair value of our common stock. The DLOM reflects the theory that private company stockholders have limited opportunities to sell their stock, and any such sale would involve significant transaction costs, thereby reducing the overall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80"/>
          </w:cols>
          <w:pgMar w:left="300" w:top="209" w:right="31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also considered any secondary transactions involving our capital stock. In evaluating those transactions, we took into account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application of these approaches and methodologies involves the use of highly complex and subjective estimates, judgments, and assumptions, such as those regarding our expected future revenue, expenses, and cash flows; discount rates; market multiples; the selection of comparable public companies; and the probability and timing of possible future events. Changes in any or all of these estimates and assumptions, or the relationships between those assumptions, impact our valuations as of each valuation date and may have a significant impact on the valuation of our common stock.</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valuations after the closing of this offering, our board of directors will determine the fair value of each share of our common stock based on the closing price of our common stock on the date of grant. Future expense amounts for any particular period could be affected by changes in our assumptions or market conditions.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Upon the closing of this offering, we expect to recognize a significant non-cash cumulative stock-based compensation charge for RSUs for which the service-based vesting condition has been satisfied. Based on the RSUs outstanding as of July 31, 2025, we expect to recognize approximately $204.9 million of stock-based compensation expense upon the consummation of this offering. We expect to recognize the remaining unrecognized non-cash compensation expense for RSUs that were outstanding as of the closing of this offering ratably as the service-based vesting condition is satisfied. Based on the stock-based awards granted as of July 31, 2025, we expect to recognize approximately $37.0 million and $42.2 million stock-based compensation expense for the remainder of the fiscal years ending January 31, 2026 and 2027, respectively. For RSUs and other stock-based awards granted after the closing of this offering, we expect to record stock-based compensation expense over the requisite service period.</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Based upon an assumed initial public offering price of $13.00 per share, the midpoint of the price range set forth on the cover page of this prospectus, the aggregate intrinsic value of stock options outstanding as of July 31, 2025 was $308.0 million, of which $306.7 million related to vested stock options and $1.3 million related to unvested stock options, and the aggregate intrinsic value of RSUs outstanding as of July 31, 2025 was $445.2 million. In addition, we granted RSUs settleable for 2,153,262 shares of our common stock subsequent to July 31, 2025.</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Quantitative and Qualitative Disclosures of Market Risk</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cash and cash equivalents as of the fiscal year ended July 31, 2025, were held primarily in cash deposits and money market funds. The fair value of our cash and cash equivalents would not be significantly affected by either an increase or decrease in interest rates due mainly to the short-term nature of these instruments. A hypothetical 100 basis point increase or decrease in interest rates would not have a material effect on our financial results.</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Future borrowings under the Revolving Credit Facility will bear interest based on an applicable margin over underlying index rates. Because the interest rates applicable to borrowings under the Revolving Credit Facility are variable, we are exposed to market risk from changes in the underlying index rates, which affect our cost of borrowing.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80"/>
          </w:cols>
          <w:pgMar w:left="300" w:top="209" w:right="31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Market-Related Credit Risk</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indirectly exposed to equity securities risk in connection with securities collateralizing margin loan receivables, as well as risk related to our securities lending activities. We manage risks associated with margin activities by requiring clients to maintain collateral in compliance with internal and, as applicable, regulatory guidelines. We monitor required margin levels daily and require our clients to deposit additional collateral, or to reduce positions, when necessary. We continuously monitor client accounts to detect increased risk to us.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JOBS Act Accounting Election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an EGC, as defined in the JOBS Act.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until the earlier of the date we (i) are no longer an EGC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209" w:right="319" w:bottom="1440"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1054100</wp:posOffset>
            </wp:positionH>
            <wp:positionV relativeFrom="page">
              <wp:posOffset>289560</wp:posOffset>
            </wp:positionV>
            <wp:extent cx="5447030" cy="70491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447030" cy="704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 Overview</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We’re a different kind of FinTech. We are a technology company that built a financial solutions platform for “digital natives,” defined as those born after 1980 (i.e., Millennials, Gen Z, and later generations). Our platform is designed to address the needs of the wealth builders within these generations. We have differentiated, trusted relationships with our clients due to our unique and fundamentally aligned incentives. Simply put, we succeed because our clients succeed.</w:t>
      </w:r>
    </w:p>
    <w:p>
      <w:pPr>
        <w:spacing w:after="0" w:line="8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were among the first digital-only financial solutions platforms,</w:t>
      </w:r>
      <w:r>
        <w:rPr>
          <w:rFonts w:ascii="Arial" w:cs="Arial" w:eastAsia="Arial" w:hAnsi="Arial"/>
          <w:sz w:val="18"/>
          <w:szCs w:val="18"/>
          <w:color w:val="auto"/>
          <w:vertAlign w:val="superscript"/>
        </w:rPr>
        <w:t>26</w:t>
      </w:r>
      <w:r>
        <w:rPr>
          <w:rFonts w:ascii="Arial" w:cs="Arial" w:eastAsia="Arial" w:hAnsi="Arial"/>
          <w:sz w:val="14"/>
          <w:szCs w:val="14"/>
          <w:color w:val="auto"/>
        </w:rPr>
        <w:t xml:space="preserve"> and we pioneered using automation to offer low-cost diversified portfolios. We built our platform using software to deliver our solutions quickly, conveniently, and at low cost. These principles align with the preferences of digital natives, who use digital platforms for the vast majority of their everyday services ranging from entertainment and commerce to food delivery and ride sharing. Our technology-driven financial solutions help clients turn savings into long-term wealth. Our broad suite of products, including cash management, investment advisory, borrowing and lending, and financial planning solutions, address the diverse financial needs of our clients regardless of the economic environment.</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believe the opportunity we are pursuing is unique and massive.</w:t>
      </w:r>
      <w:r>
        <w:rPr>
          <w:rFonts w:ascii="Arial" w:cs="Arial" w:eastAsia="Arial" w:hAnsi="Arial"/>
          <w:sz w:val="18"/>
          <w:szCs w:val="18"/>
          <w:color w:val="auto"/>
          <w:vertAlign w:val="superscript"/>
        </w:rPr>
        <w:t>27</w:t>
      </w:r>
      <w:r>
        <w:rPr>
          <w:rFonts w:ascii="Arial" w:cs="Arial" w:eastAsia="Arial" w:hAnsi="Arial"/>
          <w:sz w:val="14"/>
          <w:szCs w:val="14"/>
          <w:color w:val="auto"/>
        </w:rPr>
        <w:t xml:space="preserve"> Digital natives are entering the prime wealth accumulation phase of their lives and are expected to be the wealthiest generations ever. According to a study we commissioned from Oxford Economics, the wealth of digital natives is estimated to grow at an annual rate of 11.3% from $12 trillion in 2022 to $140 trillion in 2045. During the GFC, digital natives lost trust in traditional financial institutions which they blamed for high unemployment and an economic downturn. Meanwhile, they embraced and became increasingly empowered by technology through intuitive, mobile, and software-focused experiences. This backdrop created an opportunity for Wealthfront to disrupt traditional brick-and-mortar, in-person, and high-cost financial product experiences.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clients are primarily digital-native high earners who prioritize savings and wealth accumulation. Since inception, our platform assets have grown in-line with the wealth accumulation of these generations. As of July 31, 2025, we had over 1.3 million funded clients, and $88.2 billion in platform assets. Digital natives typically have large liquid savings with long time horizons ahead, and they are undeterred by corrections and bear markets. Clients typically come to Wealthfront seeking a specific solution and, as our trust-based relationship deepens, we gain insights into their evolving needs, in many cases through the data associated with third-party financial accounts they link to our financial planning software. Client engagement and feedback drive our product-led growth strategy and business flywheel. This continuous feedback loop constantly optimizes our platform for our clients’ evolving needs, fueling our historical organic growth. Over the past two fiscal years, over 50% of new clients were referred by existing clients and our annual client retention rate was approximately 95% for each of fiscal 2024 and fiscal 2025.</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led by a technically proficient management team, including our CEO, who served as our CTO for many years. We built our products on a proprietary technology infrastructure. We have a strong, somewhat contrarian preference for building over buying or partnering. This allows us to automate to an extent not seen in the industry. Automation not only allows us to launch and iterate products faster, lower costs to clients, and offer a better overall client experience, but also lowers our cost of support. Automation is a core principle underpinning everything we do—the way we design our products, organize our company, and foster employee culture.</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17621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40" w:lineRule="exact"/>
        <w:rPr>
          <w:sz w:val="20"/>
          <w:szCs w:val="20"/>
          <w:color w:val="auto"/>
        </w:rPr>
      </w:pPr>
    </w:p>
    <w:p>
      <w:pPr>
        <w:ind w:left="140" w:hanging="136"/>
        <w:spacing w:after="0"/>
        <w:tabs>
          <w:tab w:leader="none" w:pos="140"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Based on multiple industry sources, we are commonly cited as being one of the first platforms to provide algorithmic investment services.</w:t>
      </w:r>
    </w:p>
    <w:p>
      <w:pPr>
        <w:spacing w:after="0" w:line="3" w:lineRule="exact"/>
        <w:rPr>
          <w:rFonts w:ascii="Arial" w:cs="Arial" w:eastAsia="Arial" w:hAnsi="Arial"/>
          <w:sz w:val="16"/>
          <w:szCs w:val="16"/>
          <w:color w:val="auto"/>
          <w:vertAlign w:val="superscript"/>
        </w:rPr>
      </w:pPr>
    </w:p>
    <w:p>
      <w:pPr>
        <w:ind w:left="140" w:hanging="136"/>
        <w:spacing w:after="0" w:line="201" w:lineRule="auto"/>
        <w:tabs>
          <w:tab w:leader="none" w:pos="140"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See the section titled “—Our Opportunity” for additional information regarding our market opportunity.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80"/>
          </w:cols>
          <w:pgMar w:left="300" w:top="209" w:right="31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financial outcomes, and enhancing their trust in us. This trust leads clients to add more money to our platform as they save, adopt new products and refer their friends. Our cost structure and our organic growth are business model advantages, and have enabled us to achieve our historic profitability, which allows us to further invest in our platform. Reinvesting in our platform drives further automation and powers the continuous cycle of our flywheel.</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We seek to make money with, </w:t>
      </w:r>
      <w:r>
        <w:rPr>
          <w:rFonts w:ascii="Arial" w:cs="Arial" w:eastAsia="Arial" w:hAnsi="Arial"/>
          <w:sz w:val="14"/>
          <w:szCs w:val="14"/>
          <w:i w:val="1"/>
          <w:iCs w:val="1"/>
          <w:color w:val="auto"/>
        </w:rPr>
        <w:t>not from</w:t>
      </w:r>
      <w:r>
        <w:rPr>
          <w:rFonts w:ascii="Arial" w:cs="Arial" w:eastAsia="Arial" w:hAnsi="Arial"/>
          <w:sz w:val="14"/>
          <w:szCs w:val="14"/>
          <w:color w:val="auto"/>
        </w:rPr>
        <w:t>, our clients along their wealth accumulation journey. The alignment of incentives helps retain clients and drives more predictability in our business, as our clients trust us with an increasing amount of their wealth and adopt more than one product.</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Since inception, we have experienced significant growth. We rapidly scaled our number of clients and platform assets, all while sustaining high retention rates. Our platform assets increased from $57.6 billion as of January 31, 2024 to $80.2 billion as of January 31, 2025, representing 39% year-over-year growth, and from $71.4 billion as of July 31, 2024 to $88.2 billion as of July 31, 2025, representing 24% year-over-year growth. We generated total revenue of $216.7 million in fiscal 2024 and $308.9 million in fiscal 2025, representing year-over-year growth of 43%, and $ 145.9 million for the six months ended July 31, 2024 and $175.6 million for the six months ended July 31, 2025, representing 20% year-over-year growth. We generated net income of $77.0 million in fiscal 2024 and $194.4 million in fiscal 2025, representing a net income margin of 36% and 63%, respectively, and net income of $132.3 million for the six months ended July 31, 2024 and $60.7 million for the six months ended July 31, 2025, representing a net income margin of 91% and 35%, respectively. Net income for fiscal 2025 included a total tax benefit for the year of $55.2 million due to the one-time deferred tax benefit of $ 80.2 million, resulting primarily from the release of the full valuation allowance on our historical net deferred tax assets. Net income for the six months ended July 31, 2024 included a total tax benefit for the period of $54.0 million due to a deferred tax benefit of $70.8 million, resulting primarily from the release of the valuation allowance on our historical net deferred tax assets. Our Adjusted EBITDA was $103.0 million in fiscal 2024 and $142.7 million in fiscal 2025, representing an Adjusted EBITDA margin of 48% and 46%, respectively, and Adjusted EBITDA was $71.2 million for the six months ended July 31, 2024 and $82.7 million for the six months ended July 31, 2025, representing an Adjusted EBITDA margin of 49% and 47%, respectively. See the section titled “Management’s Discussion and Analysis of Financial Condition and Results of Operations—Non-GAAP Financial Measures” for information regarding our use of Adjusted EBITDA and Adjusted EBITDA margin, and a reconciliation of each non-GAAP financial measure to the most directly comparable financial measure presented in accordance with GAAP.</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Industry Background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Introduction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financial services industry has predominantly focused on the needs, preferences, and behaviors of older generations which has helped propel them into becoming the wealthiest generations ever. However, we believe that the rapidly growing wealth of digital-native generations presents a challenge to the traditional financial platforms due to their notably different preferences and financial priorities than the preceding generations. Digital natives, who are poised to overtake Baby Boomers and Gen X to become the largest and wealthiest generations of all time, are not sufficiently served by legacy platforms.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Industry Conditions Before the Global Financial Crisis of 2007-2009</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decades, most incumbent financial providers have focused on older generations of clients in the wealth preservation phase of their lives. Their products were inaccessible for the population of younger consumers in the wealth accumulation phase of their lives due to high account minimums or inadequately addressed needs due to poor software user experiences. Additionally, incumbent platforms operate business models that prioritize personalized investment management services to clients who prefer relationships with a dedicated, often in-person financial advisor or team. Previous generations view human advisors as a necessity, both as a means to manage investment portfolios, and as relationship managers to dutifully steward them through varying market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209" w:right="31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this model of financial management is ill-suited to meet the needs of emerging generations who are currently in, or are entering, the wealth accumulation stages of their financial lives. Legacy personal relationship-based platforms were built to serve the needs of older generations, with a particular set of preferences and goals. As the demand for new financial solutions increased with the emergence of digital-native generations, institutions have failed to innovate. Incumbent financial institutions are simply not designed to support newer generations in their wealth accumulation journeys.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Paradigm Shift in the Financial Services Industry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that the GFC caused a paradigm shift. Through the economic turmoil of that time, a new generation of investors witnessed the severe economic hardships that were created largely as a result of the incumbent financial system. The new generation that grew up in a post-GFC world witnessed the impact of a failing system on their family and friends, from loss of wealth to housing instability. The GFC became the catalyst that drove younger generations to demand new products, services, and companies, all built on the key principle that they felt was sorely lacking in the incumbent system: trust.</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rapid advance of innovation in internet-based technology platforms in the post-GFC world had dramatic implications across the global economy. From media to transportation, education to manufacturing, and hospitality to healthcare, software and digitization disrupted legacy industries profoundly and rapidly, solving many of the key pain points that historically restrained their growth, particularly among younger consumers. Like these other industries, financial services experienced its own technology-driven evolution. One critical innovation during this time was creation of automated investing solutions (colloquially known as “robo-advisory” services), through which software is deployed to manage investment portfolios of clients, without the need of a human advisor. Automated investing lowered barriers to entry for a new generation of consumers while also solving the key pain point in the legacy system—lack of trust—by removing the potential issues that arise from relying on human advice.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Distinct Preferences of Emerging Generations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Digital natives are less trusting of traditional financial providers than previous generations, driven by a concern over lack of transparency and a post-GFC unease that these institutions do not put their clients first. According to Capgemini Research Institute, an in-house think-tank for the global consulting firm, 81% of younger investors are likely to leave their parents’ financial advisors after inheriting their parents’ wealth, and younger generations are more likely to use digital advisory services compared to older generations. Technology has allowed new financial providers to create platforms that close the perception gap with younger investors, which has increasingly both captured market share from incumbent institutions and contributed to the growth of the market itself.</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Digital natives prioritize seamless digital and mobile experiences over in-person interactions and expect personal financial management to be no different. Distinct from their parents, digital-native generations prefer to conduct their commercial activities exclusively through digital channels. According to Investopedia’s 2023 Robo-Advisor Consumer Survey, 86% of people who use a digital advisor are in their 20s to 40s, compared to 14% who are in their 50s to 70s, reflecting a notable shift in preferences between generations. Technological advancement has empowered a new generation of consumers to truly own their financial decisions without the need for personal interaction with an advisor.</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Financial self-sufficiency by digital natives is fueled both by technology and by the internet-driven proliferation of financial knowledge. Equipped with this financial knowledge, younger generations expect to earn more from their assets relative to the fees they pay. The industry average advisory fee of 1% of assets under management per year is difficult to justify without a very significant increase in after-tax returns.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Incumbent Financial Institutions and the Innovator’s Dilemma</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Incumbent financial institutions justifiably focus on serving their older, wealthy clients because they are the most profitable for those firms. However, the need to serve these clients with high-touch business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209" w:right="31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models makes it very difficult for them to create low-cost self-service financial products for digital natives because that could cannibalize their existing successful businesses. This is classically known as an “innovator’s dilemma.” For example, banks are heavily reliant on fees (e.g., overdraft fees, ATM fees, advisory fees) to economically justify their branch networks. Just as Blockbuster’s reliance on late fees and physical stores made it resistant to the simpler, more convenient, and lower-cost streaming model, traditional banks’ reliance on unpopular fees and branches makes them vulnerable to branchless, low-fee digital challengers.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Natives Wealth Opportunity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define digital natives as the generations born after 1980. This definition encompasses a wide range of the consumer population—approximately 190 million people in the United States, according to 2023 data from the U.S. Census Bureau. Digital natives are in the prime wealth accumulation phase of their lives, and are projected to be the wealthiest generation in history. Their wealth is projected to grow from $12 trillion in 2022 to $140 trillion by 2045. Similar to earlier generations, a majority of the wealth will be held by less than half of these generations—those who are likely to be higher earning knowledge workers and who are net savers focused on wealth accumulation.</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expect digital natives will primarily accumulate wealth through earnings growth as they advance in their careers. While the median household net worth in 2022 was approximately $39,000 for those under the age of 35, median household net worth was approximately $ 135,600 for those between the ages of 35 and 44, according to the Federal Reserve. Further, the median household net worth of 55 to 64 year olds—the age Millennials will be in 2045—was approximately $365,000 in 2022, demonstrating the wealth potential of digital natives. Tech-enabled platforms are best positioned to take advantage of this unprecedented growth trajectory.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Opportunity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Natives Are in the Wealth Accumulation Phase of Their Lives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By targeting digital-native generations, we have the opportunity to serve a large market that, in 2024, represented $16 trillion, or approximately 10% of the U.S. household wealth according to the Federal Reserve. According to the Federal Reserve, the share of household wealth held by the top 20% of earners in a generation has steadily increased from approximately 60% in 1989 to consistently over 70% since 2014. Our clients tend to be knowledge workers at the higher end of the earnings scale within their generation and therefore we estimate that the size of our serviceable market was over $11 trillion at the end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80"/>
          </w:cols>
          <w:pgMar w:left="300" w:top="209" w:right="31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Furthermore, according to Oxford Economics, digital native households’ net wealth is expected to grow by more than 11% annually over the next two decades, reaching $140 trillion in 2045. Wealthfront is purpose built to grow with digital natives during this period of unprecedented wealth accumulation.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59055</wp:posOffset>
            </wp:positionV>
            <wp:extent cx="4165600" cy="22694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65600" cy="226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Natives Are Prioritizing Saving Earlier in Life and at a Higher Rate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Digital natives have demonstrated a stronger savings trend compared to previous generations. According to Oxford Economics, digital natives’ savings rate over the past decade exceeded the national average by 4.9 percentage points, compared to the 2.5 percentage point difference for Baby Boomers during the equivalent 10-year span of their lives. Their projections indicate that digital natives will further outpace the national average savings rate as they enter their highest earning years, peaking at a 14 percentage point difference around age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80"/>
          </w:cols>
          <w:pgMar w:left="300" w:top="209" w:right="31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This prioritization of savings has resulted in wealth generation for digital natives that has exceeded that of preceding generations. Millennials and Gen Z are accumulating wealth at a faster pace than Baby Boomers and Gen X, starting at around the age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59055</wp:posOffset>
            </wp:positionV>
            <wp:extent cx="4165600" cy="2129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65600"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This unprecedented focus on savings and long-term wealth accumulation has enabled digital-native generations to eclipse preceding generations in terms of inflation-adjusted household wealth at an average age of 34. We expect this gap to grow larger as tech-enabled financial solutions help digital natives better understand and achieve their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67310</wp:posOffset>
            </wp:positionV>
            <wp:extent cx="4165600" cy="21094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6560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209" w:right="31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Strategic Focus on These Generations Has Allowed Us to Grow with Our Clients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growth has closely tracked the financial maturation of digital natives, reflecting the resonance of our platform with their evolving needs. We have optimized our product, development, brand, and service model to exceed the expectations of these generations. Since inception, platform assets have grown in parallel with the overall net worth of digital-native generations, demonstrating our fundamental alignment with their financial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67310</wp:posOffset>
            </wp:positionV>
            <wp:extent cx="4165600" cy="20027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65600" cy="200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Platform Expansion Will Continue to Grow Our Opportunity with Digital Natives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According to a 2024 U.S. consumer research study published by FIS, a financial technology company, 42% of Millennials report that they hold their funds in traditional bank checking accounts, rather than placing their hard-earned wealth into higher yielding products that can help build their wealth.Through our compelling suite of products and services—offered via our core client base’s preferred digital and mobile channels—Wealthfront has been able to successfully attract assets that were previously held at traditional banks. In fiscal 2025, clients transferred over $40 billion of assets via ACH to Wealthfront, a 34% increase from the prior year. The majority of these assets, funding both cash management and investment advisory products, were transferred from accounts at U.S. banks, highlighting the appeal of our platform over legacy alternatives.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will deepen our engagement with digital natives by offering new products tailored to their current and future needs. As a product-led, technology-driven platform, our strategic goal is to continue to expand our product suite to offer compelling solutions to our clients at each stage of their financial and personal lives. Among the products we contemplate developing over time are mortgage products and credit and investment products.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Clients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We built Wealthfront to evolve with our clients.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clients are primarily digital-native wealth builders who started saving early in life and at a high rate. They are focused on long-term investing principles, even during periods of market volatility. We support our clients through every stage of life, from early career to major life milestones. Our products and offerings evolve with their needs, offering increasingly sophisticated financial solutions over time, such that our clients don’t feel the need to leave our platform. For each of fiscal 2024 and fiscal 2025,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209" w:right="31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860"/>
        <w:spacing w:after="0" w:line="438" w:lineRule="auto"/>
        <w:rPr>
          <w:sz w:val="20"/>
          <w:szCs w:val="20"/>
          <w:color w:val="auto"/>
        </w:rPr>
      </w:pPr>
      <w:r>
        <w:rPr>
          <w:rFonts w:ascii="Arial" w:cs="Arial" w:eastAsia="Arial" w:hAnsi="Arial"/>
          <w:sz w:val="14"/>
          <w:szCs w:val="14"/>
          <w:color w:val="auto"/>
        </w:rPr>
        <w:t xml:space="preserve">annual client retention rate was approximately 95% and our annual net revenue retention was greater than 120% for each of the last eleven fiscal years. </w:t>
      </w:r>
      <w:r>
        <w:rPr>
          <w:rFonts w:ascii="Arial" w:cs="Arial" w:eastAsia="Arial" w:hAnsi="Arial"/>
          <w:sz w:val="14"/>
          <w:szCs w:val="14"/>
          <w:b w:val="1"/>
          <w:bCs w:val="1"/>
          <w:i w:val="1"/>
          <w:iCs w:val="1"/>
          <w:color w:val="auto"/>
        </w:rPr>
        <w:t>Our Clients Are High Earning Net Savers and Wealth Builders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of July 31, 2025, we had over 1.3 million funded clients who on average reported earning approximately $165,000 per year. This compares to the average earnings of U.S.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employees of nearly $65,000 per year reported by the U.S. Bureau of Labor Statistics as of July 2025.</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Clients Are in the Wealth Accumulation Phase of Their Lives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As of July 31, 2025, approximately 77% of our individual funded clients were born after 1980 and the average age of our individual funded clients was approximately 38 years old.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Gen Z has increasingly contributed to more of our client 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93980</wp:posOffset>
            </wp:positionV>
            <wp:extent cx="4165600" cy="21094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6560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300" w:top="209" w:right="31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Since 2022, the average age of clients with cash management accounts has declined with each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93980</wp:posOffset>
            </wp:positionV>
            <wp:extent cx="4165600" cy="2129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65600"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clients are approaching their peak earning years and have decades of upcoming financial decisions to make, such as buying homes, saving for their children’s college tuitions, or planning for retirement.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Clients Embrace New Technology and Digital Platforms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clients have different preferences than previous generations. They are predisposed to a “there’s an app for that” mindset, and expect to be able to access any service seamlessly through digital or mobile channels. They have these same expectations for consumer financial services, and look to solve their needs with technology as their first choice. Accordingly, we are well positioned to capture the growth of their wealth over the long term.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Clients Have Long-Term Investing Mindsets, Even During Periods of Market Volatility</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During periods of challenging equity markets, our clients typically increase their contributions to our platform. Even in times of negative investment performance, we do not typically see net withdrawals from investing accounts. By adopting Wealthfront, our clients have opted into a passive investment strategy and, thus, adverse market performance does not result in client attrition.</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Throughout our history, we have successfully navigated diverse periods of economic uncertainty. This includes five equity market corrections, two of which resulted in sustained bear markets:</w:t>
      </w:r>
    </w:p>
    <w:p>
      <w:pPr>
        <w:spacing w:after="0" w:line="79" w:lineRule="exact"/>
        <w:rPr>
          <w:sz w:val="20"/>
          <w:szCs w:val="20"/>
          <w:color w:val="auto"/>
        </w:rPr>
      </w:pPr>
    </w:p>
    <w:p>
      <w:pPr>
        <w:ind w:left="500" w:hanging="244"/>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2015, doubts about the growth and health of the Chinese economy triggered fears of a potential global economic slowdown;</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2018, the market experienced a correction and subsequent bear market when rising interest rates and fears of escalating trade tensions between the United States and other countries led to concerns about economic growth, leading to a decline in the S&amp;P 500 of approximately 20% from September to December 2018;</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March 2020, the declaration of a global pandemic resulted in widespread economic shutdowns and an approximately 30% drop in the S&amp;P 500;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80"/>
          </w:cols>
          <w:pgMar w:left="300" w:top="209" w:right="31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line="286" w:lineRule="auto"/>
        <w:tabs>
          <w:tab w:leader="none" w:pos="496"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2025, the announcement of tariffs and the potential for a trade war, higher-than-anticipated inflation data, and a sharp repricing of interest rate expectations led to an approximate 10% decline in the S&amp;P 500.</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We have also effectively managed multiple periods of interest rate volatility, including:</w:t>
      </w:r>
    </w:p>
    <w:p>
      <w:pPr>
        <w:spacing w:after="0" w:line="133" w:lineRule="exact"/>
        <w:rPr>
          <w:sz w:val="20"/>
          <w:szCs w:val="20"/>
          <w:color w:val="auto"/>
        </w:rPr>
      </w:pPr>
    </w:p>
    <w:p>
      <w:pPr>
        <w:ind w:left="500" w:hanging="244"/>
        <w:spacing w:after="0" w:line="286" w:lineRule="auto"/>
        <w:tabs>
          <w:tab w:leader="none" w:pos="4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2013, comments from the then-Federal Reserve Chairman, Ben Bernanke, regarding the potential tapering of asset purchases led to a sharp rise in interest rates, causing market volatility as investors reassessed the implications for future monetary policy;</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Between 2015 and 2018, the Federal Reserve’s gradual increases in interest rates, intended to normalize monetary policy in the wake of the financial crisis, created fluctuations in bond yields and equities as investors adjusted to higher borrowing costs;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March 2020, the Federal Reserve’s emergency rate cuts to combat the economic fallout from the pandemic resulted in substantial interest rate volatility;</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Throughout 2021 and 2022, rising inflation expectations and supply chain disruptions in the wake of the COVID-19 pandemic, led to fears of tighter monetary policy. As the Federal Reserve signaled a shift to combat inflation, interest rate volatility increased as markets anticipated rate hikes; and</w:t>
      </w:r>
    </w:p>
    <w:p>
      <w:pPr>
        <w:spacing w:after="0" w:line="78" w:lineRule="exact"/>
        <w:rPr>
          <w:rFonts w:ascii="Arial" w:cs="Arial" w:eastAsia="Arial" w:hAnsi="Arial"/>
          <w:sz w:val="14"/>
          <w:szCs w:val="14"/>
          <w:color w:val="auto"/>
        </w:rPr>
      </w:pPr>
    </w:p>
    <w:p>
      <w:pPr>
        <w:jc w:val="both"/>
        <w:ind w:left="500" w:hanging="244"/>
        <w:spacing w:after="0" w:line="268" w:lineRule="auto"/>
        <w:tabs>
          <w:tab w:leader="none" w:pos="4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Beginning in March 2022, as inflation proved much less transitory than initially expected, the Federal Reserve initiated a series of aggressive interest rate hikes to combat surging inflation, reaching levels not seen since 2007. Despite these efforts, inflation remained remarkably stubborn, leading to an extended period of elevated interest rates as the Federal Reserve sought to rein in persistent price increases.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Despite shifting macroeconomic conditions, our cash management and investing assets have demonstrated mostly consistent, continuous growth and have provided a natural hedge, allowing the business to maintain resilience during extraordinary events. This resilience was particularly evident during the market downturn in March 2020 following the onset of the COVID-19 pandemic.</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this period, the Federal Reserve implemented emergency rate cuts, bringing the Federal Funds rate to 0%, a level last seen during the GFC. Concurrently, the declaration of a global pandemic led to widespread economic shutdowns and an approximately 30% decline in the S&amp;P 500. Shortly thereafter, our cash management assets experienced a sharp but brief decline from $8.3 billion as of February 29, 2020 to $ 2.4 billion as of April 30, 2022. However, the subsequent zero interest rate policy, along with other fiscal and monetary actions, contributed to a market rebound. Starting in April 2020, our platform assets recovered swiftly as clients made elevated levels of net deposits into investment advisory accounts. This, combined with market appreciation, enabled our platform assets to recover to their previous high watermark in less than 13 months.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Beginning in March 2022, as inflation proved more persistent and less transitory than the Federal Reserve initially anticipated, the Federal Reserve initiated a series of aggressive interest rate hikes, reaching levels not seen since 2007. This action contributed to the S&amp;P 500 entering a bear market, which caused a decline in our investment advisory assets. Conversely, our cash management assets experienced significant growth during this period from $2.4 billion as of April 30, 2022 to over $ 46 billion as of July 31, 2025 due to the extended period of elevated interest rates. This growth was further supported by feature enhancements to our cash management accounts, including the addition of program banks, which increased the overall level of pass-through FDIC insurance. These factors allowed cash management assets to remain resilient and grow during the elevated interest rate environment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209" w:right="31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in 2022 and through the financial instability following the failure of Silicon Valley Bank and the collapse of First Republic Bank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93980</wp:posOffset>
            </wp:positionV>
            <wp:extent cx="4165600" cy="2356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65600" cy="235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Clients Establish Long-Term, Recurring Relationships with Wealthfront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build long-term relationships with our clients. As of July 31, 2025, more than 17% of clients had recurring or direct deposits. As our clients’ net worth continues to accumulate, we continue to capture a larger portion of their income. For the fiscal quarter ended July 31, 2025, the average monthly recurring deposit amount per client with one or more deposits deemed recurring in that month was over $2,600. This compares to the fiscal quarter ended April 30, 2020, during which the average monthly recurring deposits per client with one or more deposits deemed recurring in that month was $923. The increasing recurring deposits demonstrate the trust clients place in Wealthfront’s platform. The longevity of our client relationships is due to the trust we establish with clients.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Clients Have Evolving Financial Needs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continuously evolve our platform to meet the complex and evolving needs of our clients. Client attrition due to product limitations or a desire for more sophisticated offerings is minimal. As of July 31, 2025, we had over 180,000 clients with at least $100,000 of platform assets and over 10,000 clients with at least $1 million of platform assets. Our clients choose Wealthfront because our digital client experience offers what we believe to be attractive net-of-fee returns and yield on cash as well as fast and free money movement. In addition, our clients have the opportunity to benefit from our automated tax-loss harvesting to achieve tax savings. Drawn to our technology-first platform and trust-driven, transparent low fee structure, these individuals graduate to and actively choose Wealthfront as an aligned financial partner. They prefer direct interaction with financial technology through our digital interface over traditional human advisors, regardless of their personal wealth. For each of the last eleven fiscal years, our annual net revenue retention was greater than 120%, which implies that our largest clients not only continue to stay on Wealthfront but also consistently add to their accounts. In fact, our clients with over $100,000 of platform assets have a higher retention rate than those with less than $100,000 of platform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280"/>
          </w:cols>
          <w:pgMar w:left="300" w:top="209" w:right="31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Platform</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Wealthfront was purpose built to create a financial solution platform for digital natives. Wealthfront offers a suite of financial products that span a broad risk spectrum, designed to be exclusively delivered through web and mobile channels. Since inception, we have been extremely focused on investing in our technology. Our focus on building our own technology infrastructure enables us to ship new products faster.</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aim to build products that deliver the best possible user experience that digital natives have come to expect when interacting with technology platforms. These products and the user experience they provide are made possible by our proprietary technology infrastructure, industry partners, network of program banks, and a culture of automation that permeates our entire organization. Together, these form the core of the Wealthfront platform.</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Each step of building our platform has been deliberate. We have established a diverse and comprehensive suite of financial products and a framework designed to provide superior client service, underpinned by a commitment to automation. Our product development process is iterative. We constantly build, refine, and deploy new features and products to our client base. We choose to build products which together form a coherent ecosystem of financial products, rather than a supermarket of options. We’re not in a race to recreate all financial products offered by incumbents. Instead, we design solutions to problems experienced by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69850</wp:posOffset>
            </wp:positionV>
            <wp:extent cx="4165600" cy="17221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65600"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Diverse Financial Products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products help our clients build long-term wealth on their own terms. We have built a range of cash management, investment advisory, borrowing and lending, and financial planning products to serve the diverse financial needs of our clients. Our products span a broad risk spectrum that addresses the diverse financial needs of our clients throughout economic cycles—ranging from cash management to direct stock investing. Within our suite of investment advisory products, we offer capabilities that are suited for either “delegators” who want fully managed solutions and “do it yourselfers” who want more control over individual financial decisions.</w:t>
      </w:r>
    </w:p>
    <w:p>
      <w:pPr>
        <w:spacing w:after="0" w:line="98" w:lineRule="exact"/>
        <w:rPr>
          <w:sz w:val="20"/>
          <w:szCs w:val="20"/>
          <w:color w:val="auto"/>
        </w:rPr>
      </w:pPr>
    </w:p>
    <w:p>
      <w:pPr>
        <w:ind w:left="480" w:hanging="224"/>
        <w:spacing w:after="0"/>
        <w:tabs>
          <w:tab w:leader="none" w:pos="48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Cash Management</w:t>
      </w:r>
    </w:p>
    <w:p>
      <w:pPr>
        <w:spacing w:after="0" w:line="19" w:lineRule="exact"/>
        <w:rPr>
          <w:sz w:val="20"/>
          <w:szCs w:val="20"/>
          <w:color w:val="auto"/>
        </w:rPr>
      </w:pPr>
    </w:p>
    <w:p>
      <w:pPr>
        <w:ind w:left="500"/>
        <w:spacing w:after="0" w:line="270" w:lineRule="auto"/>
        <w:rPr>
          <w:sz w:val="20"/>
          <w:szCs w:val="20"/>
          <w:color w:val="auto"/>
        </w:rPr>
      </w:pPr>
      <w:r>
        <w:rPr>
          <w:rFonts w:ascii="Arial" w:cs="Arial" w:eastAsia="Arial" w:hAnsi="Arial"/>
          <w:sz w:val="14"/>
          <w:szCs w:val="14"/>
          <w:color w:val="auto"/>
        </w:rPr>
        <w:t>The Cash Account is a brokerage account offered by Wealthfront Brokerage LLC that provides clients with access to our cash management services, including our cash sweep program.</w:t>
      </w:r>
      <w:r>
        <w:rPr>
          <w:rFonts w:ascii="Arial" w:cs="Arial" w:eastAsia="Arial" w:hAnsi="Arial"/>
          <w:sz w:val="18"/>
          <w:szCs w:val="18"/>
          <w:color w:val="auto"/>
          <w:vertAlign w:val="superscript"/>
        </w:rPr>
        <w:t>28</w:t>
      </w:r>
      <w:r>
        <w:rPr>
          <w:rFonts w:ascii="Arial" w:cs="Arial" w:eastAsia="Arial" w:hAnsi="Arial"/>
          <w:sz w:val="14"/>
          <w:szCs w:val="14"/>
          <w:color w:val="auto"/>
        </w:rPr>
        <w:t xml:space="preserv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17621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96" w:lineRule="exact"/>
        <w:rPr>
          <w:sz w:val="20"/>
          <w:szCs w:val="20"/>
          <w:color w:val="auto"/>
        </w:rPr>
      </w:pPr>
    </w:p>
    <w:p>
      <w:pPr>
        <w:ind w:left="140" w:hanging="136"/>
        <w:spacing w:after="0"/>
        <w:tabs>
          <w:tab w:leader="none" w:pos="140" w:val="left"/>
        </w:tabs>
        <w:numPr>
          <w:ilvl w:val="0"/>
          <w:numId w:val="76"/>
        </w:numPr>
        <w:rPr>
          <w:rFonts w:ascii="Arial" w:cs="Arial" w:eastAsia="Arial" w:hAnsi="Arial"/>
          <w:sz w:val="16"/>
          <w:szCs w:val="16"/>
          <w:color w:val="auto"/>
          <w:vertAlign w:val="superscript"/>
        </w:rPr>
      </w:pPr>
      <w:r>
        <w:rPr>
          <w:rFonts w:ascii="Arial" w:cs="Arial" w:eastAsia="Arial" w:hAnsi="Arial"/>
          <w:sz w:val="13"/>
          <w:szCs w:val="13"/>
          <w:color w:val="auto"/>
        </w:rPr>
        <w:t>The Cash Account provides clients access to our cash management services, but does not support self-directed securities trading.</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91" w:lineRule="exact"/>
        <w:rPr>
          <w:rFonts w:ascii="Arial" w:cs="Arial" w:eastAsia="Arial" w:hAnsi="Arial"/>
          <w:sz w:val="16"/>
          <w:szCs w:val="16"/>
          <w:color w:val="auto"/>
          <w:vertAlign w:val="superscript"/>
        </w:rPr>
      </w:pPr>
    </w:p>
    <w:p>
      <w:pPr>
        <w:ind w:left="5520"/>
        <w:spacing w:after="0"/>
        <w:rPr>
          <w:rFonts w:ascii="Arial" w:cs="Arial" w:eastAsia="Arial" w:hAnsi="Arial"/>
          <w:sz w:val="16"/>
          <w:szCs w:val="16"/>
          <w:color w:val="auto"/>
          <w:vertAlign w:val="superscript"/>
        </w:rPr>
      </w:pPr>
      <w:r>
        <w:rPr>
          <w:rFonts w:ascii="Arial" w:cs="Arial" w:eastAsia="Arial" w:hAnsi="Arial"/>
          <w:sz w:val="14"/>
          <w:szCs w:val="14"/>
          <w:color w:val="auto"/>
        </w:rPr>
        <w:t>160</w:t>
      </w:r>
    </w:p>
    <w:p>
      <w:pPr>
        <w:sectPr>
          <w:pgSz w:w="11900" w:h="16838" w:orient="portrait"/>
          <w:cols w:equalWidth="0" w:num="1">
            <w:col w:w="11280"/>
          </w:cols>
          <w:pgMar w:left="300" w:top="209" w:right="319"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500"/>
        <w:spacing w:after="0" w:line="223" w:lineRule="auto"/>
        <w:rPr>
          <w:sz w:val="20"/>
          <w:szCs w:val="20"/>
          <w:color w:val="auto"/>
        </w:rPr>
      </w:pPr>
      <w:r>
        <w:rPr>
          <w:rFonts w:ascii="Arial" w:cs="Arial" w:eastAsia="Arial" w:hAnsi="Arial"/>
          <w:sz w:val="14"/>
          <w:szCs w:val="14"/>
          <w:color w:val="auto"/>
        </w:rPr>
        <w:t>Cash Account automatically transfers, or “sweeps,” clients’ cash deposits to a large number of program banks where clients earn interest at an industry-leading APY</w:t>
      </w:r>
      <w:r>
        <w:rPr>
          <w:rFonts w:ascii="Arial" w:cs="Arial" w:eastAsia="Arial" w:hAnsi="Arial"/>
          <w:sz w:val="18"/>
          <w:szCs w:val="18"/>
          <w:color w:val="auto"/>
          <w:vertAlign w:val="superscript"/>
        </w:rPr>
        <w:t>29</w:t>
      </w:r>
      <w:r>
        <w:rPr>
          <w:rFonts w:ascii="Arial" w:cs="Arial" w:eastAsia="Arial" w:hAnsi="Arial"/>
          <w:sz w:val="14"/>
          <w:szCs w:val="14"/>
          <w:color w:val="auto"/>
        </w:rPr>
        <w:t xml:space="preserve"> and benefit from the security of pass-through FDIC insurance.</w:t>
      </w:r>
      <w:r>
        <w:rPr>
          <w:rFonts w:ascii="Arial" w:cs="Arial" w:eastAsia="Arial" w:hAnsi="Arial"/>
          <w:sz w:val="18"/>
          <w:szCs w:val="18"/>
          <w:color w:val="auto"/>
          <w:vertAlign w:val="superscript"/>
        </w:rPr>
        <w:t>30</w:t>
      </w:r>
      <w:r>
        <w:rPr>
          <w:rFonts w:ascii="Arial" w:cs="Arial" w:eastAsia="Arial" w:hAnsi="Arial"/>
          <w:sz w:val="14"/>
          <w:szCs w:val="14"/>
          <w:color w:val="auto"/>
        </w:rPr>
        <w:t xml:space="preserve"> By sweeping clients’ funds from Wealthfront Brokerage LLC through an intermediary bank</w:t>
      </w:r>
      <w:r>
        <w:rPr>
          <w:rFonts w:ascii="Arial" w:cs="Arial" w:eastAsia="Arial" w:hAnsi="Arial"/>
          <w:sz w:val="18"/>
          <w:szCs w:val="18"/>
          <w:color w:val="auto"/>
          <w:vertAlign w:val="superscript"/>
        </w:rPr>
        <w:t>31</w:t>
      </w:r>
      <w:r>
        <w:rPr>
          <w:rFonts w:ascii="Arial" w:cs="Arial" w:eastAsia="Arial" w:hAnsi="Arial"/>
          <w:sz w:val="14"/>
          <w:szCs w:val="14"/>
          <w:color w:val="auto"/>
        </w:rPr>
        <w:t xml:space="preserve"> to multiple program banks, we enable our clients to access up to $8 million in FDIC insurance for individual accounts and $16 million for joint accounts.</w:t>
      </w:r>
      <w:r>
        <w:rPr>
          <w:rFonts w:ascii="Arial" w:cs="Arial" w:eastAsia="Arial" w:hAnsi="Arial"/>
          <w:sz w:val="18"/>
          <w:szCs w:val="18"/>
          <w:color w:val="auto"/>
          <w:vertAlign w:val="superscript"/>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45085</wp:posOffset>
            </wp:positionV>
            <wp:extent cx="4165600" cy="1562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65600" cy="156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500"/>
        <w:spacing w:after="0" w:line="262" w:lineRule="auto"/>
        <w:rPr>
          <w:sz w:val="20"/>
          <w:szCs w:val="20"/>
          <w:color w:val="auto"/>
        </w:rPr>
      </w:pPr>
      <w:r>
        <w:rPr>
          <w:rFonts w:ascii="Arial" w:cs="Arial" w:eastAsia="Arial" w:hAnsi="Arial"/>
          <w:sz w:val="14"/>
          <w:szCs w:val="14"/>
          <w:color w:val="auto"/>
        </w:rPr>
        <w:t>In addition to interest at an industry-leading APY and no account fees, the Cash Account provides a full array of fee-free, no-strings-attached checking features. Our Cash Account has both checking and savings functionality, allowing clients to maximize their utility with just one account. Our various checking features include: debit cards, account and routing numbers for deposits and withdrawals, direct deposit, bill payment, mobile check deposits, access to over 19,000 free ATMs nationwide, early paycheck access of up to two days by enabling direct deposit, and free wire transfers to clients’ external accounts.</w:t>
      </w:r>
    </w:p>
    <w:p>
      <w:pPr>
        <w:spacing w:after="0" w:line="96" w:lineRule="exact"/>
        <w:rPr>
          <w:sz w:val="20"/>
          <w:szCs w:val="20"/>
          <w:color w:val="auto"/>
        </w:rPr>
      </w:pPr>
    </w:p>
    <w:p>
      <w:pPr>
        <w:jc w:val="both"/>
        <w:ind w:left="500"/>
        <w:spacing w:after="0" w:line="268" w:lineRule="auto"/>
        <w:rPr>
          <w:sz w:val="20"/>
          <w:szCs w:val="20"/>
          <w:color w:val="auto"/>
        </w:rPr>
      </w:pPr>
      <w:r>
        <w:rPr>
          <w:rFonts w:ascii="Arial" w:cs="Arial" w:eastAsia="Arial" w:hAnsi="Arial"/>
          <w:sz w:val="14"/>
          <w:szCs w:val="14"/>
          <w:color w:val="auto"/>
        </w:rPr>
        <w:t>We also offer some automated features that make it easier to save and invest, including automated savings plans and recurring transfers, cash categories for easy budgeting and customizable saving goals, and the ability for joint account holders to track combined net worth and set shared goals with customized categories. Clients who open a Cash Account will automatically receive the full suite of our cash management services without a separate required opt-in process.</w:t>
      </w:r>
    </w:p>
    <w:p>
      <w:pPr>
        <w:spacing w:after="0" w:line="91" w:lineRule="exact"/>
        <w:rPr>
          <w:sz w:val="20"/>
          <w:szCs w:val="20"/>
          <w:color w:val="auto"/>
        </w:rPr>
      </w:pPr>
    </w:p>
    <w:p>
      <w:pPr>
        <w:jc w:val="both"/>
        <w:ind w:left="500"/>
        <w:spacing w:after="0" w:line="268" w:lineRule="auto"/>
        <w:rPr>
          <w:sz w:val="20"/>
          <w:szCs w:val="20"/>
          <w:color w:val="auto"/>
        </w:rPr>
      </w:pPr>
      <w:r>
        <w:rPr>
          <w:rFonts w:ascii="Arial" w:cs="Arial" w:eastAsia="Arial" w:hAnsi="Arial"/>
          <w:sz w:val="14"/>
          <w:szCs w:val="14"/>
          <w:color w:val="auto"/>
        </w:rPr>
        <w:t>We deliver these cash management services through arrangements with several vendors, including certain banks. We sweep deposits to the various program banks utilizing automated allocations with the support of R&amp;T, which serves as administrator of our cash sweep program. In addition, we offer the above checking features to clients through arrangements with our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17621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70" w:lineRule="exact"/>
        <w:rPr>
          <w:sz w:val="20"/>
          <w:szCs w:val="20"/>
          <w:color w:val="auto"/>
        </w:rPr>
      </w:pPr>
    </w:p>
    <w:p>
      <w:pPr>
        <w:ind w:left="260" w:hanging="256"/>
        <w:spacing w:after="0" w:line="242" w:lineRule="auto"/>
        <w:tabs>
          <w:tab w:leader="none" w:pos="140" w:val="left"/>
        </w:tabs>
        <w:numPr>
          <w:ilvl w:val="0"/>
          <w:numId w:val="77"/>
        </w:numPr>
        <w:rPr>
          <w:rFonts w:ascii="Arial" w:cs="Arial" w:eastAsia="Arial" w:hAnsi="Arial"/>
          <w:sz w:val="15"/>
          <w:szCs w:val="15"/>
          <w:color w:val="auto"/>
          <w:vertAlign w:val="superscript"/>
        </w:rPr>
      </w:pPr>
      <w:r>
        <w:rPr>
          <w:rFonts w:ascii="Arial" w:cs="Arial" w:eastAsia="Arial" w:hAnsi="Arial"/>
          <w:sz w:val="12"/>
          <w:szCs w:val="12"/>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ind w:left="260" w:hanging="256"/>
        <w:spacing w:after="0" w:line="228" w:lineRule="auto"/>
        <w:tabs>
          <w:tab w:leader="none" w:pos="148" w:val="left"/>
        </w:tabs>
        <w:numPr>
          <w:ilvl w:val="0"/>
          <w:numId w:val="77"/>
        </w:numPr>
        <w:rPr>
          <w:rFonts w:ascii="Arial" w:cs="Arial" w:eastAsia="Arial" w:hAnsi="Arial"/>
          <w:sz w:val="16"/>
          <w:szCs w:val="16"/>
          <w:color w:val="auto"/>
          <w:vertAlign w:val="superscript"/>
        </w:rPr>
      </w:pPr>
      <w:r>
        <w:rPr>
          <w:rFonts w:ascii="Arial" w:cs="Arial" w:eastAsia="Arial" w:hAnsi="Arial"/>
          <w:sz w:val="13"/>
          <w:szCs w:val="13"/>
          <w:color w:val="auto"/>
        </w:rPr>
        <w:t>Funds received for deposit in clients’ Cash Accounts are protected initially by SIPC up to $250,000 (plus any excess insurance we have purchased) and, once swept to program banks, by FDIC insurance. Subject to FDIC rules, pass-through FDIC insurance is provided up to $250,000 for all client assets held in the same capacity at each individual program bank. By placing no more than $250,000 at up to 32 program banks, we can provide clients access to up to $8 million of federal deposit insurance across those 32 banks (i.e., $250,000 times 32) for individual accounts and $16 million of federal deposit insurance for joint accounts (i.e., $500,000 times 32).</w:t>
      </w:r>
    </w:p>
    <w:p>
      <w:pPr>
        <w:spacing w:after="0" w:line="1" w:lineRule="exact"/>
        <w:rPr>
          <w:rFonts w:ascii="Arial" w:cs="Arial" w:eastAsia="Arial" w:hAnsi="Arial"/>
          <w:sz w:val="16"/>
          <w:szCs w:val="16"/>
          <w:color w:val="auto"/>
          <w:vertAlign w:val="superscript"/>
        </w:rPr>
      </w:pPr>
    </w:p>
    <w:p>
      <w:pPr>
        <w:ind w:left="140" w:hanging="136"/>
        <w:spacing w:after="0" w:line="201" w:lineRule="auto"/>
        <w:tabs>
          <w:tab w:leader="none" w:pos="140" w:val="left"/>
        </w:tabs>
        <w:numPr>
          <w:ilvl w:val="0"/>
          <w:numId w:val="77"/>
        </w:numPr>
        <w:rPr>
          <w:rFonts w:ascii="Arial" w:cs="Arial" w:eastAsia="Arial" w:hAnsi="Arial"/>
          <w:sz w:val="16"/>
          <w:szCs w:val="16"/>
          <w:color w:val="auto"/>
          <w:vertAlign w:val="superscript"/>
        </w:rPr>
      </w:pPr>
      <w:r>
        <w:rPr>
          <w:rFonts w:ascii="Arial" w:cs="Arial" w:eastAsia="Arial" w:hAnsi="Arial"/>
          <w:sz w:val="13"/>
          <w:szCs w:val="13"/>
          <w:color w:val="auto"/>
        </w:rPr>
        <w:t>Wealthfront currently maintains intermediary accounts at Wells Fargo for this purpose.</w:t>
      </w:r>
    </w:p>
    <w:p>
      <w:pPr>
        <w:spacing w:after="0" w:line="3" w:lineRule="exact"/>
        <w:rPr>
          <w:rFonts w:ascii="Arial" w:cs="Arial" w:eastAsia="Arial" w:hAnsi="Arial"/>
          <w:sz w:val="16"/>
          <w:szCs w:val="16"/>
          <w:color w:val="auto"/>
          <w:vertAlign w:val="superscript"/>
        </w:rPr>
      </w:pPr>
    </w:p>
    <w:p>
      <w:pPr>
        <w:ind w:left="260" w:hanging="256"/>
        <w:spacing w:after="0" w:line="216" w:lineRule="auto"/>
        <w:tabs>
          <w:tab w:leader="none" w:pos="139" w:val="left"/>
        </w:tabs>
        <w:numPr>
          <w:ilvl w:val="0"/>
          <w:numId w:val="77"/>
        </w:numPr>
        <w:rPr>
          <w:rFonts w:ascii="Arial" w:cs="Arial" w:eastAsia="Arial" w:hAnsi="Arial"/>
          <w:sz w:val="16"/>
          <w:szCs w:val="16"/>
          <w:color w:val="auto"/>
          <w:vertAlign w:val="superscript"/>
        </w:rPr>
      </w:pPr>
      <w:r>
        <w:rPr>
          <w:rFonts w:ascii="Arial" w:cs="Arial" w:eastAsia="Arial" w:hAnsi="Arial"/>
          <w:sz w:val="13"/>
          <w:szCs w:val="13"/>
          <w:color w:val="auto"/>
        </w:rPr>
        <w:t>A full list of our program banks is available on our website and is subject to change from time to time. The information contained on, or that can be accessed through,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280"/>
          </w:cols>
          <w:pgMar w:left="300" w:top="209" w:right="31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00"/>
        <w:spacing w:after="0" w:line="286" w:lineRule="auto"/>
        <w:rPr>
          <w:sz w:val="20"/>
          <w:szCs w:val="20"/>
          <w:color w:val="auto"/>
        </w:rPr>
      </w:pPr>
      <w:r>
        <w:rPr>
          <w:rFonts w:ascii="Arial" w:cs="Arial" w:eastAsia="Arial" w:hAnsi="Arial"/>
          <w:sz w:val="14"/>
          <w:szCs w:val="14"/>
          <w:color w:val="auto"/>
        </w:rPr>
        <w:t>partners, Green Dot and UMB. Green Dot provides clients with a Wealthfront-branded debit card, ATM network access, and mobile check deposit. UMB provides clients with certain ACH capabilities.</w:t>
      </w:r>
    </w:p>
    <w:p>
      <w:pPr>
        <w:spacing w:after="0" w:line="79" w:lineRule="exact"/>
        <w:rPr>
          <w:sz w:val="20"/>
          <w:szCs w:val="20"/>
          <w:color w:val="auto"/>
        </w:rPr>
      </w:pPr>
    </w:p>
    <w:p>
      <w:pPr>
        <w:jc w:val="both"/>
        <w:ind w:left="500"/>
        <w:spacing w:after="0" w:line="255" w:lineRule="auto"/>
        <w:rPr>
          <w:sz w:val="20"/>
          <w:szCs w:val="20"/>
          <w:color w:val="auto"/>
        </w:rPr>
      </w:pPr>
      <w:r>
        <w:rPr>
          <w:rFonts w:ascii="Arial" w:cs="Arial" w:eastAsia="Arial" w:hAnsi="Arial"/>
          <w:sz w:val="14"/>
          <w:szCs w:val="14"/>
          <w:color w:val="auto"/>
        </w:rPr>
        <w:t>We generate revenue from our Cash Account through fees received for the delivery of cash management services that are a part of our cash sweep program. Each program bank agrees to pay a gross amount on program deposits. This amount is based on a negotiated percentage multiplied by the program deposits at the program bank. A portion of the gross amount is paid to our clients as interest by the program bank for the program deposits, and we receive the remainder as our fee for the cash management services that we deliver to our clients. Cash management revenue also includes a small amount of interchange revenue generated when our clients use the Wealthfront-branded debit card to make purchases. Cash Accounts and debit cards incur various costs, including the fee we pay to R&amp;T for its administrative services, as well as costs incurred by us for money movement, tax reporting, debit card issuance, ATM fees, and various other operational costs. For fiscal 2024, fiscal 2025, and the six months ended July 31, 2025, revenue from our cash management product constituted approximately 71%, 75%, and 76% of our total revenue, respectively. For additional information, see the sections titled “Management’s Discussion and Analysis of Financial Condition and Results of Operations—Components of Results of Operations” and “Management’s Discussion and Analysis of Financial Condition and Results of Operations—The Unique Economics and Compounding Growth Model of Wealthfront—Our Revenue Model.”</w:t>
      </w:r>
    </w:p>
    <w:p>
      <w:pPr>
        <w:spacing w:after="0" w:line="102" w:lineRule="exact"/>
        <w:rPr>
          <w:sz w:val="20"/>
          <w:szCs w:val="20"/>
          <w:color w:val="auto"/>
        </w:rPr>
      </w:pPr>
    </w:p>
    <w:p>
      <w:pPr>
        <w:ind w:left="480" w:hanging="224"/>
        <w:spacing w:after="0"/>
        <w:tabs>
          <w:tab w:leader="none" w:pos="48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 Advisory</w:t>
      </w:r>
    </w:p>
    <w:p>
      <w:pPr>
        <w:spacing w:after="0" w:line="19" w:lineRule="exact"/>
        <w:rPr>
          <w:sz w:val="20"/>
          <w:szCs w:val="20"/>
          <w:color w:val="auto"/>
        </w:rPr>
      </w:pPr>
    </w:p>
    <w:p>
      <w:pPr>
        <w:jc w:val="both"/>
        <w:ind w:left="500"/>
        <w:spacing w:after="0" w:line="241" w:lineRule="auto"/>
        <w:rPr>
          <w:sz w:val="20"/>
          <w:szCs w:val="20"/>
          <w:color w:val="auto"/>
        </w:rPr>
      </w:pPr>
      <w:r>
        <w:rPr>
          <w:rFonts w:ascii="Arial" w:cs="Arial" w:eastAsia="Arial" w:hAnsi="Arial"/>
          <w:sz w:val="14"/>
          <w:szCs w:val="14"/>
          <w:color w:val="auto"/>
        </w:rPr>
        <w:t>Our investment advisory products, offered by Wealthfront Advisers, are primarily premised on the belief that it is extremely difficult to outperform the market. Therefore, we advocate a passive approach to long-term investing. We aim to excel at the three things clients can control to reliably improve their long-term, after-tax returns</w:t>
      </w:r>
      <w:r>
        <w:rPr>
          <w:rFonts w:ascii="Arial" w:cs="Arial" w:eastAsia="Arial" w:hAnsi="Arial"/>
          <w:sz w:val="18"/>
          <w:szCs w:val="18"/>
          <w:color w:val="auto"/>
          <w:vertAlign w:val="superscript"/>
        </w:rPr>
        <w:t>33</w:t>
      </w:r>
      <w:r>
        <w:rPr>
          <w:rFonts w:ascii="Arial" w:cs="Arial" w:eastAsia="Arial" w:hAnsi="Arial"/>
          <w:sz w:val="14"/>
          <w:szCs w:val="14"/>
          <w:color w:val="auto"/>
        </w:rPr>
        <w:t>: fees, taxes, and diversification. Clients benefit from our automated tax-loss harvesting strategies that are applied to our diversified portfolios of index-based ETFs, U.S. Direct Indexing, S&amp;P 500 Direct, and Automated Bond Portfolios. Tax-loss harvesting benefits our clients by selling a losing investment in order to allow them to claim a tax deduction,</w:t>
      </w:r>
      <w:r>
        <w:rPr>
          <w:rFonts w:ascii="Arial" w:cs="Arial" w:eastAsia="Arial" w:hAnsi="Arial"/>
          <w:sz w:val="18"/>
          <w:szCs w:val="18"/>
          <w:color w:val="auto"/>
          <w:vertAlign w:val="superscript"/>
        </w:rPr>
        <w:t>34</w:t>
      </w:r>
      <w:r>
        <w:rPr>
          <w:rFonts w:ascii="Arial" w:cs="Arial" w:eastAsia="Arial" w:hAnsi="Arial"/>
          <w:sz w:val="14"/>
          <w:szCs w:val="14"/>
          <w:color w:val="auto"/>
        </w:rPr>
        <w:t xml:space="preserve"> thus giving them the opportunity to reinvest money they did not pay in taxes. For assets held in index-based ETFs, as well as our Automated Bond Portfolios, our technology harvests losses using pairs of funds that have highly correlated risk and return characteristics. For individual stocks held directly through our U.S. Direct Indexing or S&amp;P 500 Direct Portfolios, our systems are designed to balance loss harvesting with maintaining the characteristics of the underlying index. Additionally, we offer clients the ability to invest in automated treasury bond ladders and discover and invest in individual stocks. We receive revenue from our investment advisory products through fees we charge for investment advisory and portfolio management services. Our investment advisory fees are calculated by multiplying our advisory fee, typically 0.25%, by the market value, less fee waivers, of assets held in client accounts. Costs primarily consist of clearing and execution, money movement, tax reporting, client account maintenance, and individual retirement accounts’ custodial expenses. For fiscal 2024, fiscal 2025, and the six months ended July 31, 2025, revenue from our investment advisory products constituted approximately 26%, 24%, and 24% of our total revenue, respectively. For additional information about our investment advisory products, see the sections titled “Management’s Discussion and Analysis of Financial Condition and Results of Operations—Components of Results of Operations” and “Management’s Discussion and Analysis of Financial Condition and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17621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72" w:lineRule="exact"/>
        <w:rPr>
          <w:sz w:val="20"/>
          <w:szCs w:val="20"/>
          <w:color w:val="auto"/>
        </w:rPr>
      </w:pPr>
    </w:p>
    <w:p>
      <w:pPr>
        <w:ind w:left="140" w:hanging="136"/>
        <w:spacing w:after="0"/>
        <w:tabs>
          <w:tab w:leader="none" w:pos="140" w:val="left"/>
        </w:tabs>
        <w:numPr>
          <w:ilvl w:val="0"/>
          <w:numId w:val="79"/>
        </w:numPr>
        <w:rPr>
          <w:rFonts w:ascii="Arial" w:cs="Arial" w:eastAsia="Arial" w:hAnsi="Arial"/>
          <w:sz w:val="16"/>
          <w:szCs w:val="16"/>
          <w:color w:val="auto"/>
          <w:vertAlign w:val="superscript"/>
        </w:rPr>
      </w:pPr>
      <w:r>
        <w:rPr>
          <w:rFonts w:ascii="Arial" w:cs="Arial" w:eastAsia="Arial" w:hAnsi="Arial"/>
          <w:sz w:val="13"/>
          <w:szCs w:val="13"/>
          <w:color w:val="auto"/>
        </w:rPr>
        <w:t>Based on extensive academic research, including that relating to Modern Portfolio Theory as described by Harry Markowitz in his 1952 paper Portfolio Selection.</w:t>
      </w:r>
    </w:p>
    <w:p>
      <w:pPr>
        <w:spacing w:after="0" w:line="3" w:lineRule="exact"/>
        <w:rPr>
          <w:rFonts w:ascii="Arial" w:cs="Arial" w:eastAsia="Arial" w:hAnsi="Arial"/>
          <w:sz w:val="16"/>
          <w:szCs w:val="16"/>
          <w:color w:val="auto"/>
          <w:vertAlign w:val="superscript"/>
        </w:rPr>
      </w:pPr>
    </w:p>
    <w:p>
      <w:pPr>
        <w:ind w:left="260" w:hanging="256"/>
        <w:spacing w:after="0" w:line="216" w:lineRule="auto"/>
        <w:tabs>
          <w:tab w:leader="none" w:pos="136" w:val="left"/>
        </w:tabs>
        <w:numPr>
          <w:ilvl w:val="0"/>
          <w:numId w:val="79"/>
        </w:numPr>
        <w:rPr>
          <w:rFonts w:ascii="Arial" w:cs="Arial" w:eastAsia="Arial" w:hAnsi="Arial"/>
          <w:sz w:val="16"/>
          <w:szCs w:val="16"/>
          <w:color w:val="auto"/>
          <w:vertAlign w:val="superscript"/>
        </w:rPr>
      </w:pPr>
      <w:r>
        <w:rPr>
          <w:rFonts w:ascii="Arial" w:cs="Arial" w:eastAsia="Arial" w:hAnsi="Arial"/>
          <w:sz w:val="13"/>
          <w:szCs w:val="13"/>
          <w:color w:val="auto"/>
        </w:rPr>
        <w:t>In any given tax year, individual harvested capital losses (short- and long-term) can be used to offset capital gains (short- and long-term) in any amount for such individual, while excess losses may be used to offset ordinary income up to a maximum of $3,000 in any given tax year. Any excess losses beyond the annual cap may be carried forward for the life of the individual taxpayer.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280"/>
          </w:cols>
          <w:pgMar w:left="300" w:top="209" w:right="31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Operations—The Unique Economics and Compounding Growth Model of Wealthfront—Our Revenue Model.”</w:t>
      </w:r>
    </w:p>
    <w:p>
      <w:pPr>
        <w:spacing w:after="0" w:line="135" w:lineRule="exact"/>
        <w:rPr>
          <w:sz w:val="20"/>
          <w:szCs w:val="20"/>
          <w:color w:val="auto"/>
        </w:rPr>
      </w:pPr>
    </w:p>
    <w:p>
      <w:pPr>
        <w:ind w:left="480" w:hanging="224"/>
        <w:spacing w:after="0"/>
        <w:tabs>
          <w:tab w:leader="none" w:pos="480" w:val="left"/>
        </w:tabs>
        <w:numPr>
          <w:ilvl w:val="0"/>
          <w:numId w:val="80"/>
        </w:numPr>
        <w:rPr>
          <w:rFonts w:ascii="Arial" w:cs="Arial" w:eastAsia="Arial" w:hAnsi="Arial"/>
          <w:sz w:val="14"/>
          <w:szCs w:val="14"/>
          <w:i w:val="1"/>
          <w:iCs w:val="1"/>
          <w:color w:val="auto"/>
        </w:rPr>
      </w:pPr>
      <w:r>
        <w:rPr>
          <w:rFonts w:ascii="Arial" w:cs="Arial" w:eastAsia="Arial" w:hAnsi="Arial"/>
          <w:sz w:val="14"/>
          <w:szCs w:val="14"/>
          <w:i w:val="1"/>
          <w:iCs w:val="1"/>
          <w:color w:val="auto"/>
        </w:rPr>
        <w:t>Borrowing and Lending</w:t>
      </w:r>
    </w:p>
    <w:p>
      <w:pPr>
        <w:spacing w:after="0" w:line="19" w:lineRule="exact"/>
        <w:rPr>
          <w:sz w:val="20"/>
          <w:szCs w:val="20"/>
          <w:color w:val="auto"/>
        </w:rPr>
      </w:pPr>
    </w:p>
    <w:p>
      <w:pPr>
        <w:jc w:val="both"/>
        <w:ind w:left="500"/>
        <w:spacing w:after="0" w:line="253" w:lineRule="auto"/>
        <w:rPr>
          <w:sz w:val="20"/>
          <w:szCs w:val="20"/>
          <w:color w:val="auto"/>
        </w:rPr>
      </w:pPr>
      <w:r>
        <w:rPr>
          <w:rFonts w:ascii="Arial" w:cs="Arial" w:eastAsia="Arial" w:hAnsi="Arial"/>
          <w:sz w:val="14"/>
          <w:szCs w:val="14"/>
          <w:color w:val="auto"/>
        </w:rPr>
        <w:t>We offer clients with a minimum account balance of $25,000 a simple, fast, and low cost way to borrow cash against up to 30% of the securities in their eligible accounts using a PLOC. We offer PLOC to clients through our omnibus margin lending arrangement with RBC Clearing &amp; Custody, which is subject to customary industry terms. RBC Clearing &amp; Custody extends loans to Wealthfront Brokerage LLC, which then lends these funds to Wealthfront Brokerage LLC clients. Wealthfront Brokerage LLC provides client securities as collateral for such loans and is charged interest by RBC Clearing &amp; Custody on the overall balance of margin loans taken out by clients. As of December 1, 2025, our borrowing rates are among the lowest in the industry, currently 1.08% above the prevailing EFFR, and provide an economical liquidity solution to our clients. We generate revenue from the interest clients pay on the overall balance of their margin loans, less the interest charged by RBC Clearing &amp; Custody described above.</w:t>
      </w:r>
    </w:p>
    <w:p>
      <w:pPr>
        <w:spacing w:after="0" w:line="103" w:lineRule="exact"/>
        <w:rPr>
          <w:sz w:val="20"/>
          <w:szCs w:val="20"/>
          <w:color w:val="auto"/>
        </w:rPr>
      </w:pPr>
    </w:p>
    <w:p>
      <w:pPr>
        <w:jc w:val="both"/>
        <w:ind w:left="500"/>
        <w:spacing w:after="0" w:line="259" w:lineRule="auto"/>
        <w:rPr>
          <w:sz w:val="20"/>
          <w:szCs w:val="20"/>
          <w:color w:val="auto"/>
        </w:rPr>
      </w:pPr>
      <w:r>
        <w:rPr>
          <w:rFonts w:ascii="Arial" w:cs="Arial" w:eastAsia="Arial" w:hAnsi="Arial"/>
          <w:sz w:val="14"/>
          <w:szCs w:val="14"/>
          <w:color w:val="auto"/>
        </w:rPr>
        <w:t>We also enable clients to earn cash income by lending securities they own through our FPSL program. Clients can opt in or out of the FPSL program at any time. If a participating client opts in and meets our lending requirements, the client authorizes Wealthfront Advisers to lend the client’s fully paid securities to Wealthfront Brokerage LLC, which lends such securities to unaffiliated third-party financial institutions. These loans are collateralized with cash received from the unaffiliated third-party borrowers, and clients receive 50% of the net interest revenue generated from the loans. We offer our FPSL program through an arrangement with Sharegain that launched in February 2025. Sharegain is a leading securities lending platform provider.</w:t>
      </w:r>
    </w:p>
    <w:p>
      <w:pPr>
        <w:spacing w:after="0" w:line="98" w:lineRule="exact"/>
        <w:rPr>
          <w:sz w:val="20"/>
          <w:szCs w:val="20"/>
          <w:color w:val="auto"/>
        </w:rPr>
      </w:pPr>
    </w:p>
    <w:p>
      <w:pPr>
        <w:jc w:val="both"/>
        <w:ind w:left="500"/>
        <w:spacing w:after="0" w:line="257" w:lineRule="auto"/>
        <w:rPr>
          <w:sz w:val="20"/>
          <w:szCs w:val="20"/>
          <w:color w:val="auto"/>
        </w:rPr>
      </w:pPr>
      <w:r>
        <w:rPr>
          <w:rFonts w:ascii="Arial" w:cs="Arial" w:eastAsia="Arial" w:hAnsi="Arial"/>
          <w:sz w:val="14"/>
          <w:szCs w:val="14"/>
          <w:color w:val="auto"/>
        </w:rPr>
        <w:t>We receive revenue from our borrowing and lending products primarily through interest received for our PLOC margin lending services. For fiscal 2024, fiscal 2025, and the six months ended July 31, 2025, revenue from our borrowing and lending services was immaterial, constituting approximately 1%, 0%, and 0% of our total revenue, respectively. There are also immaterial costs associated with our borrowing and lending products. For additional information, see the sections titled “Management’s Discussion and Analysis of Financial Condition and Results of Operations—Components of Results of Operations,” “Management’s Discussion and Analysis of Financial Condition and Results of Operations—Quantitative and Qualitative Discussions of Market Risk,” “Business—Our Products,” and “Business—Government Regulation— Brokerage Regulation and Regulatory Capital and Deposit Requirements.”</w:t>
      </w:r>
    </w:p>
    <w:p>
      <w:pPr>
        <w:spacing w:after="0" w:line="103" w:lineRule="exact"/>
        <w:rPr>
          <w:sz w:val="20"/>
          <w:szCs w:val="20"/>
          <w:color w:val="auto"/>
        </w:rPr>
      </w:pPr>
    </w:p>
    <w:p>
      <w:pPr>
        <w:ind w:left="480" w:hanging="224"/>
        <w:spacing w:after="0"/>
        <w:tabs>
          <w:tab w:leader="none" w:pos="480" w:val="left"/>
        </w:tabs>
        <w:numPr>
          <w:ilvl w:val="0"/>
          <w:numId w:val="81"/>
        </w:numPr>
        <w:rPr>
          <w:rFonts w:ascii="Arial" w:cs="Arial" w:eastAsia="Arial" w:hAnsi="Arial"/>
          <w:sz w:val="14"/>
          <w:szCs w:val="14"/>
          <w:i w:val="1"/>
          <w:iCs w:val="1"/>
          <w:color w:val="auto"/>
        </w:rPr>
      </w:pPr>
      <w:r>
        <w:rPr>
          <w:rFonts w:ascii="Arial" w:cs="Arial" w:eastAsia="Arial" w:hAnsi="Arial"/>
          <w:sz w:val="14"/>
          <w:szCs w:val="14"/>
          <w:i w:val="1"/>
          <w:iCs w:val="1"/>
          <w:color w:val="auto"/>
        </w:rPr>
        <w:t>Financial Planning</w:t>
      </w:r>
    </w:p>
    <w:p>
      <w:pPr>
        <w:spacing w:after="0" w:line="19" w:lineRule="exact"/>
        <w:rPr>
          <w:sz w:val="20"/>
          <w:szCs w:val="20"/>
          <w:color w:val="auto"/>
        </w:rPr>
      </w:pPr>
    </w:p>
    <w:p>
      <w:pPr>
        <w:jc w:val="both"/>
        <w:ind w:left="500"/>
        <w:spacing w:after="0" w:line="258" w:lineRule="auto"/>
        <w:rPr>
          <w:sz w:val="20"/>
          <w:szCs w:val="20"/>
          <w:color w:val="auto"/>
        </w:rPr>
      </w:pPr>
      <w:r>
        <w:rPr>
          <w:rFonts w:ascii="Arial" w:cs="Arial" w:eastAsia="Arial" w:hAnsi="Arial"/>
          <w:sz w:val="14"/>
          <w:szCs w:val="14"/>
          <w:color w:val="auto"/>
        </w:rPr>
        <w:t>We provide individualized, software-based financial planning to help clients optimize their finances, giving them insight into their projected future net worth, and guidance on the cost of homeownership, early retirement, prolonged time off from their careers, or saving for college. These personalized insights and advice are provided for free, without ever needing to talk to a financial planner. We do not currently earn revenue from, and do not allocate costs to, our financial planning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280"/>
          </w:cols>
          <w:pgMar w:left="300" w:top="209" w:right="3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pace at which we launch new products has accelerated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93980</wp:posOffset>
            </wp:positionV>
            <wp:extent cx="4165600" cy="1809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65600"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Client Experience: Trust and Transparency</w:t>
      </w:r>
    </w:p>
    <w:p>
      <w:pPr>
        <w:spacing w:after="0" w:line="12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Trust and transparency are at the core of our client experience. As of July 31, 2025, our average platform assets per client was approximately $67,000,</w:t>
      </w:r>
      <w:r>
        <w:rPr>
          <w:rFonts w:ascii="Arial" w:cs="Arial" w:eastAsia="Arial" w:hAnsi="Arial"/>
          <w:sz w:val="18"/>
          <w:szCs w:val="18"/>
          <w:color w:val="auto"/>
          <w:vertAlign w:val="superscript"/>
        </w:rPr>
        <w:t>35</w:t>
      </w:r>
      <w:r>
        <w:rPr>
          <w:rFonts w:ascii="Arial" w:cs="Arial" w:eastAsia="Arial" w:hAnsi="Arial"/>
          <w:sz w:val="14"/>
          <w:szCs w:val="14"/>
          <w:color w:val="auto"/>
        </w:rPr>
        <w:t xml:space="preserve"> which we believe demonstrates our clients’ trust in our platform. Trust and transparency also benefits our business model, as a delightful client experience drives word-of-mouth referrals.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key features that drive trust and transparency are: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Superior Value and Lower Cost</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We believe we are uniquely able to offer these lower cost solutions at superior value because of the automation we’ve built into our platform and our willingness to share our savings with clients, who value low-cost financial products. We believe that, due in part to our unwavering focus on automation, we’re able to drive down the marginal cost of evaluating and trading, launch and iterate products faster, lower the cost of our support and offer a better overall client experience, including in the form of an industry-leading APY</w:t>
      </w:r>
      <w:r>
        <w:rPr>
          <w:rFonts w:ascii="Arial" w:cs="Arial" w:eastAsia="Arial" w:hAnsi="Arial"/>
          <w:sz w:val="18"/>
          <w:szCs w:val="18"/>
          <w:color w:val="auto"/>
          <w:vertAlign w:val="superscript"/>
        </w:rPr>
        <w:t>36</w:t>
      </w:r>
      <w:r>
        <w:rPr>
          <w:rFonts w:ascii="Arial" w:cs="Arial" w:eastAsia="Arial" w:hAnsi="Arial"/>
          <w:sz w:val="14"/>
          <w:szCs w:val="14"/>
          <w:color w:val="auto"/>
        </w:rPr>
        <w:t xml:space="preserve"> for our cash management products, lower advisory fees</w:t>
      </w:r>
      <w:r>
        <w:rPr>
          <w:rFonts w:ascii="Arial" w:cs="Arial" w:eastAsia="Arial" w:hAnsi="Arial"/>
          <w:sz w:val="18"/>
          <w:szCs w:val="18"/>
          <w:color w:val="auto"/>
          <w:vertAlign w:val="superscript"/>
        </w:rPr>
        <w:t>37</w:t>
      </w:r>
      <w:r>
        <w:rPr>
          <w:rFonts w:ascii="Arial" w:cs="Arial" w:eastAsia="Arial" w:hAnsi="Arial"/>
          <w:sz w:val="14"/>
          <w:szCs w:val="14"/>
          <w:color w:val="auto"/>
        </w:rPr>
        <w:t xml:space="preserve"> for our investment advisory products, and low interest rates for our PLOC.</w:t>
      </w:r>
      <w:r>
        <w:rPr>
          <w:rFonts w:ascii="Arial" w:cs="Arial" w:eastAsia="Arial" w:hAnsi="Arial"/>
          <w:sz w:val="18"/>
          <w:szCs w:val="18"/>
          <w:color w:val="auto"/>
          <w:vertAlign w:val="superscript"/>
        </w:rPr>
        <w:t>38</w:t>
      </w:r>
      <w:r>
        <w:rPr>
          <w:rFonts w:ascii="Arial" w:cs="Arial" w:eastAsia="Arial" w:hAnsi="Arial"/>
          <w:sz w:val="14"/>
          <w:szCs w:val="14"/>
          <w:color w:val="auto"/>
        </w:rPr>
        <w:t xml:space="preserve"> Additionally, we offer clients a wide range of premium features with our products without an additional fee or subscription, including:</w:t>
      </w:r>
    </w:p>
    <w:p>
      <w:pPr>
        <w:spacing w:after="0" w:line="111" w:lineRule="exact"/>
        <w:rPr>
          <w:sz w:val="20"/>
          <w:szCs w:val="20"/>
          <w:color w:val="auto"/>
        </w:rPr>
      </w:pPr>
    </w:p>
    <w:p>
      <w:pPr>
        <w:ind w:left="500" w:hanging="244"/>
        <w:spacing w:after="0"/>
        <w:tabs>
          <w:tab w:leader="none" w:pos="5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 industry-leading APY through our program banks on as little as $1 in a Wealthfront Cash Account with $0 account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17621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87" w:lineRule="exact"/>
        <w:rPr>
          <w:sz w:val="20"/>
          <w:szCs w:val="20"/>
          <w:color w:val="auto"/>
        </w:rPr>
      </w:pPr>
    </w:p>
    <w:p>
      <w:pPr>
        <w:ind w:left="140" w:hanging="136"/>
        <w:spacing w:after="0"/>
        <w:tabs>
          <w:tab w:leader="none" w:pos="140" w:val="left"/>
        </w:tabs>
        <w:numPr>
          <w:ilvl w:val="0"/>
          <w:numId w:val="83"/>
        </w:numPr>
        <w:rPr>
          <w:rFonts w:ascii="Arial" w:cs="Arial" w:eastAsia="Arial" w:hAnsi="Arial"/>
          <w:sz w:val="16"/>
          <w:szCs w:val="16"/>
          <w:color w:val="auto"/>
          <w:vertAlign w:val="superscript"/>
        </w:rPr>
      </w:pPr>
      <w:r>
        <w:rPr>
          <w:rFonts w:ascii="Arial" w:cs="Arial" w:eastAsia="Arial" w:hAnsi="Arial"/>
          <w:sz w:val="13"/>
          <w:szCs w:val="13"/>
          <w:color w:val="auto"/>
        </w:rPr>
        <w:t>Average platform assets per client is calculated by dividing platform assets by funded clients as of a stated date.</w:t>
      </w:r>
    </w:p>
    <w:p>
      <w:pPr>
        <w:ind w:left="140" w:hanging="136"/>
        <w:spacing w:after="0" w:line="214" w:lineRule="auto"/>
        <w:tabs>
          <w:tab w:leader="none" w:pos="140" w:val="left"/>
        </w:tabs>
        <w:numPr>
          <w:ilvl w:val="0"/>
          <w:numId w:val="83"/>
        </w:numPr>
        <w:rPr>
          <w:rFonts w:ascii="Arial" w:cs="Arial" w:eastAsia="Arial" w:hAnsi="Arial"/>
          <w:sz w:val="15"/>
          <w:szCs w:val="15"/>
          <w:color w:val="auto"/>
          <w:vertAlign w:val="superscript"/>
        </w:rPr>
      </w:pPr>
      <w:r>
        <w:rPr>
          <w:rFonts w:ascii="Arial" w:cs="Arial" w:eastAsia="Arial" w:hAnsi="Arial"/>
          <w:sz w:val="12"/>
          <w:szCs w:val="12"/>
          <w:color w:val="auto"/>
        </w:rPr>
        <w:t>Based on data collected by us on APY offered by a total of sixteen competitors offering online cash savings or cash management products from October 2022 through November 2025, during which</w:t>
      </w:r>
    </w:p>
    <w:p>
      <w:pPr>
        <w:ind w:left="260"/>
        <w:spacing w:after="0"/>
        <w:rPr>
          <w:sz w:val="20"/>
          <w:szCs w:val="20"/>
          <w:color w:val="auto"/>
        </w:rPr>
      </w:pPr>
      <w:r>
        <w:rPr>
          <w:rFonts w:ascii="Arial" w:cs="Arial" w:eastAsia="Arial" w:hAnsi="Arial"/>
          <w:sz w:val="13"/>
          <w:szCs w:val="13"/>
          <w:color w:val="auto"/>
        </w:rPr>
        <w:t>period the APY offered in a Cash Account was among the top 1 to 5 of those competitors. As of December 1, 2025, clients could earn between 3.50% and 4.25% APY in a Cash Account.</w:t>
      </w:r>
    </w:p>
    <w:p>
      <w:pPr>
        <w:ind w:left="140" w:hanging="136"/>
        <w:spacing w:after="0" w:line="203" w:lineRule="auto"/>
        <w:tabs>
          <w:tab w:leader="none" w:pos="140" w:val="left"/>
        </w:tabs>
        <w:numPr>
          <w:ilvl w:val="0"/>
          <w:numId w:val="84"/>
        </w:numPr>
        <w:rPr>
          <w:rFonts w:ascii="Arial" w:cs="Arial" w:eastAsia="Arial" w:hAnsi="Arial"/>
          <w:sz w:val="16"/>
          <w:szCs w:val="16"/>
          <w:color w:val="auto"/>
          <w:vertAlign w:val="superscript"/>
        </w:rPr>
      </w:pPr>
      <w:r>
        <w:rPr>
          <w:rFonts w:ascii="Arial" w:cs="Arial" w:eastAsia="Arial" w:hAnsi="Arial"/>
          <w:sz w:val="13"/>
          <w:szCs w:val="13"/>
          <w:color w:val="auto"/>
        </w:rPr>
        <w:t>Based on a standard industry investment advisory fee of 1% of assets held, compared to our investment advisory fee of 0.25% of assets held for nearly all investment advisory assets.</w:t>
      </w:r>
    </w:p>
    <w:p>
      <w:pPr>
        <w:spacing w:after="0" w:line="4" w:lineRule="exact"/>
        <w:rPr>
          <w:rFonts w:ascii="Arial" w:cs="Arial" w:eastAsia="Arial" w:hAnsi="Arial"/>
          <w:sz w:val="16"/>
          <w:szCs w:val="16"/>
          <w:color w:val="auto"/>
          <w:vertAlign w:val="superscript"/>
        </w:rPr>
      </w:pPr>
    </w:p>
    <w:p>
      <w:pPr>
        <w:ind w:left="260" w:hanging="256"/>
        <w:spacing w:after="0" w:line="222" w:lineRule="auto"/>
        <w:tabs>
          <w:tab w:leader="none" w:pos="138" w:val="left"/>
        </w:tabs>
        <w:numPr>
          <w:ilvl w:val="0"/>
          <w:numId w:val="84"/>
        </w:numPr>
        <w:rPr>
          <w:rFonts w:ascii="Arial" w:cs="Arial" w:eastAsia="Arial" w:hAnsi="Arial"/>
          <w:sz w:val="16"/>
          <w:szCs w:val="16"/>
          <w:color w:val="auto"/>
          <w:vertAlign w:val="superscript"/>
        </w:rPr>
      </w:pPr>
      <w:r>
        <w:rPr>
          <w:rFonts w:ascii="Arial" w:cs="Arial" w:eastAsia="Arial" w:hAnsi="Arial"/>
          <w:sz w:val="13"/>
          <w:szCs w:val="13"/>
          <w:color w:val="auto"/>
        </w:rPr>
        <w:t>Based on competitor rates data as of September 19, 2025 from certain competing financial institutions offering comparable margin lending products. We evaluate these rates because we believe that these competing financial institutions offer similar products to us, their rates are generally representative of industry averages for such products, and such rates reflect their standard rates. Accordingly, we believe our rates are low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280"/>
          </w:cols>
          <w:pgMar w:left="300" w:top="209" w:right="31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line="286" w:lineRule="auto"/>
        <w:tabs>
          <w:tab w:leader="none" w:pos="496" w:val="left"/>
        </w:tabs>
        <w:numPr>
          <w:ilvl w:val="0"/>
          <w:numId w:val="85"/>
        </w:numPr>
        <w:rPr>
          <w:rFonts w:ascii="Arial" w:cs="Arial" w:eastAsia="Arial" w:hAnsi="Arial"/>
          <w:sz w:val="14"/>
          <w:szCs w:val="14"/>
          <w:color w:val="auto"/>
        </w:rPr>
      </w:pPr>
      <w:r>
        <w:rPr>
          <w:rFonts w:ascii="Arial" w:cs="Arial" w:eastAsia="Arial" w:hAnsi="Arial"/>
          <w:sz w:val="14"/>
          <w:szCs w:val="14"/>
          <w:color w:val="auto"/>
        </w:rPr>
        <w:t>FDIC insurance up to $8 million for individual accounts and $16 million for joint accounts through our program banks and the aggregation of FDIC deposit insurance across the sweep program.</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Free instant withdrawals to eligible external accounts—even on weekends and holidays.</w:t>
      </w:r>
    </w:p>
    <w:p>
      <w:pPr>
        <w:spacing w:after="0" w:line="91" w:lineRule="exact"/>
        <w:rPr>
          <w:rFonts w:ascii="Arial" w:cs="Arial" w:eastAsia="Arial" w:hAnsi="Arial"/>
          <w:sz w:val="14"/>
          <w:szCs w:val="14"/>
          <w:color w:val="auto"/>
        </w:rPr>
      </w:pPr>
    </w:p>
    <w:p>
      <w:pPr>
        <w:ind w:left="500" w:hanging="244"/>
        <w:spacing w:after="0"/>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Free domestic wires to title companies and accounts in the clients’ name.</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Over 19,000 free ATMs for funds held at our program banks and up to two free out-of-network ATM withdrawal reimbursements each month.</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Free automated tax-loss harvesting for many of our investment products that produces benefits that are often a multiple of our investment advisory fee.</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Private excess SIPC protection with an additional $500 million in aggregate and a maximum of $900,000 limit on cash in brokerage accounts per client.</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 low borrowing rate for margin loans with approval in seconds and money deposited in as little as one business day.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Intuitive and Easy to Use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All our products are designed to simplify otherwise complex financial experiences and decisions. While complex to navigate on one’s own when beginning one’s financial journey, we strive to make the process holistic and simple. Everything from account opening to notifications, transfers, and decision prompts are presented to our clients clearly and conveniently. Our clients don’t want to talk to advisors, and instead, we are able to offer them financial product solutions without the need for appointments or phone calls.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Fast and Frictionless Money Movement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want to make it as easy and as quick as possible for our clients to move money to where it is most productive for them. We offer 24/7/365 free instant withdrawals to eligible external accounts through the RTP Network and FedNow—including weekends and holidays—subject to the reservation of rights to impose risk-based limits when warranted. We have found that making it easy for clients to instantly withdraw their money with no fee from Wealthfront leads them to increase their contributions and hold larger balances at Wealthfront. We do not control fees charged by a client’s receiving institution, and we disclose to clients that their transactions are subject to any fees or timing constraints that may be imposed by these third-party receiving institutions (e.g., banks where clients have accounts).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Treating Clients as They Would Expect to be Treated</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All of our investment products are designed to implement best practices in the industry, and we publish exactly how we implement each service in publicly available white papers. We do not charge hidden or unexpected transaction fees and we don’t pursue marketing strategies that offer a better deal to new clients than existing ones.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High-Quality Product Support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goal is to build everything clients need into our products so they don’t ever have to call or email us. But if they do, our Product Specialists are delighted to help. They’re called Product Specialists because they serve a hybrid support and product function. Many people on our product support team have CFPs and CFA charters. As expected, they help clients quickly resolve problems, but perhaps even more importantly, they spend time determining what drives the support requests from clients so we can resolve the issues that led them to reach out to us. Our product support team reports directly to our product management organization, which helps us prioritize and make changes in the product experience based on client feedback, reducing the amount of human interaction ultimately needed in the long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280"/>
          </w:cols>
          <w:pgMar w:left="300" w:top="209" w:right="31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This unique approach to support allows us to serve approximately 55,000 clients per Product Specialist as of July 31, 2025.</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Proprietary Technology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Omnibus Brokerage Platform</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proprietary omnibus brokerage platform is the foundation for our investing and cash management solutions. It helps us to continually improve the client experience, launch new products, and reduce costs. Our unrelenting focus on automation allows for extraordinary operating leverage and scalability, and enables us to deliver a broad spectrum of investment products and brokerage services, such as tax-loss harvesting, direct indexing and portfolio line of credit.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Fully Integrated Brokerage and Cash Management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brokerage platform seamlessly integrates with our cash management and investing solutions, creating a cohesive and streamlined client experience. As a result, clients are able to take advantage of instant transfers and earn interest at an industry-leading APY</w:t>
      </w:r>
      <w:r>
        <w:rPr>
          <w:rFonts w:ascii="Arial" w:cs="Arial" w:eastAsia="Arial" w:hAnsi="Arial"/>
          <w:sz w:val="18"/>
          <w:szCs w:val="18"/>
          <w:color w:val="auto"/>
          <w:vertAlign w:val="superscript"/>
        </w:rPr>
        <w:t>39</w:t>
      </w:r>
      <w:r>
        <w:rPr>
          <w:rFonts w:ascii="Arial" w:cs="Arial" w:eastAsia="Arial" w:hAnsi="Arial"/>
          <w:sz w:val="14"/>
          <w:szCs w:val="14"/>
          <w:color w:val="auto"/>
        </w:rPr>
        <w:t xml:space="preserve"> on all their cash assets.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Data Aggregation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Data received from financial institutions or data aggregators must be cleaned and processed before it can be presented to our clients. The insights from our proprietary cleansing and processing data platform, combined with our fully integrated brokerage and cash management, together inform our automated holistic financial planning software experience.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and Analytics Platform</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data and analytics platform gathers client activity both within the Wealthfront platform and from external sources. This data is then used to create a comprehensive profile of each client, which forms the foundation for our financial advice and product recommendations. Additionally, this process helps us to understand how clients interact with both our products and other external offerings, which in turn informs the direction of our product roadmap.</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Differentiated Strategy — Why We and Our Clients Win Together</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business is uniquely and fundamentally aligned with our clients. Our clients’ success drives our success as we make money with our clients, not from them. Our client-first approach is woven into our product philosophy and our business model.</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Model Drives Our Greatest Advantage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business model plays a critical role in the success of our business. We only offer financial services we can fully automate. As a result, we are often the low-cost producer of any service we offer. We then uniquely pass along the savings that result from being the low-cost producer with our clients in the form of lower fees on investment advisory products, higher yields on the money they hold in their Cash Account, lower interest rates on money they borrow from us and no fees on money movement. The sharing of savings which leads to superior value offered coupled with transparency and our focus on putting clients’ interests ahead of our own instills trust in our platform. Trust leads our clients to deposit their incremental savings with us, adopt additional products and refer friends. Only offering automated products, despite sharing our savings with clients, leads to exceptionally high gross margins.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17621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80" w:lineRule="exact"/>
        <w:rPr>
          <w:sz w:val="20"/>
          <w:szCs w:val="20"/>
          <w:color w:val="auto"/>
        </w:rPr>
      </w:pPr>
    </w:p>
    <w:p>
      <w:pPr>
        <w:ind w:left="260" w:hanging="256"/>
        <w:spacing w:after="0" w:line="263" w:lineRule="auto"/>
        <w:tabs>
          <w:tab w:leader="none" w:pos="140" w:val="left"/>
        </w:tabs>
        <w:numPr>
          <w:ilvl w:val="0"/>
          <w:numId w:val="86"/>
        </w:numPr>
        <w:rPr>
          <w:rFonts w:ascii="Arial" w:cs="Arial" w:eastAsia="Arial" w:hAnsi="Arial"/>
          <w:sz w:val="15"/>
          <w:szCs w:val="15"/>
          <w:color w:val="auto"/>
          <w:vertAlign w:val="superscript"/>
        </w:rPr>
      </w:pPr>
      <w:r>
        <w:rPr>
          <w:rFonts w:ascii="Arial" w:cs="Arial" w:eastAsia="Arial" w:hAnsi="Arial"/>
          <w:sz w:val="12"/>
          <w:szCs w:val="12"/>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280"/>
          </w:cols>
          <w:pgMar w:left="300" w:top="209" w:right="31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of trust leads to very low marketing costs. Taken together, automation and trust lead to profit margins which can be reinvested in the platform to enhance existing products and deliver new 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59690</wp:posOffset>
            </wp:positionV>
            <wp:extent cx="4165600" cy="2917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65600" cy="291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Our client-centric approach builds trust with clients which leads them to reward us with additional product and account expansion. Our ability to evolve with our clients and their unwavering preference for seamless digital and mobile experiences over in-person interactions allows us to retain our largest clients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280"/>
          </w:cols>
          <w:pgMar w:left="300" w:top="209" w:right="31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at an even higher rate, which is demonstrated by the fact that annual net revenue retention has consistently been greater than 120% for each of the last eleven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93980</wp:posOffset>
            </wp:positionV>
            <wp:extent cx="4165600" cy="22828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65600" cy="228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work to continuously strengthen the trust we earn from our clients through the alignment of our product value and client outcomes. This trust is evidenced by the 39% year-over-year growth in platform assets and 42% year-over-year growth in clients on our platform from January 31, 2024 to January 31, 2025, and 24% year-over-year growth in platform assets and 24% year-over-year growth in clients on our platform from July 31, 2024 to July 31, 2025, and the fact that more than 17% of clients on our platform had recurring or direct deposits as of July 31, 2025. These statistics demonstrate the sustained impact of our growth strategy and the long-term mutually beneficial effects of our growth flywheel.</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Furthermore, the trust established with our clients contributed to an annual client retention rate of approximately 95% for each of fiscal 2024 and fiscal 2025, which provides a stable and recurring revenue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280"/>
          </w:cols>
          <w:pgMar w:left="300" w:top="209" w:right="31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stream for us, reducing the need for constant client replacement. Each one of our client vintages has demonstrated platform asset growth over the past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93980</wp:posOffset>
            </wp:positionV>
            <wp:extent cx="4165600" cy="2356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65600" cy="235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Organic Client Acquisition Engine via Word-of-Mouth Referrals Drives Efficient Client Adoption to Our Platform</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Our business benefits from organic growth driven by a strong word-of-mouth referral pipeline. Over the past two fiscal years, over 50% of new clients were referred by existing clients. From October 2022 through July 2025, 40% of our clients sent at least one referral and 19% of our clients sent at least one successful referral with an average rate of 2.9 referrals per client.</w:t>
      </w:r>
      <w:r>
        <w:rPr>
          <w:rFonts w:ascii="Arial" w:cs="Arial" w:eastAsia="Arial" w:hAnsi="Arial"/>
          <w:sz w:val="18"/>
          <w:szCs w:val="18"/>
          <w:color w:val="auto"/>
          <w:vertAlign w:val="superscript"/>
        </w:rPr>
        <w:t>40</w:t>
      </w:r>
      <w:r>
        <w:rPr>
          <w:rFonts w:ascii="Arial" w:cs="Arial" w:eastAsia="Arial" w:hAnsi="Arial"/>
          <w:sz w:val="14"/>
          <w:szCs w:val="14"/>
          <w:color w:val="auto"/>
        </w:rPr>
        <w:t xml:space="preserve"> This high volume of successful referrals underscores existing clients’ satisfaction and trust in our platform. Clients who come to us organically tend to demonstrate stronger intent, greater long-term trust in Wealthfront, and thus, higher long-term retention.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approach to driving organic growth is intentional and has been core to our marketing strategy from the company’s inception. Our ability to drive organic growth is rooted in our deep understanding of our clients. We have a dedicated client research team focused on understanding our target clients’ needs and how they perceive Wealthfront’s ability to address their needs relative to the other offerings in the marketplace. Our product development process is rooted in putting our clients’ interests first. One of our product principles is that a product is not finished until it delights our target clients. Our organizational focus on understanding and delighting our target clients has allowed us to create products our clients love and, in turn, are excited to refer to friends and family.</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Paid marketing is difficult in financial services, as individuals, especially digital natives, are not easily swayed by traditional and generic advertisements to move their hard-earned wealth. Accordingly, we believe our carefully constructed incentive based referral-driven growth model is a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17621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40" w:lineRule="exact"/>
        <w:rPr>
          <w:sz w:val="20"/>
          <w:szCs w:val="20"/>
          <w:color w:val="auto"/>
        </w:rPr>
      </w:pPr>
    </w:p>
    <w:p>
      <w:pPr>
        <w:ind w:left="140" w:hanging="136"/>
        <w:spacing w:after="0"/>
        <w:tabs>
          <w:tab w:leader="none" w:pos="140" w:val="left"/>
        </w:tabs>
        <w:numPr>
          <w:ilvl w:val="0"/>
          <w:numId w:val="87"/>
        </w:numPr>
        <w:rPr>
          <w:rFonts w:ascii="Arial" w:cs="Arial" w:eastAsia="Arial" w:hAnsi="Arial"/>
          <w:sz w:val="16"/>
          <w:szCs w:val="16"/>
          <w:color w:val="auto"/>
          <w:vertAlign w:val="superscript"/>
        </w:rPr>
      </w:pPr>
      <w:r>
        <w:rPr>
          <w:rFonts w:ascii="Arial" w:cs="Arial" w:eastAsia="Arial" w:hAnsi="Arial"/>
          <w:sz w:val="13"/>
          <w:szCs w:val="13"/>
          <w:color w:val="auto"/>
        </w:rPr>
        <w:t>Average number of referrals sent by funded clients born after 1980 who have sent at least one referral since October 1, 2022.</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91" w:lineRule="exact"/>
        <w:rPr>
          <w:rFonts w:ascii="Arial" w:cs="Arial" w:eastAsia="Arial" w:hAnsi="Arial"/>
          <w:sz w:val="16"/>
          <w:szCs w:val="16"/>
          <w:color w:val="auto"/>
          <w:vertAlign w:val="superscript"/>
        </w:rPr>
      </w:pPr>
    </w:p>
    <w:p>
      <w:pPr>
        <w:ind w:left="5520"/>
        <w:spacing w:after="0"/>
        <w:rPr>
          <w:rFonts w:ascii="Arial" w:cs="Arial" w:eastAsia="Arial" w:hAnsi="Arial"/>
          <w:sz w:val="16"/>
          <w:szCs w:val="16"/>
          <w:color w:val="auto"/>
          <w:vertAlign w:val="superscript"/>
        </w:rPr>
      </w:pPr>
      <w:r>
        <w:rPr>
          <w:rFonts w:ascii="Arial" w:cs="Arial" w:eastAsia="Arial" w:hAnsi="Arial"/>
          <w:sz w:val="14"/>
          <w:szCs w:val="14"/>
          <w:color w:val="auto"/>
        </w:rPr>
        <w:t>169</w:t>
      </w:r>
    </w:p>
    <w:p>
      <w:pPr>
        <w:sectPr>
          <w:pgSz w:w="11900" w:h="16838" w:orient="portrait"/>
          <w:cols w:equalWidth="0" w:num="1">
            <w:col w:w="11280"/>
          </w:cols>
          <w:pgMar w:left="300" w:top="209" w:right="31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Product-Led Growth</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Deepening Relationships with Existing Clients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Since inception, Wealthfront has primarily pursued a product-led growth strategy. We have been, and will remain, a pioneer and innovator of automated financial products.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products are purpose built to continually address the unique preferences and financial needs of wealth-building digital natives. The growing digital-native generations prefer a financial platform that is fast, convenient, technology-enabled and lower-cost compared to legacy alternatives. Unlike many incumbent platforms who are focused on older generations, Wealthfront does not face the innovator’s dilemma, allowing us to develop a platform that best caters to the needs of our core client base. Unlike many other FinTechs, trust and transparency are central to our approach, ensuring that our clients are always informed through near-instant communication, helping us to build and maintain long-term relationships with our clients.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continue to improve and offer new products across the risk spectrum, empowering our clients to take control of their financial future as their risk appetites evolve. Over time, we expect to offer increasingly sophisticated financial solutions that address our clients’ increasingly complex goals. Data acquired from our clients linking their external financial accounts to our financial planning software helps provide unique insight into financial products they currently use and opportunities for new products that could enhance their financial outcomes.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commitment to understanding client goals has prompted us to expand our financial products beyond our core offerings in cash management, investment advisory, borrowing and lending, and financial planning solutions. We are currently developing technology-enabled mortgage solutions with competitive rates and new investment product offerings, and we originated our first mortgage loan in August 2025. We launched our mortgage offering to a limited number of clients in Colorado in November 2025 and expect to begin limited launches in Texas and California in late 2025 and early 2026,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Client Acquisition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Led by our products and technology, we aim to attract new clients and increase our share of wallet among existing clients by attracting more of their assets to our platform as our client base continues to mature and accumulate wealth. As evidence of our successful client acquisition and retention strategy, our annual net revenue retention was greater than 120% for each of the last eleven fiscal years.</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product-led strategy makes it possible for us to acquire and retain clients through a combination of organic and cost-disciplined marketing initiatives. Our innovative products, coupled with a high level of satisfaction and trust, have contributed to a differentiated word-of-mouth growth engine rather than relying on less efficient marketing spend.</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Wealthfront’s focus on long-term wealth accumulation resonates with clients who value a long-term investment horizon rather than short-term gains. Our commitment to financial education sets us apart, as we aim to equip our clients with financial best practices rather than encourage transactions. This fundamentally different approach is designed to encourage our clients to remain patient and minimize their active engagement on our platform. Clients are prompted to give their wealth time in the market, not to time the market, even in light of market volatility.</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In addition to organic growth, we leverage referral programs that incentivize existing clients to introduce new users to our platform, further driving expansion. Over the past two fiscal years, over 50% of new clients were referred by existing clients, and from October 2022 through July 2025, 40% of our clients</w:t>
      </w:r>
      <w:r>
        <w:rPr>
          <w:rFonts w:ascii="Arial" w:cs="Arial" w:eastAsia="Arial" w:hAnsi="Arial"/>
          <w:sz w:val="18"/>
          <w:szCs w:val="18"/>
          <w:color w:val="auto"/>
          <w:vertAlign w:val="superscript"/>
        </w:rPr>
        <w:t>41</w:t>
      </w:r>
      <w:r>
        <w:rPr>
          <w:rFonts w:ascii="Arial" w:cs="Arial" w:eastAsia="Arial" w:hAnsi="Arial"/>
          <w:sz w:val="14"/>
          <w:szCs w:val="14"/>
          <w:color w:val="auto"/>
        </w:rPr>
        <w:t xml:space="preserve"> sent at least one referral. Our marketing expense was only 10% of our revenue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17621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72" w:lineRule="exact"/>
        <w:rPr>
          <w:sz w:val="20"/>
          <w:szCs w:val="20"/>
          <w:color w:val="auto"/>
        </w:rPr>
      </w:pPr>
    </w:p>
    <w:p>
      <w:pPr>
        <w:ind w:left="140" w:hanging="136"/>
        <w:spacing w:after="0"/>
        <w:tabs>
          <w:tab w:leader="none" w:pos="140" w:val="left"/>
        </w:tabs>
        <w:numPr>
          <w:ilvl w:val="0"/>
          <w:numId w:val="88"/>
        </w:numPr>
        <w:rPr>
          <w:rFonts w:ascii="Arial" w:cs="Arial" w:eastAsia="Arial" w:hAnsi="Arial"/>
          <w:sz w:val="16"/>
          <w:szCs w:val="16"/>
          <w:color w:val="auto"/>
          <w:vertAlign w:val="superscript"/>
        </w:rPr>
      </w:pPr>
      <w:r>
        <w:rPr>
          <w:rFonts w:ascii="Arial" w:cs="Arial" w:eastAsia="Arial" w:hAnsi="Arial"/>
          <w:sz w:val="13"/>
          <w:szCs w:val="13"/>
          <w:color w:val="auto"/>
        </w:rPr>
        <w:t>Funded clients born after 1980.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280"/>
          </w:cols>
          <w:pgMar w:left="300" w:top="209" w:right="319"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17% in fiscal 2025, and 11% for the six months ended July 31, 2025, placing us among the most cost-efficient consumer-focused financial platforms in the industry. We see significant potential for further client and asset growth as we expand our client acquisition efforts.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platform also actively encourages existing clients to explore and adopt additional Wealthfront products. Clients who initially funded either a cash management or investment advisory account and as of July 31, 2025 had a funded account of the other type represented 59% of platform assets and 27% of total funded clients. We leverage data insights to tailor product recommendations to align with client needs, ensuring that our offerings remain relevant and appealing.</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ecosystem of cash management and investment advisory accounts is built to work together seamlessly, offering convenience between accounts and the opportunity to grow savings with minimal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59690</wp:posOffset>
            </wp:positionV>
            <wp:extent cx="4165600" cy="26301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65600" cy="263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 of July 31, 2025, our clients funded an average of 1.3 accounts. Our strong cross-product adoption exemplifies the versatility of employing client acquisition strategies to quickly adapt to new macroeconomic environments. For example, in strong macroeconomic environments with low interest rates, our investment advisory products have historically become more popular. In weak macroeconomic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280"/>
          </w:cols>
          <w:pgMar w:left="300" w:top="209" w:right="31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environments with higher interest rates, our cash management products have historically become more popular.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93980</wp:posOffset>
            </wp:positionV>
            <wp:extent cx="4165600" cy="2129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65600"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M&amp;A and Expansion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view mergers and acquisitions as another way to expand our platform and to find innovative, inorganic growth solutions that we can acquire and scale.</w:t>
      </w:r>
    </w:p>
    <w:p>
      <w:pPr>
        <w:spacing w:after="0" w:line="133"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Our Products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Wealthfront offers digital and automated cash management, investment advisory, borrowing and lending, and financial planning products to solve our clients’ everyday and long-term financial needs. Our investment philosophy is to help clients focus on what they can control: fees, taxes, and diversification. As a result, Wealthfront provides products across the efficient frontier of risk and reward, including Cash Accounts, bond ETF and ladder portfolios, diversified ETF portfolios, S&amp;P 500 Direct, and stock investing. These products are offered to clients for a simple, low and transparent fee structure, thereby increasing trust and underscoring our aligned incentives. Because our platform abstracts away the complexity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280"/>
          </w:cols>
          <w:pgMar w:left="300" w:top="209" w:right="31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sophisticated financial services, our products are easy to use and prioritize user experience and convenience while helping our clients achieve their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93980</wp:posOffset>
            </wp:positionV>
            <wp:extent cx="4165600" cy="2229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6560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Management</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color w:val="auto"/>
        </w:rPr>
        <w:t>Cash Account</w:t>
      </w:r>
      <w:r>
        <w:rPr>
          <w:rFonts w:ascii="Arial" w:cs="Arial" w:eastAsia="Arial" w:hAnsi="Arial"/>
          <w:sz w:val="14"/>
          <w:szCs w:val="14"/>
          <w:color w:val="auto"/>
        </w:rPr>
        <w:t>: The Cash Account is a brokerage account offered by Wealthfront Brokerage LLC that provides clients with access to our cash management services, including our</w:t>
      </w:r>
      <w:r>
        <w:rPr>
          <w:rFonts w:ascii="Arial" w:cs="Arial" w:eastAsia="Arial" w:hAnsi="Arial"/>
          <w:sz w:val="14"/>
          <w:szCs w:val="14"/>
          <w:b w:val="1"/>
          <w:bCs w:val="1"/>
          <w:color w:val="auto"/>
        </w:rPr>
        <w:t xml:space="preserve"> </w:t>
      </w:r>
      <w:r>
        <w:rPr>
          <w:rFonts w:ascii="Arial" w:cs="Arial" w:eastAsia="Arial" w:hAnsi="Arial"/>
          <w:sz w:val="14"/>
          <w:szCs w:val="14"/>
          <w:color w:val="auto"/>
        </w:rPr>
        <w:t>cash sweep program. Our Cash Account automatically sweeps clients’ cash deposits to a large number of program banks where clients earn interest at an industry-leading APY</w:t>
      </w:r>
      <w:r>
        <w:rPr>
          <w:rFonts w:ascii="Arial" w:cs="Arial" w:eastAsia="Arial" w:hAnsi="Arial"/>
          <w:sz w:val="18"/>
          <w:szCs w:val="18"/>
          <w:color w:val="auto"/>
          <w:vertAlign w:val="superscript"/>
        </w:rPr>
        <w:t>42</w:t>
      </w:r>
      <w:r>
        <w:rPr>
          <w:rFonts w:ascii="Arial" w:cs="Arial" w:eastAsia="Arial" w:hAnsi="Arial"/>
          <w:sz w:val="14"/>
          <w:szCs w:val="14"/>
          <w:color w:val="auto"/>
        </w:rPr>
        <w:t xml:space="preserve"> and benefit from the security of pass-through FDIC insurance. By sweeping clients’ funds from Wealthfront Brokerage LLC through an intermediary bank</w:t>
      </w:r>
      <w:r>
        <w:rPr>
          <w:rFonts w:ascii="Arial" w:cs="Arial" w:eastAsia="Arial" w:hAnsi="Arial"/>
          <w:sz w:val="18"/>
          <w:szCs w:val="18"/>
          <w:color w:val="auto"/>
          <w:vertAlign w:val="superscript"/>
        </w:rPr>
        <w:t>43</w:t>
      </w:r>
      <w:r>
        <w:rPr>
          <w:rFonts w:ascii="Arial" w:cs="Arial" w:eastAsia="Arial" w:hAnsi="Arial"/>
          <w:sz w:val="14"/>
          <w:szCs w:val="14"/>
          <w:color w:val="auto"/>
        </w:rPr>
        <w:t xml:space="preserve"> to multiple program banks, we enable our clients to access up to $8 million of FDIC insurance for individual accounts and $16 million for joint accounts, with a minimum $1 balance requirement and 24/7/365 free instant withdrawals to eligible external accounts. Client funds held in our Cash Accounts have generated approximately $3.7 billion in interest for our clients through July 31, 2025. The sticky nature of our client assets incentivizes program banks to extend more competitive rates to us than to other digital financial services providers. We are able to offer a large multiple of the traditional bank’s FDIC insurance coverage of $250,000 per depositor by sweeping cash in their accounts across more than 30 program banks, each of which offers $250,000 of FDIC insurance for individual accounts and $500,000 of FDIC insurance for joint accounts. The list of our program banks is disclosed on our website and subject to change from time to time.</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Cash Account has both checking and savings functionality, allowing clients to maximize their utility with just one account. Checking functionality our Cash Account offers includes: debit cards, account and routing numbers for deposits and withdrawals, direct deposit, bill payment, mobile check deposits, access to over 19,000 free ATMs nationwide; for any out-of-network ATMs, Wealthfront will reimburse two domestic fees per month (up to $7.50 each), early paycheck access of up to two days early by enabling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17621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70" w:lineRule="exact"/>
        <w:rPr>
          <w:sz w:val="20"/>
          <w:szCs w:val="20"/>
          <w:color w:val="auto"/>
        </w:rPr>
      </w:pPr>
    </w:p>
    <w:p>
      <w:pPr>
        <w:ind w:left="260" w:hanging="256"/>
        <w:spacing w:after="0" w:line="242" w:lineRule="auto"/>
        <w:tabs>
          <w:tab w:leader="none" w:pos="140" w:val="left"/>
        </w:tabs>
        <w:numPr>
          <w:ilvl w:val="0"/>
          <w:numId w:val="89"/>
        </w:numPr>
        <w:rPr>
          <w:rFonts w:ascii="Arial" w:cs="Arial" w:eastAsia="Arial" w:hAnsi="Arial"/>
          <w:sz w:val="15"/>
          <w:szCs w:val="15"/>
          <w:color w:val="auto"/>
          <w:vertAlign w:val="superscript"/>
        </w:rPr>
      </w:pPr>
      <w:r>
        <w:rPr>
          <w:rFonts w:ascii="Arial" w:cs="Arial" w:eastAsia="Arial" w:hAnsi="Arial"/>
          <w:sz w:val="12"/>
          <w:szCs w:val="12"/>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ind w:left="140" w:hanging="136"/>
        <w:spacing w:after="0" w:line="205" w:lineRule="auto"/>
        <w:tabs>
          <w:tab w:leader="none" w:pos="140" w:val="left"/>
        </w:tabs>
        <w:numPr>
          <w:ilvl w:val="0"/>
          <w:numId w:val="89"/>
        </w:numPr>
        <w:rPr>
          <w:rFonts w:ascii="Arial" w:cs="Arial" w:eastAsia="Arial" w:hAnsi="Arial"/>
          <w:sz w:val="16"/>
          <w:szCs w:val="16"/>
          <w:color w:val="auto"/>
          <w:vertAlign w:val="superscript"/>
        </w:rPr>
      </w:pPr>
      <w:r>
        <w:rPr>
          <w:rFonts w:ascii="Arial" w:cs="Arial" w:eastAsia="Arial" w:hAnsi="Arial"/>
          <w:sz w:val="13"/>
          <w:szCs w:val="13"/>
          <w:color w:val="auto"/>
        </w:rPr>
        <w:t>Wealthfront currently maintains intermediary accounts at Wells Fargo for this purpose.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280"/>
          </w:cols>
          <w:pgMar w:left="300" w:top="209" w:right="31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direct deposit, and free wire transfers to title and escrow companies and clients’ personal accounts at other institutions.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also offer some automated features that make it easier to save and invest, including automated savings plans and recurring transfers, cash categories for easy budgeting and customizable saving goals, and the ability for joint account holders to track combined net worth and set shared goals with customized categories.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Our investment advisory products are premised on the belief that it is extremely difficult to outperform the market. Therefore, we advocate a passive approach to long-term investing.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We aim to excel at the three things clients can control to reliably improve their long-term, after-tax returns</w:t>
      </w:r>
      <w:r>
        <w:rPr>
          <w:rFonts w:ascii="Arial" w:cs="Arial" w:eastAsia="Arial" w:hAnsi="Arial"/>
          <w:sz w:val="18"/>
          <w:szCs w:val="18"/>
          <w:color w:val="auto"/>
          <w:vertAlign w:val="superscript"/>
        </w:rPr>
        <w:t>44</w:t>
      </w:r>
      <w:r>
        <w:rPr>
          <w:rFonts w:ascii="Arial" w:cs="Arial" w:eastAsia="Arial" w:hAnsi="Arial"/>
          <w:sz w:val="14"/>
          <w:szCs w:val="14"/>
          <w:color w:val="auto"/>
        </w:rPr>
        <w:t>: fees, taxes, and diversification.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state-of-the-art infrastructure lowers our cost to serve, enabling us to charge lower fees relative to legacy competitors while also continuing to innovate with new financial solutions for our clients. We have saved our clients an estimated $1.3 billion in reduced advisory fees from December 1, 2011 through July 31, 2025. For many of our investment products, we offer tax-loss harvesting which has generated over $3.6 billion of deductible tax losses from 2012 through July 31, 2025. Based on our clients’ self-reported tax attributes and as described more fully below, we estimate a tax benefit that pays for our advisory fee approximately 7.7 times over, as of July 31, 2025. In fact, we estimate that more than 96% of clients who used tax-loss harvesting received more in tax benefit than they paid in fees. We believe our current suite of investment products allows clients, whether delegators or do-it-yourselfers, to meet their goals with confidence.</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Automated Bond Ladder</w:t>
      </w:r>
      <w:r>
        <w:rPr>
          <w:rFonts w:ascii="Arial" w:cs="Arial" w:eastAsia="Arial" w:hAnsi="Arial"/>
          <w:sz w:val="14"/>
          <w:szCs w:val="14"/>
          <w:color w:val="auto"/>
        </w:rPr>
        <w:t>: Our Automated Bond Ladder focuses on preserving our clients’ capital while earning more after-tax interest than our Cash Account for clients who live in</w:t>
      </w:r>
      <w:r>
        <w:rPr>
          <w:rFonts w:ascii="Arial" w:cs="Arial" w:eastAsia="Arial" w:hAnsi="Arial"/>
          <w:sz w:val="14"/>
          <w:szCs w:val="14"/>
          <w:b w:val="1"/>
          <w:bCs w:val="1"/>
          <w:color w:val="auto"/>
        </w:rPr>
        <w:t xml:space="preserve"> </w:t>
      </w:r>
      <w:r>
        <w:rPr>
          <w:rFonts w:ascii="Arial" w:cs="Arial" w:eastAsia="Arial" w:hAnsi="Arial"/>
          <w:sz w:val="14"/>
          <w:szCs w:val="14"/>
          <w:color w:val="auto"/>
        </w:rPr>
        <w:t>states with a high income tax by directly investing in Treasuries. This simple, low-risk product is optimized to be tax efficient and lock in our clients’ preferred yields for specified time periods, ranging from three months to six years. Automation enables our clients to choose to reinvest interest and principal, withdraw interest and principal, or reinvest interest and principal until a particular target date. We charge a low annual advisory fee of 0.15%, which is waived for the first three months. Wealthfront’s bond ladders are highly liquid, enabling clients to add, reinvest, or withdraw funds for no additional fees. A minimum investment of $500 is required.</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Automated Bond Portfolio</w:t>
      </w:r>
      <w:r>
        <w:rPr>
          <w:rFonts w:ascii="Arial" w:cs="Arial" w:eastAsia="Arial" w:hAnsi="Arial"/>
          <w:sz w:val="14"/>
          <w:szCs w:val="14"/>
          <w:color w:val="auto"/>
        </w:rPr>
        <w:t>: We offer an automated portfolio that contains a mix of four types of bond ETFs for clients that want to maximize the pre-tax return they can earn from</w:t>
      </w:r>
      <w:r>
        <w:rPr>
          <w:rFonts w:ascii="Arial" w:cs="Arial" w:eastAsia="Arial" w:hAnsi="Arial"/>
          <w:sz w:val="14"/>
          <w:szCs w:val="14"/>
          <w:b w:val="1"/>
          <w:bCs w:val="1"/>
          <w:color w:val="auto"/>
        </w:rPr>
        <w:t xml:space="preserve"> </w:t>
      </w:r>
      <w:r>
        <w:rPr>
          <w:rFonts w:ascii="Arial" w:cs="Arial" w:eastAsia="Arial" w:hAnsi="Arial"/>
          <w:sz w:val="14"/>
          <w:szCs w:val="14"/>
          <w:color w:val="auto"/>
        </w:rPr>
        <w:t>bonds. The ETFs include a tax-advantaged short-term Treasury ETF, corporate bond ETF, floating rate bond ETF, and tax-advantaged long-term Treasury ETF. These four ETFs are automatically rebalanced to optimize for each client’s personal tax situation. Our 0.25% annual advisory fee covers all of the features of the portfolio, including automatic dividend reinvestment, portfolio rebalancing, and tax-loss harvesting. A minimum investment of $500 is required.</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S&amp;P 500 Direct</w:t>
      </w:r>
      <w:r>
        <w:rPr>
          <w:rFonts w:ascii="Arial" w:cs="Arial" w:eastAsia="Arial" w:hAnsi="Arial"/>
          <w:sz w:val="14"/>
          <w:szCs w:val="14"/>
          <w:color w:val="auto"/>
        </w:rPr>
        <w:t>: We offer a direct indexing portfolio where clients can invest directly in the S&amp;P 500 by owning fractional shares of hundreds of individual stocks that comprise the</w:t>
      </w:r>
      <w:r>
        <w:rPr>
          <w:rFonts w:ascii="Arial" w:cs="Arial" w:eastAsia="Arial" w:hAnsi="Arial"/>
          <w:sz w:val="14"/>
          <w:szCs w:val="14"/>
          <w:b w:val="1"/>
          <w:bCs w:val="1"/>
          <w:color w:val="auto"/>
        </w:rPr>
        <w:t xml:space="preserve"> </w:t>
      </w:r>
      <w:r>
        <w:rPr>
          <w:rFonts w:ascii="Arial" w:cs="Arial" w:eastAsia="Arial" w:hAnsi="Arial"/>
          <w:sz w:val="14"/>
          <w:szCs w:val="14"/>
          <w:color w:val="auto"/>
        </w:rPr>
        <w:t>index instead of a single ETF. Owning the stocks that comprise the index directly enables our clients to achieve tax savings through our built-in tax-loss harvesting software as well as exclude any constituents of their choice from their portfolio. We charge an annual management fee of 0.09%, which is on par with leading S&amp;P 500 ETFs that do not have tax harvesting as an additional feature. A minimum investment of $5,000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17621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57" w:lineRule="exact"/>
        <w:rPr>
          <w:sz w:val="20"/>
          <w:szCs w:val="20"/>
          <w:color w:val="auto"/>
        </w:rPr>
      </w:pPr>
    </w:p>
    <w:p>
      <w:pPr>
        <w:ind w:left="140" w:hanging="136"/>
        <w:spacing w:after="0"/>
        <w:tabs>
          <w:tab w:leader="none" w:pos="140" w:val="left"/>
        </w:tabs>
        <w:numPr>
          <w:ilvl w:val="0"/>
          <w:numId w:val="90"/>
        </w:numPr>
        <w:rPr>
          <w:rFonts w:ascii="Arial" w:cs="Arial" w:eastAsia="Arial" w:hAnsi="Arial"/>
          <w:sz w:val="16"/>
          <w:szCs w:val="16"/>
          <w:color w:val="auto"/>
          <w:vertAlign w:val="superscript"/>
        </w:rPr>
      </w:pPr>
      <w:r>
        <w:rPr>
          <w:rFonts w:ascii="Arial" w:cs="Arial" w:eastAsia="Arial" w:hAnsi="Arial"/>
          <w:sz w:val="13"/>
          <w:szCs w:val="13"/>
          <w:color w:val="auto"/>
        </w:rPr>
        <w:t>Based on extensive academic research, including that relating to Modern Portfolio Theory as described by Harry Markowitz in his 1952 paper Portfolio Selection.</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02" w:lineRule="exact"/>
        <w:rPr>
          <w:rFonts w:ascii="Arial" w:cs="Arial" w:eastAsia="Arial" w:hAnsi="Arial"/>
          <w:sz w:val="16"/>
          <w:szCs w:val="16"/>
          <w:color w:val="auto"/>
          <w:vertAlign w:val="superscript"/>
        </w:rPr>
      </w:pPr>
    </w:p>
    <w:p>
      <w:pPr>
        <w:ind w:left="5520"/>
        <w:spacing w:after="0"/>
        <w:rPr>
          <w:rFonts w:ascii="Arial" w:cs="Arial" w:eastAsia="Arial" w:hAnsi="Arial"/>
          <w:sz w:val="16"/>
          <w:szCs w:val="16"/>
          <w:color w:val="auto"/>
          <w:vertAlign w:val="superscript"/>
        </w:rPr>
      </w:pPr>
      <w:r>
        <w:rPr>
          <w:rFonts w:ascii="Arial" w:cs="Arial" w:eastAsia="Arial" w:hAnsi="Arial"/>
          <w:sz w:val="14"/>
          <w:szCs w:val="14"/>
          <w:color w:val="auto"/>
        </w:rPr>
        <w:t>174</w:t>
      </w:r>
    </w:p>
    <w:p>
      <w:pPr>
        <w:sectPr>
          <w:pgSz w:w="11900" w:h="16838" w:orient="portrait"/>
          <w:cols w:equalWidth="0" w:num="1">
            <w:col w:w="11280"/>
          </w:cols>
          <w:pgMar w:left="300" w:top="209" w:right="319" w:bottom="1440" w:gutter="0" w:footer="0" w:header="0"/>
        </w:sectPr>
      </w:pPr>
    </w:p>
    <w:bookmarkStart w:id="190" w:name="page191"/>
    <w:bookmarkEnd w:id="1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Automated Investing</w:t>
      </w:r>
      <w:r>
        <w:rPr>
          <w:rFonts w:ascii="Arial" w:cs="Arial" w:eastAsia="Arial" w:hAnsi="Arial"/>
          <w:sz w:val="14"/>
          <w:szCs w:val="14"/>
          <w:color w:val="auto"/>
        </w:rPr>
        <w:t>: Our diversified portfolios of index-based ETFs are designed for clients who want to delegate all aspects of account management. We offer diversified and</w:t>
      </w:r>
      <w:r>
        <w:rPr>
          <w:rFonts w:ascii="Arial" w:cs="Arial" w:eastAsia="Arial" w:hAnsi="Arial"/>
          <w:sz w:val="14"/>
          <w:szCs w:val="14"/>
          <w:b w:val="1"/>
          <w:bCs w:val="1"/>
          <w:color w:val="auto"/>
        </w:rPr>
        <w:t xml:space="preserve"> </w:t>
      </w:r>
      <w:r>
        <w:rPr>
          <w:rFonts w:ascii="Arial" w:cs="Arial" w:eastAsia="Arial" w:hAnsi="Arial"/>
          <w:sz w:val="14"/>
          <w:szCs w:val="14"/>
          <w:color w:val="auto"/>
        </w:rPr>
        <w:t>rebalanced portfolios of low-cost index funds representing up to 17 different asset classes that are automatically customized based on each client’s individual risk tolerance and tax level. Our portfolios can be further customized by clients, with additional ETFs and bespoke asset allocations. Our built-in tax-loss harvesting software aims to generate deductible tax losses, the benefit of which we estimate to be a multiple of our 0.25% annual advisory fee. From 2012 through July 31, 2025, our software has harvested over $3.6 billion in losses, which amounts to estimated tax savings of approximately $1.1 billion. This estimate is based on our clients’ self-reported income, state of residence, and tax-filing status, which allow us to infer a combined federal and state tax rate for each client. We then multiply each client’s rate by their harvested losses. Clients can access diversified index-based ETF portfolios via tax-advantaged accounts such as Traditional IRA, Roth IRA, SEP IRA, 401(k) rollover, and 529 accounts, as well as individual, joint, and trust accounts. A minimum investment of $500 is required.</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Stock Investing</w:t>
      </w:r>
      <w:r>
        <w:rPr>
          <w:rFonts w:ascii="Arial" w:cs="Arial" w:eastAsia="Arial" w:hAnsi="Arial"/>
          <w:sz w:val="14"/>
          <w:szCs w:val="14"/>
          <w:color w:val="auto"/>
        </w:rPr>
        <w:t>: Our Stock Investing Account is a limited discretion account where clients can invest directly in individual stocks and ETFs through a modern, user-friendly interface.</w:t>
      </w:r>
      <w:r>
        <w:rPr>
          <w:rFonts w:ascii="Arial" w:cs="Arial" w:eastAsia="Arial" w:hAnsi="Arial"/>
          <w:sz w:val="14"/>
          <w:szCs w:val="14"/>
          <w:b w:val="1"/>
          <w:bCs w:val="1"/>
          <w:color w:val="auto"/>
        </w:rPr>
        <w:t xml:space="preserve"> </w:t>
      </w:r>
      <w:r>
        <w:rPr>
          <w:rFonts w:ascii="Arial" w:cs="Arial" w:eastAsia="Arial" w:hAnsi="Arial"/>
          <w:sz w:val="14"/>
          <w:szCs w:val="14"/>
          <w:color w:val="auto"/>
        </w:rPr>
        <w:t>We make it easy for our clients to diversify their individual stock holdings through our offering of stock collections organized by investing themes. Unlike other stock investment services we do not receive compensation for directing client orders to specific market makers for trade execution (otherwise known as Payment for Order Flow or PFOF). A minimum investment of $1 is required.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Borrowing and Lending</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Our lending and borrowing products are designed to evolve with the needs of our digital native clients, beyond our core cash management and investing products.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b w:val="1"/>
          <w:bCs w:val="1"/>
          <w:color w:val="auto"/>
        </w:rPr>
        <w:t>Portfolio Line of Credit</w:t>
      </w:r>
      <w:r>
        <w:rPr>
          <w:rFonts w:ascii="Arial" w:cs="Arial" w:eastAsia="Arial" w:hAnsi="Arial"/>
          <w:sz w:val="14"/>
          <w:szCs w:val="14"/>
          <w:color w:val="auto"/>
        </w:rPr>
        <w:t>: We offer a margin loan product to taxable Automated Investing Account clients that enables them to instantly borrow against up to 30% of their portfolio</w:t>
      </w:r>
      <w:r>
        <w:rPr>
          <w:rFonts w:ascii="Arial" w:cs="Arial" w:eastAsia="Arial" w:hAnsi="Arial"/>
          <w:sz w:val="14"/>
          <w:szCs w:val="14"/>
          <w:b w:val="1"/>
          <w:bCs w:val="1"/>
          <w:color w:val="auto"/>
        </w:rPr>
        <w:t xml:space="preserve"> </w:t>
      </w:r>
      <w:r>
        <w:rPr>
          <w:rFonts w:ascii="Arial" w:cs="Arial" w:eastAsia="Arial" w:hAnsi="Arial"/>
          <w:sz w:val="14"/>
          <w:szCs w:val="14"/>
          <w:color w:val="auto"/>
        </w:rPr>
        <w:t>(70% margin) and receive the money within as little as one day. We offer this product through our omnibus margin lending arrangement with RBC Clearing &amp; Custody, which is subject to customary industry terms, pursuant to which RBC Clearing &amp; Custody extends loans to Wealthfront Brokerage LLC, which then lends these funds to Wealthfront Brokerage LLC clients. Wealthfront Brokerage LLC provides client securities as collateral for such loans from RBC Clearing &amp; Custody and is charged interest by RBC Clearing &amp; Custody on the overall balance of margin loans taken out by clients. As of December 1, 2025, our borrowing rates are among the lowest in the industry, currently 1.08% above the prevailing EFFR, and provide an economical liquidity solution to our clients. Clients must have a minimum balance of $25,000 to access the line of credit. Approvals are automatic, and there is no credit check, or required repayment schedule. There are no tiers based on asset levels, making the product easy to understand and utilize. A PLOC is collateralized by a participating client’s respective security and cash holdings. We continuously and systematically monitor the margin levels and require additional collateral or margin reduction to meet minimum collateral requirements based on fair value. If the collateral for a PLOC falls below a certain level based on the amount a client has borrowed (currently below 30% margin), then the account is issued a margin call and the client is either required to deposit additional funds or sell investments from the Wealthfront account associated with the PLOC and use the proceeds to repay the balance.</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Fully Paid Securities Lending</w:t>
      </w:r>
      <w:r>
        <w:rPr>
          <w:rFonts w:ascii="Arial" w:cs="Arial" w:eastAsia="Arial" w:hAnsi="Arial"/>
          <w:sz w:val="14"/>
          <w:szCs w:val="14"/>
          <w:color w:val="auto"/>
        </w:rPr>
        <w:t>: In February 2025, we launched a partnership with Sharegain, a leading securities lending and capital market company, to offer FPSL to our clients.</w:t>
      </w:r>
      <w:r>
        <w:rPr>
          <w:rFonts w:ascii="Arial" w:cs="Arial" w:eastAsia="Arial" w:hAnsi="Arial"/>
          <w:sz w:val="14"/>
          <w:szCs w:val="14"/>
          <w:b w:val="1"/>
          <w:bCs w:val="1"/>
          <w:color w:val="auto"/>
        </w:rPr>
        <w:t xml:space="preserve"> </w:t>
      </w:r>
      <w:r>
        <w:rPr>
          <w:rFonts w:ascii="Arial" w:cs="Arial" w:eastAsia="Arial" w:hAnsi="Arial"/>
          <w:sz w:val="14"/>
          <w:szCs w:val="14"/>
          <w:color w:val="auto"/>
        </w:rPr>
        <w:t>FPSL enables eligible clients to earn passive income by lending out fully paid securities (not purchased on margin) from their Automated Bond Portfolio, S&amp;P 500 Direct, Automated Investing, and Stock Investing accounts. Clients who participate in the program receive 50% of the net compensation Wealthfront earns from lending the collateralized shares out through Sharegain.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280"/>
          </w:cols>
          <w:pgMar w:left="300" w:top="209" w:right="31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Planning</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At Wealthfront, we believe knowledge is power, and we prioritize educating our clients about their finances. We offer an “advice engine” that automates our clients’ financial planning goals without ever having to meet an advisor or schedule a call. Built by our team of PhDs, the advice engine is able to project net worth, and gauge personal milestones in relation to costs in order to encourage prudent financial decisions. Whether it is planning for college or buying a home, we want our clients to meet their future with confidence, by providing them with the tools they can use to understand their finances, habits, and aspirations.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Technology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unified technology platform is built from the ground up to create a cohesive client experience across all our products. By eliminating operational silos, our platform allows us to deliver a seamless and consistent client experience across products while achieving operating leverage and scalability.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maintain a strong preference for building over buying, allowing us to deepen systems purpose built to solve Wealthfront’s specific challenges rather than broader, generic use cases. By focusing on our own version of a problem, we’re able to achieve higher levels of automation and operational efficiency than off-the-shelf solutions typically allow. In-house systems are smaller, less complex, and more easily understood and modified by our engineers, enabling faster iteration and tighter integration across our platform. Avoiding third-party software also helps us avoid the complexity, reliability issues, and extensibility constraints that often come with external integrations, reinforcing the consistency and scalability of our client experience.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Scalable Infrastructure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designed our platform with an API-driven architecture to support high-throughput and low-latency operations, enabling fast and seamless performance at scale. This architecture allows us to serve our growing client base with minimal incremental cost, driving meaningful operating leverage. Our system reliability exceeds 99.99% uptime, backed by continuous monitoring designed to ensure consistent performance and rapid issue resolution. For example, our platform is able to move money between banks very cost efficiently because our innovative clearing and settlement process supports liquidity features in our cash management accounts, allowing us to offer these liquidity features to our clients at no additional charge.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Continuous Feedback Loop and Product Iteration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client support systems are integrated into our product development infrastructure, with our product support team reporting directly to our Vice President of Product, to shorten the feedback loop. Client feedback and support trends are automatically tagged, categorized, and routed to our product and engineering teams, creating a real-time, data-driven feedback loop. We invest in our automated testing infrastructure and testing harnesses, which allows us to make frequent improvements with confidence to all our products. We have captured more than 15 years of knowledge of edge cases and regressions. We have also built a rigorous engineering framework that continuously validates our trading system against over 15 years of historical data designed so that every code change produces consistent, accurate results. When issues arise, we create dedicated test cases that run indefinitely, preventing recurrence and reducing the risk of the types of automated trading errors and misconfigurations that have impacted others in the industry. This disciplined approach to testing and regression is designed to ensure the long-term reliability, stability, and trustworthiness of our platform.</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This efficient feedback loop shortens the cycle between identifying client needs and delivering product updates, allowing us to accelerate our product development velocity, continuously improve the platform, and reinforce product-market fit over time. As we continuously improve our software, we’re able to continuously improve our ability to serve our clients’ accounts, resulting in our clients receiving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ectPr>
          <w:pgSz w:w="11900" w:h="16838" w:orient="portrait"/>
          <w:cols w:equalWidth="0" w:num="1">
            <w:col w:w="11280"/>
          </w:cols>
          <w:pgMar w:left="300" w:top="209" w:right="31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value at no added cost. This compounding cycle of improvement allows us to learn more about our clients over time and build increasingly personalized, high-impact products that meet their evolving needs.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Intelligent Automation at the Core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All our core workflows—onboarding, funding, portfolio contribution, rebalancing, tax optimization, and transfers—are fully automated and designed for straight-through processing. Unlike traditional financial institutions that attempt to retrofit automation onto manual systems, our platform was purpose built to minimize human intervention. We built our omnibus clearing broker platform from first principles with an unwavering focus on automation. Unlike traditional financial institutions that rely on large teams of operations specialists, our lean operations team plays a supervisory role with a mindset to scale sub linearly with business growth.</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This automation allows us to deliver services typically reserved for high-net-worth clients at scale while maintaining an exceptional client experience at a low cost. As a result, our lean product support team is able to serve approximately 55,000 clients per Product Specialist as of July 31, 2025, demonstrating the operational leverage enabled by our approach of automation as the core principle. Our automation-first approach enhances both operational efficiency and overall client experience.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Proprietary Financial Intelligence Engine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proprietary financial intelligence engine leverages real-time data ingestion, behavioral analytics, and rule-based systems to deliver personalized financial advice at scale. This technology powers features like personalized savings guidance and dynamic cash flow management—automatically optimizing how clients allocate funds across spending, savings, and investment accounts. By understanding individual behavior and goals, the engine enables proactive actions, such as moving excess cash to investment or savings products, helping clients stay on track without requiring manual intervention. This approach derisks our product roadmap by grounding development in real-time client feedback rather than assumptions, ensuring we prioritize features that directly address client needs and deliver measurable value.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Wealth-Building Technology, Including Tax Optimization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evaluate all our clients’ accounts with our investment strategies on a daily basis, leveraging automation to drive down the marginal cost of evaluating and trading. This enables us to maintain ongoing alignment between client portfolios and their financial goals. As part of this daily process, we rebalance accounts tax-efficiently to their target asset allocation, harvest tax losses in ETFs or in individual stocks through our Direct Indexing products, and reinvest dividends. The continuous, automated monitoring helps maximize after-tax returns and optimize portfolios without requiring any manual intervention from the client.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Client Experience</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clients tell us they pay us not to talk to them, and we take that seriously. We pride ourselves on minimizing the interactions our clients want, or need, to have with someone in product support. Our products are intuitive, user-friendly and built upon robust infrastructure underpinned by automation.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Our focus on automation enables us to have small, highly qualified product support and operations teams that can serve our client base efficiently.</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Unlike traditional banks that rely on outdated technology and extensive call centers, Wealthfront offers a streamlined client support experience with our product support team. Our Product Specialists, many of whom are licensed CFA charterholders, CFPs, and CPA professionals, and all of whom must be registered representatives with our broker-dealer, are equipped to handle a wide range of client inquiries. At Wealthfront, we have an unusual goal for Product Specialists: to work themselves out of a job. They resolve problems while simultaneously identifying the root causes and helping automate the solution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177</w:t>
      </w:r>
    </w:p>
    <w:p>
      <w:pPr>
        <w:sectPr>
          <w:pgSz w:w="11900" w:h="16838" w:orient="portrait"/>
          <w:cols w:equalWidth="0" w:num="1">
            <w:col w:w="11280"/>
          </w:cols>
          <w:pgMar w:left="300" w:top="209" w:right="319"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eliminate further outreach. As of July 31, 2025, each Product Specialist served approximately 55,000 clients and $3.7 billion in platform assets. We expect our ratios of Product Specialist to both clients and platform assets will grow as our platform continues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59055</wp:posOffset>
            </wp:positionV>
            <wp:extent cx="4165600" cy="2109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6560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Brokerage Operations team plays a pivotal role in driving client success through automation. From onboarding clients to solving technical issues, the team aims to deliver the best client experience by eliminating manual back office processes. This streamlined approach reduces operational costs and allows us to focus on providing clients with innovative financial solutions and a seamless user experience. As a result, clients benefit from faster processing, improved account management, and a higher level of trust in our services, all of which contribute to their overall financial success and satisfaction.</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Additionally, the Wealthfront Learning Center empowers our clients with information about our products and services that generally obviates the need for escalation to support resources. As a result of these factors, our quarterly average client contact rate, defined as points of contact via email or phone call per funded client, was 7.0% in fiscal 2025, down from 8.4% in fiscal 2021.</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Client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Product-Led Growth Model</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a relentless focus on building exceptional products and delighting our clients, which fuels organic growth. Our marketing and product design engines are optimized to convert users through our website and app with minimal sales intervention. This approach enables cost-efficient growth, rapid scaling, and a compounding base of loyal clients.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High-Velocity Referral Engine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Our clients are our strongest advocates, and we have a longstanding tradition of organic referrals that drives efficient, high-quality growth. Over the past two fiscal years over 50% of new clients were referred by existing clients, and from October 2022 through July 2025, 40% of our clients</w:t>
      </w:r>
      <w:r>
        <w:rPr>
          <w:rFonts w:ascii="Arial" w:cs="Arial" w:eastAsia="Arial" w:hAnsi="Arial"/>
          <w:sz w:val="18"/>
          <w:szCs w:val="18"/>
          <w:color w:val="auto"/>
          <w:vertAlign w:val="superscript"/>
        </w:rPr>
        <w:t>45</w:t>
      </w:r>
      <w:r>
        <w:rPr>
          <w:rFonts w:ascii="Arial" w:cs="Arial" w:eastAsia="Arial" w:hAnsi="Arial"/>
          <w:sz w:val="14"/>
          <w:szCs w:val="14"/>
          <w:color w:val="auto"/>
        </w:rPr>
        <w:t xml:space="preserve"> had sent at least one referral. To amplify this dynamic, we’ve built our referral program directly into the product experience, making it seamless and intuitive for clients to share Wealthfront with others. The program is designed to reward existing clients for bringing high-quality clients who are well aligned with our business model 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17621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73" w:lineRule="exact"/>
        <w:rPr>
          <w:sz w:val="20"/>
          <w:szCs w:val="20"/>
          <w:color w:val="auto"/>
        </w:rPr>
      </w:pPr>
    </w:p>
    <w:p>
      <w:pPr>
        <w:ind w:left="140" w:hanging="136"/>
        <w:spacing w:after="0"/>
        <w:tabs>
          <w:tab w:leader="none" w:pos="140" w:val="left"/>
        </w:tabs>
        <w:numPr>
          <w:ilvl w:val="0"/>
          <w:numId w:val="91"/>
        </w:numPr>
        <w:rPr>
          <w:rFonts w:ascii="Arial" w:cs="Arial" w:eastAsia="Arial" w:hAnsi="Arial"/>
          <w:sz w:val="16"/>
          <w:szCs w:val="16"/>
          <w:color w:val="auto"/>
          <w:vertAlign w:val="superscript"/>
        </w:rPr>
      </w:pPr>
      <w:r>
        <w:rPr>
          <w:rFonts w:ascii="Arial" w:cs="Arial" w:eastAsia="Arial" w:hAnsi="Arial"/>
          <w:sz w:val="13"/>
          <w:szCs w:val="13"/>
          <w:color w:val="auto"/>
        </w:rPr>
        <w:t>Funded clients born after 1980.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1280"/>
          </w:cols>
          <w:pgMar w:left="300" w:top="209" w:right="31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platform, aligning incentives while reinforcing the trust and satisfaction that power our word-of-mouth expansion.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Scalable, Low Client Acquisition Cost Strategy</w:t>
      </w:r>
    </w:p>
    <w:p>
      <w:pPr>
        <w:spacing w:after="0" w:line="12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Our client acquisition costs remain well below industry averages</w:t>
      </w:r>
      <w:r>
        <w:rPr>
          <w:rFonts w:ascii="Arial" w:cs="Arial" w:eastAsia="Arial" w:hAnsi="Arial"/>
          <w:sz w:val="18"/>
          <w:szCs w:val="18"/>
          <w:color w:val="auto"/>
          <w:vertAlign w:val="superscript"/>
        </w:rPr>
        <w:t>46</w:t>
      </w:r>
      <w:r>
        <w:rPr>
          <w:rFonts w:ascii="Arial" w:cs="Arial" w:eastAsia="Arial" w:hAnsi="Arial"/>
          <w:sz w:val="14"/>
          <w:szCs w:val="14"/>
          <w:color w:val="auto"/>
        </w:rPr>
        <w:t xml:space="preserve"> due to our referral engine and brand awareness. The majority of our new clients join our platform through organic and direct traffic driven by brand awareness and client referrals, which are low cost and efficient strategies for client acquisition. Our content marketing strategy is tailored to our client’s questions and builds our credibility as expert advisors. For example, our Chief Investment Officer, Dr. Burton G. Malkiel, provides expert commentary to improve clients’ investment services, including asset class selection, portfolio allocation, and risk evaluation. We leverage surgical performance marketing across search, social, video and audio platforms—aligning our message to relevant content, distribution channels and formats, and geographies.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Focused Messaging on Trust and Transparency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Trust and transparency are foundational to the Wealthfront client experience, fostering confidence that drives word-of-mouth referrals and powers efficient, organic growth. We enhance this momentum through a data-driven approach—leveraging behavioral and demographic insights to identify high-long term value cohorts and continuously refine our targeting strategies. These strategies are optimized based on channel performance, geography, and device usage patterns, allowing us to reach clients with the right message at the right time. This combination of client advocacy and intelligent growth marketing strengthens the scalability and efficiency of our business model.</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Brand is a Long-Term Asset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Over time, our brand has become synonymous with smart, automated, low-touch wealth building. High client satisfaction reinforces our reputation and reduces our reliance on paid acquisition, enabling efficient growth. Our clients view Wealthfront as “the most trustworthy”: more reliable, better at improving financial security and better at helping people earn money than traditional financial institutions and other FinTech companies. Our clients are often thought leaders within their peer groups, further amplifying brand awareness through organic advocacy. Because we started with wealth management, we’ve earned the trust that allows clients to confidently engage with a broader set of financial products on our platform.</w:t>
      </w:r>
    </w:p>
    <w:p>
      <w:pPr>
        <w:spacing w:after="0" w:line="98"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Our Employees and Culture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Our culture is built on a deep-seated belief in automation, transparency, and a relentless focus on solving complex problems to deliver long-term value to our clients.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of July 31, 2025, we had 359 full-time employees, located across the United States and Canada.</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Culture of Engineering and Automation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At our core, we are a technology company. Our culture is deeply rooted in engineering principles and a commitment to automation. As a result, approximately half of our employees are engineers. We seek to automate every possible function of our service to reduce costs for our clients, minimize human error, and scale our platform efficiently. This “automation-first” mindset extends beyond our product and into our internal operations. We empower our employees to identify inefficiencies and build solutions that allow them to focus on high-impact work. This philosophy attracts intellectually curious individuals who are passionate about building durable, scalable systems and who thrive on solving challenging technical and financial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17621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177" w:lineRule="exact"/>
        <w:rPr>
          <w:sz w:val="20"/>
          <w:szCs w:val="20"/>
          <w:color w:val="auto"/>
        </w:rPr>
      </w:pPr>
    </w:p>
    <w:p>
      <w:pPr>
        <w:ind w:left="260" w:hanging="256"/>
        <w:spacing w:after="0" w:line="234" w:lineRule="auto"/>
        <w:tabs>
          <w:tab w:leader="none" w:pos="139" w:val="left"/>
        </w:tabs>
        <w:numPr>
          <w:ilvl w:val="0"/>
          <w:numId w:val="92"/>
        </w:numPr>
        <w:rPr>
          <w:rFonts w:ascii="Arial" w:cs="Arial" w:eastAsia="Arial" w:hAnsi="Arial"/>
          <w:sz w:val="16"/>
          <w:szCs w:val="16"/>
          <w:color w:val="auto"/>
          <w:vertAlign w:val="superscript"/>
        </w:rPr>
      </w:pPr>
      <w:r>
        <w:rPr>
          <w:rFonts w:ascii="Arial" w:cs="Arial" w:eastAsia="Arial" w:hAnsi="Arial"/>
          <w:sz w:val="13"/>
          <w:szCs w:val="13"/>
          <w:color w:val="auto"/>
        </w:rPr>
        <w:t>Based on multiple industry sources, the industry average is between $955 and $1,450. Wealthfront’s average paid client acquisition cost is approximately $95 per client as of July 31, 2025, based on management calculations of total paid marketing, which consists of (i) performance and brand advertising and client referral costs included in Marketing divided by (ii) the number of new clients acquired from February 2023 through July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280"/>
          </w:cols>
          <w:pgMar w:left="300" w:top="209" w:right="319" w:bottom="1440" w:gutter="0" w:footer="0" w:header="0"/>
        </w:sectPr>
      </w:pPr>
    </w:p>
    <w:bookmarkStart w:id="195" w:name="page196"/>
    <w:bookmarkEnd w:id="1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Talent and Innovation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compete for talent with a broad range of technology and financial services companies. Our ability to attract, develop, motivate, and retain top-tier talent is critical to our continued success. We hire for intellectual horsepower, a passion for our mission, and a demonstrated ability to execute. Our team comprises individuals with diverse backgrounds from leading technology firms, financial institutions, and academic institutions. This blend of expertise allows us to foster a unique environment of innovation where technology and finance intersect to redefine the financial services industry.</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invest heavily in the growth and development of our employees through mentorship programs, ongoing learning opportunities, and a culture that encourages taking on significant ownership and responsibility early in one’s career.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Ownership</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 cornerstone of our compensation strategy is providing every employee with a meaningful equity stake in the company. We believe that employee ownership fosters a long-term perspective and a shared commitment, directly connecting the success of our employees with the value we create for our clients and stockholders.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Competition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operate in a highly competitive market that is constantly evolving to meet the changing financial needs of new generations. Our primary competition is inertia: our clients require a significant value proposition over their current status quo to accept the burden and cost of moving their assets to a new platform. Inertia primarily benefits incumbent financial institutions that potential clients may use for banking or wealth management services. Wealthfront is purpose built to overcome this inertia by aligning with the needs of digital natives and creating an intuitive and easy-to-use platform.</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also compete against the challenges of complacency, risk aversion, and lack of financial education among potential clients. Many individuals may be hesitant to explore new financial solutions due to a comfort with familiar, yet outdated, systems or a fear of taking risks with their investments. Additionally, a lack of financial education may prevent clients from fully understanding the benefits and opportunities available through innovative platforms like Wealthfront. Complacency, risk aversion, and lack of financial education among potential clients primarily benefit incumbent financial institutions, investment platforms and brokerage platforms, which may be more familiar to potential clients. To address these challenges, we prioritize transparency, education, and empowerment, equipping clients with the knowledge and tools they need to make informed decisions and embrace modern financial strategies that align with their goals.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face competition from incumbent financial institutions, investment platforms, brokerage platforms, and FinTech firms. We also compete with traditional financial advisors; however, we believe that historically they have not effectively served digital natives, who prefer seamless digital and mobile experiences over in-person interactions and may not initially be able to meet the minimum investments required by traditional financial advisors.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We built our competitive moat through focusing on what our clients need, not what competitors are doing. We believe our key competitive factors are:</w:t>
      </w:r>
    </w:p>
    <w:p>
      <w:pPr>
        <w:spacing w:after="0" w:line="133" w:lineRule="exact"/>
        <w:rPr>
          <w:sz w:val="20"/>
          <w:szCs w:val="20"/>
          <w:color w:val="auto"/>
        </w:rPr>
      </w:pPr>
    </w:p>
    <w:p>
      <w:pPr>
        <w:ind w:left="500" w:hanging="244"/>
        <w:spacing w:after="0"/>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Ability to attract and retain clients through building trust, driven by aligned incentives;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Narrow focus on and adaptability to the evolving preferences of digital natives;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Intuitive, easy-to-use financial products that meet the evolving needs of clients;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Innovative and diverse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1280"/>
          </w:cols>
          <w:pgMar w:left="300" w:top="209" w:right="319"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tabs>
          <w:tab w:leader="none" w:pos="5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Operational efficiency through streamlined processes and automation;</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Engineering talent that drives continuous innovation and technological advancement;</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Cost of products and services rendered;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Reputation and brand recognition.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we are well positioned to win and succeed in this market. Wealthfront’s value proposition is built on long-term wealth accumulation, prudent financial management, and most importantly, client trust. Wealthfront earned the trust of emerging digital-native generations in their prime phase of wealth accumulation, a definitive advantage over incumbents and other FinTech peers. We consistently innovate on our financial solutions to provide clients with the best products to manage their financial lives and are prepared to help guide our clients along their financial journeys.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intellectual property is an important aspect of our business and helps us maintain our competitive position. To establish and protect our rights in our proprietary intellectual property, we rely upon a combination of trade secret, trademark, patent, and copyright laws, and contractual restrictions such as confidentiality agreements, licenses, and intellectual property assignment agreements.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1, 2025, we had one trademark registration in the United States for the Wealthfront brand. The registration is effective through November 15, 2031, and may be renewed periodically; provided that we, as the registered owner, or our licensees where applicable, comply with all applicable renewal requirements including, where necessary, the continued use of the trademark in connection with similar services and goods. We currently have two pending trademark applications to register Wealthfront-based marks and may choose to pursue further registrations to the extent we believe it would be beneficial and cost effective. We also own several domain names, including www.wealthfront.com.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1, 2025, we had five issued patents in the United States. Our patents issued in the United States begin expiring in April 2042, excluding any patent term adjustment.</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control access to our intellectual property and confidential information through internal and external controls. We maintain a policy requiring our employees, contractors, consultants and other third parties to enter into agreements that contain confidentiality provisions to control access to, and invention or work product assignment provisions to secure ownership of, our proprietary information. Intellectual property laws and our procedures and restrictions provide only limited protection, and any of our intellectual property rights may be challenged, invalidated, circumvented, infringed, or misappropriated.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Government Regulation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 For additional information relating to regulation and regulatory actions, see the sections titled “Risk Factors— Risks Related to Regulatory and Legal Matters” and “Business—Legal Proceedings.”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Cybersecurity and Data Privacy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business collects, stores, shares, discloses, transfers, uses, and otherwise processes a wide variety of information, including personal information, such as non-public financial information, of individuals across every state in the United States. As a result, we are subject to numerous U.S. federal and state data protection, privacy and security laws, rules, regulations, policies, self-regulatory or other industry standards, contractual obligations, and other legal obligations regulating the collection, storage, sharing, disclosure, transfer, use, protection, and other processing of personal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ectPr>
          <w:pgSz w:w="11900" w:h="16838" w:orient="portrait"/>
          <w:cols w:equalWidth="0" w:num="1">
            <w:col w:w="11280"/>
          </w:cols>
          <w:pgMar w:left="300" w:top="209" w:right="319"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compliance with such laws, rules, regulations, policies, standards, and obligations is core to our strategy and integral to the creation of trust in our platform. Our handling of data and personal information is also subject to contractual obligations.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the United States, various federal and state laws and regulations apply to the collection, processing, disclosure, and security of personal information. Additionally, financial industry regulators apply particular scrutiny toward privacy and cybersecurity. The primary federal financial privacy law, the Gramm-Leach-Bliley Act of 1999 and its implementing regulations (the “GLBA”), restricts the collection, processing, storage, use, and disclosure of non-public personal information, requires notice to individuals of privacy practices, and provides individuals with some rights to prevent the use and disclosure of nonpublic or otherwise legally protected information. The GLBA also imposes requirements for the safeguarding and proper destruction of personal information through the issuance of data security standards or guidelines. Further, with respect to federal securities regulations, Wealthfront Brokerage LLC, Wealthfront Advisers LLC, and Wealthfront Strategies LLC are subject to SEC Regulation S-P, which implements the GLBA and requires covered financial institutions to, among other things, adopt written policies and procedures that address administrative, technical, and physical safeguards for the protection of customer information. In May 2024, the SEC approved amendments to Regulation S-P, which apply to broker-dealers, registered investment advisers, and funds, and add new requirements for incident response, service provider oversight and recordkeeping, among other changes. Additionally, we are subject to the laws and regulations promulgated under the authority of the Federal Trade Commission, which regulates unfair or deceptive acts or practices, including with respect to privacy, data protection, and data security.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At the state level, numerous states have enacted, or are in the process of enacting, state-level financial privacy laws, as well as comprehensive consumer data privacy laws and regulations, governing the collection, use, and processing of state residents’ personal information. Many of these laws broadly exempt entities covered by the GLBA; other laws such as the California Consumer Privacy Act (as amended, the “CCPA”), exempt only personal information that is subject to the GLBA. The CCPA applies to the personal information of California residents collected in the employment, job applicant, and business-to-business settings. The CCPA requires covered businesses to, among other things, provide certain disclosures to individuals in California, and affords such individuals data privacy rights such as opting out of the sale or sharing of personal information, accessing personal information, deleting personal information, correcting personal information, limiting the use and disclosure of sensitive personal information, and receiving detailed information about how personal information is collected, used, sold, and shared. In the future, additional states could also adopt data privacy legislation, which may include more stringent data privacy requirements. In addition to these state level comprehensive consumer data privacy laws, all 50 states have enacted breach notification laws, which include obligations to provide notification of security breaches that impact certain personal information to affected individuals, state regulators, and others.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This existing and new legislation, as well as their amendments, interpretations, and applications, may add additional complexity, variation in requirements, restrictions, and potential legal risk, require additional investment of resources in our compliance programs, impact our strategies and the availability of previously useful data, and could result in increased compliance costs and changes in our business practices and policies. We may be required to modify our data processing practices and policies and incur substantial compliance-related costs and expenses in connection with these and any other future data privacy, protection or security related laws, rules, or regulations, and they may also increase our potential exposure to regulatory enforcement and litigation.</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With respect to cybersecurity, we and our third-party service providers have implemented a variety of technical and organizational security measures and other procedures and protocols designed to protect our data and information, including personal information and other confidential or sensitive information pertaining to our clients, employees, and other users. Despite measures we put in place, we and our third-party service providers may be unable to anticipate or prevent unauthorized access to such information, including personal information. If our privacy, data protection, or data security measures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182</w:t>
      </w:r>
    </w:p>
    <w:p>
      <w:pPr>
        <w:sectPr>
          <w:pgSz w:w="11900" w:h="16838" w:orient="portrait"/>
          <w:cols w:equalWidth="0" w:num="1">
            <w:col w:w="11280"/>
          </w:cols>
          <w:pgMar w:left="300" w:top="209" w:right="319" w:bottom="1440" w:gutter="0" w:footer="0" w:header="0"/>
        </w:sectPr>
      </w:pPr>
    </w:p>
    <w:bookmarkStart w:id="198" w:name="page199"/>
    <w:bookmarkEnd w:id="1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those of our third-party service providers are inadequate or are breached, or otherwise compromised, and as a result, there is improper use, disclosure, or other processing of, or someone obtains unauthorized access to, personal, confidential, or sensitive information on our systems or our third-party service providers’ systems, or if we or our third-party service providers suffer a ransomware or other advanced persistent threat attack, or if any of the foregoing is reported or perceived to have occurred, our brand and business may be harmed, we may incur significant financial losses, costs, and liability associated with remediation and the implementation of additional security measures, and be subject to negative publicity, litigation, regulatory scrutiny, governmental investigations, and other actions.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“Risk Factors—Risks Related to Cybersecurity and Data Privacy”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Consumer Financial Protection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CFPB and other federal, local, state and foreign regulatory agencies regulate financial products and services, including credit, deposit, and payments services, and other similar services. These agencies have broad consumer protection mandates, and they promulgate, interpret and enforce rules and regulations that may affect our business.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Dodd-Frank Wall Street Reform and Consumer Protection Act (the “Dodd-Frank Act”) explicitly excludes firms overseen by the SEC from the CFPB’s enforcement authority. However, SEC-registered entities like Wealthfront Advisers LLC, Wealthfront Strategies LLC, or Wealthfront Brokerage LLC remain subject to CFPB regulations to the extent they provide certain consumer financial products and services that fall under CFPB’s jurisdiction. As we expand the scope of our provisions of consumer financial services beyond core securities activities that would otherwise be overseen by the SEC and/or FINRA, these additional products and services may be subject to the complex web of consumer financial services regulations promulgated by the CFPB and other regulatory authorities. If we become subject to regulation by, or enforcement actions from, the CFPB and other regulatory authorities, it could, among other things, impair our ability to grow our business, subject us to financial penalties and liabilities, and otherwise adversely affect our business, operating results, and financial condition.</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the CFPB changes or modifies federal consumer financial protection regulations under its rulemaking authority, modifies, through supervision or enforcement, past regulatory guidance, or interprets existing regulations in a different or stricter manner than prior interpretations by us, the industry, or other regulators, our compliance costs and litigation exposure may increase materially.</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Although we have committed resources to enhancing our compliance programs, future enforcement actions by the CFPB and other regulatory authorities against us or our program banks may discourage the use of our products or platform, which may harm our brand, result in the loss of program banks, cause clients to stop using our services or products, impair our ability to grow our business, and otherwise adversely affect our business, operating results, and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Anti-Money Laundering</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Bank Secrecy Act, as amended by the USA PATRIOT ACT of 2001 (the “BSA/USA PATRIOT Act”), applies to Wealthfront Brokerage LLC and applicable implementing regulations and related FINRA rules requires it to develop an anti-money laundering (“AML”) program to assist in the prevention and detection of money laundering and combating terrorism. The AML program includes written policies and procedures, employee training, the designation of an AML compliance officer, periodic independent audits, customer identity verification requirements, and infrastructure necessary to identify and report suspicious activity. In August 2024, the Financial Crimes Enforcement Network (“FinCEN”) issued a final rule that will subject certain investment advisers, including registered investment advisers, to similar requirements. The rule, which is scheduled to go into effect on January 1, 2026, will impose additional regulatory obligations related to AML on Wealthfront Advisers LLC and Wealthfront Strategies LLC. Further, FinCEN has stated it intends for the still-pending Customer Identification Program (“CIP”) rule to also become effective on January 1, 2026. Depending on the scope of the final CIP rule, this rule will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1280"/>
          </w:cols>
          <w:pgMar w:left="300" w:top="209" w:right="319" w:bottom="1440" w:gutter="0" w:footer="0" w:header="0"/>
        </w:sectPr>
      </w:pPr>
    </w:p>
    <w:bookmarkStart w:id="199" w:name="page200"/>
    <w:bookmarkEnd w:id="1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impose substantial regulatory obligations on Wealthfront Advisers LLC and Wealthfront Strategies LLC. To comply with the BSA/USA PATRIOT Act and related FINRA rules, in addition to other anticipated new rules and regulations such as the FinCEN CIP rule, we have a Financial Crimes Compliance team that is responsible for developing and implementing our enterprise-wide programs for compliance with the various AML and counter-terrorist financing laws and regulations.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Sanctions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U.S. economic sanctions laws, regulations, and executive orders including those administered by the Office of Foreign Assets Control (“OFAC”), the primary economic sanctions regulator in the United States. U.S. sanctions laws and regulations impose requirements on us and our program banks in connection with preventing targeted jurisdictions and persons from accessing the U.S. financial system and depriving economic sanctions targets of U.S.-connected property. We have policies and procedures in place to comply with these requirements, including the screening of transactions and clients to identify the involvement of OFAC-targeted persons and jurisdictions.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See the sections titled “Risk Factors—Risks Related to Regulatory and Legal Matters,” “Risk Factors—Risks Related to Our Platform, Systems, and Technology,” and “Risk Factors— Risks Related to Our Business and Industry.”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 of Our Investment Adviser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Registration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Each of Wealthfront Advisers LLC and Wealthfront Strategies LLC is registered with the SEC as an investment adviser under the Advisers Act, and subject to regulation by the SEC. Registration does not imply a certain level of skill or training. Each of Wealthfront Advisers LLC and Wealthfront Strategies LLC is subject to the Advisers Act, including the antifraud provisions of the Advisers Act and the other federal securities laws, and the rules promulgated thereunder. The SEC is authorized to inspect the business activities of registered investment advisers at any time and is also authorized to institute proceedings and impose sanctions for violations of the Advisers Act and the other federal securities laws, ranging from fines and censures to termination of an adviser’s registration. For example, in December 2018, Wealthfront Advisers LLC entered into a settlement with the SEC in connection with an investigation regarding compliance with certain applicable investment advisory regulations. In connection with this settlement, Wealthfront Advisers LLC was required to pay a fine, and resulting media coverage of the investigation and settlement created negative publicity for our company. See the section titled “Risk Factors—Risks Related to Regulatory and Legal Matters—We have in the past been, and may in the future become, involved in litigation and regulatory inquiries, examinations, or proceedings that could negatively affect us.”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Fiduciary Duty</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 investment advisers, Wealthfront Advisers LLC and Wealthfront Strategies LLC each have a fiduciary duty to their respective clients. This fiduciary duty includes both a duty of care and a duty of loyalty. The duty of care requires Wealthfront Advisers LLC and Wealthfront Strategies LLC to provide investment advice that is in the best interest of each client, based on a reasonable understanding of the client’s individual objectives and profile. The duty of loyalty requires Wealthfront Advisers LLC and Wealthfront Strategies LLC to eliminate or make full and fair disclosure of all material conflicts of interest that could affect the advisory relationship with any client. The SEC has interpreted this fiduciary duty to impose standards, requirements, and limitations on, among other things: the provision of investment recommendations to clients, trading for proprietary, personal and client accounts; allocations of investment opportunities among clients; and execution of client transactions. In addition to being a legal requirement, we believe that fulfilling Wealthfront Advisers LLC’s and Wealthfront Strategies LLC’s fiduciary duty is essential to our success, as it helps us increase our growth rate and engagement with clients, while serving the long-term interests of our company and our stockholders. Therefore, we may have forgone, and may in the future forego, certain expansion or short-term revenue opportunities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1280"/>
          </w:cols>
          <w:pgMar w:left="300" w:top="209" w:right="319" w:bottom="1440" w:gutter="0" w:footer="0" w:header="0"/>
        </w:sectPr>
      </w:pPr>
    </w:p>
    <w:bookmarkStart w:id="200" w:name="page201"/>
    <w:bookmarkEnd w:id="2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do not believe are in the long-term interests of our clients, our company, and our stockholders. See the section titled “Risk Factors—Risks Related to Our Business and Industry— Wealthfront Advisers LLC’s and Wealthfront Strategies LLC’s duties to act as fiduciaries for our clients could conflict with the short-term interests of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Scope of Investment Adviser Regulatory Framework</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As SEC-registered investment advisers, each of Wealthfront Advisers LLC and Wealthfront Strategies LLC is subject to a comprehensive regulatory framework designed to protect clients and promote market integrity. Under the Advisers Act, each of Wealthfront Advisers LLC and Wealthfront Strategies LLC must comply with a wide range of requirements and restrictions (in addition to the fiduciary duty described above), including, among other things: requirements to maintain written, effective, and comprehensive compliance policies and procedures reasonably designed to prevent violations of the Advisers Act and applicable rules thereunder; requirements to maintain extensive books and records; requirements to deliver disclosures to current and prospective advisory business clients, including through Form ADV “brochures” and “brochure supplements”; restrictions on the types of fees they may charge; requirements regarding the custody of client assets; compliance with client privacy regulations under Regulation S-P; restrictions governing advertising and marketing practices; and limitations on the solicitation of clients. The SEC has authority to inspect Wealthfront Advisers LLC and Wealthfront Strategies LLC at any time and typically inspects a registered adviser periodically to determine whether the 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regulations could have a material adverse effect on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Brokerage Regulation and Regulatory Capital and Deposit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Registrations and Licenses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operate one broker-dealer, Wealthfront Brokerage LLC, a subsidiary of Wealthfront Corporation. Client assets are held in brokerage accounts at Wealthfront Brokerage LLC, which has in place an omnibus clearing arrangement with RBC Clearing &amp; Custody for clearing functions, including in relation to the facilitation of trade settlement and extension of margin credit. Wealthfront Brokerage LLC is registered as a broker-dealer with the SEC, is a member of FINRA, and is licensed as a securities broker-dealer in all 50 U.S. states, the District of Columbia, Guam, Puerto Rico, and the U.S. Virgin Islands. Wealthfront Brokerage LLC is not licensed or authorized to conduct business in any other country, nor currently a member of any U.S. national securities exchange. Wealthfront Brokerage LLC is subject to regulation by the SEC, FINRA, and other self-regulatory organizations (each, an “SRO”) of which it is or may become a member, and the U.S. states and territories in which it operates. The Exchange Act generally grants the SEC broad administrative powers, including the power to limit or restrict Wealthfront Brokerage LLC’s activities in the event of its failure to comply with federal securities laws. In addition, FINRA has adopted extensive regulatory requirements relating to sales practices, registration of personnel, compliance and supervision, and compensation and disclosure, to which Wealthfront Brokerage LLC and its personnel are subject. FINRA and the SEC also have the authority to conduct periodic examinations of Wealthfront Brokerage LLC, and may also conduct administrative proceedings, and have the authority to levy fines and other penalties on Wealthfront Brokerage LLC. Additional sanctions that may be imposed for failure to comply with applicable law include the prohibition of individuals from associating with a broker-dealer, the revocation of registrations and other censures and fines. The failure of Wealthfront Brokerage LLC to comply with applicable regulation could therefore have a material adverse effect on our business. Even if an investigation or proceeding did not result in a sanction or the sanction imposed against us or our personnel by a regulator was small in monetary amount, the adverse publicity relating to the investigation, proceeding, or imposition of these sanctions could harm our reputation and cause us to lose existing clients or fail to gain new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1280"/>
          </w:cols>
          <w:pgMar w:left="300" w:top="209" w:right="319" w:bottom="1440" w:gutter="0" w:footer="0" w:header="0"/>
        </w:sectPr>
      </w:pPr>
    </w:p>
    <w:bookmarkStart w:id="201" w:name="page202"/>
    <w:bookmarkEnd w:id="2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Scope of Regulation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principal purpose of regulating broker-dealers is the protection of clients and securities markets. The regulations cover all aspects of the broker-dealer business and operations, including, among other things, sales and trading practices, reporting requirements, client onboarding, advertising and marketing, publication or distribution of research, margin lending, uses and safekeeping of clients’ funds and securities, capital adequacy, recordkeeping, reporting, fee arrangements, disclosures to clients, suitability, acting in clients’ best interests when making recommendations to retail clients, client privacy, data protection, information security and cybersecurity, the safeguarding of client information, the sharing of client information, best execution of client orders, public offerings, client qualifications for margin and options transactions, registration of personnel, business continuity planning, transactions with affiliates, conflicts, and the conduct of directors, officers and employees.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Capital Requirements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Wealthfront Brokerage LLC is subject to Rule 15c3-1 under the Exchange Act (the “Uniform Net Capital Rule”) and related SRO requirements. The Uniform Net Capital Rule specifies minimum capital requirements intended to ensure the general financial soundness and liquidity of broker-dealers. Generally, a broker-dealer’s net capital is its net worth plus qualified subordinated debt less deductions for certain types of assets. The Uniform Net Capital Rule effectively requires that most of a broker-dealer’s assets be maintained in a relatively liquid form. The SEC and FINRA rules require notification when net capital falls below certain thresholds, or when withdrawals of capital exceed certain thresholds. These rules also dictate a broker-dealer’s maximum ratio of debt to equity. If Wealthfront Brokerage LLC fails to maintain specified levels of net capital, Wealthfront Brokerage LLC could be subject to immediate suspension or revocation of registration, and suspension or expulsion could ultimately lead to the liquidation or wind-up of Wealthfront Brokerage LLC. In addition, the SEC and FINRA may place restrictions on our ability to expand our existing business or to commence new businesses in the event of such failure. Such failure could also constitute a default by us of certain debt covenants under our Revolver. The Uniform Net Capital Rule and FINRA requirements restrict Wealthfront Brokerage LLC from paying cash dividends, making unsecured advances or loans to affiliates, or repaying subordinated loans. For example, Wealthfront Brokerage LLC is restricted from making such payments that would result in it having a net capital amount of less than 5% of its aggregate debit balances or less than 120% of its applicable minimum dollar requirement. Moreover, these requirements also can limit Wealthfront Brokerage LLC’s ability to pay cash dividends, make unsecured advances or loans to affiliates or repay subordinated loans, for example, if Wealthfront Corporation contributed capital to Wealthfront Brokerage LLC within the previous year, repayment of that capital to Wealthfront Corporation would result in the original capital contribution being considered a loan, leading to adverse net capital consequences for Wealthfront Brokerage LLC. The minimum dollar net capital requirement for Wealthfront Brokerage LLC is the greater of $250,000 or 2% of aggregate debit items as computed under the Uniform Net Capital Rule. As of July 31, 2025, Wealthfront Brokerage LLC’s net capital was $176.0 million, which exceeded the requirement by $172.6 million.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Rule 15c3-3 Reserve and Custody Requirements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Wealthfront Brokerage LLC is subject to Rule 15c3-3 under the Exchange Act (“Rule 15c3-3”), which includes cash and securities segregation protection requirements. Pursuant to Rule 15c3-3, Wealthfront Brokerage LLC is required to maintain on deposit in a Special Reserve Bank Account for the Exclusive Benefit of Customers, based on weekly computations completed in a manner specified by the rule, an amount that is generally the difference between the amount of money Wealthfront owes clients and the amount of money Wealthfront clients owe it. As of July 31, 2025, Wealthfront Brokerage LLC had a cash balance segregated pursuant to Rule 15c3-3 of $10.9 million. Rule 15c3-3 also requires Wealthfront Brokerage LLC to determine daily the amount of client fully-paid securities and excess margin securities over which it is required to maintain possession or control and, in the event of deficits, Wealthfront Brokerage LLC must take action specified by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1280"/>
          </w:cols>
          <w:pgMar w:left="300" w:top="209" w:right="31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Margin Requirements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Wealthfront Brokerage LLC’s margin lending activities, which are supported by its omnibus margin lending arrangement with RBC Clearing &amp; Custody, are subject to limitations imposed by the rules and regulations of the Board of Governors of the Federal Reserve and FINRA. RBC Clearing &amp; Custody is separately subject to such requirements in relation to its omnibus lending arrangement with Wealthfront Brokerage LLC. In general, these rules and regulations provide for initial margin requirements and that, in the event of a significant decline in the value of securities collateralizing a margin account, broker-dealers are required to obtain additional collateral from the borrower or liquidate the borrower’s security positions. In addition, broker-dealers are limited in the amount they may lend in connection with certain purchases and short sales of securities and are also required to impose certain maintenance requirements on the amount of securities and cash held in margin accounts. FINRA rules specify additional rules for customers who are “pattern day traders” as defined under FINRA rules.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Best Execution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a registered broker-dealer, Wealthfront Brokerage LLC is also subject to “best execution” requirements under SEC guidelines and FINRA rules, which require Wealthfront Brokerage LLC to seek the best reasonably available terms for client orders. In part, this requires broker-dealers to use reasonable diligence so that the price to the client is as favorable as possible under prevailing market conditions, taking into account, among other things, the character of the market for the security, including price, volatility, relative liquidity and pressure on available communications, the size and type of transaction, the number of markets checked, accessibility of the quotations, and the terms and conditions of the client’s order. Although a broker-dealer is not required to examine every customer order individually for compliance with its duty of best execution, it must undertake regular and rigorous reviews of the quality of its customer order executions.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Wealthfront Brokerage LLC routes its clients’ orders to certain unaffiliated market makers for execution using its order routing system, which allocates a higher percentage of order flow to executing brokers that demonstrate higher execution quality, including but not limited to those that provide the best price (relative to prevailing market prices at the time of such orders) for each client’s order. Wealthfront Brokerage LLC reviews the quality of execution it receives from the market makers and chooses which market maker to which to route orders, in each case based on a number of factors that are more fully discussed in the Supplemental Materials of FINRA Rule 5310, including, where applicable, but not necessarily limited to, speed of execution, price improvement opportunities, differences in price disimprovement (i.e., situations in which a client receives a worse price at execution than the best quotes prevailing at the time the order is received by the market), likelihood of executions, the marketability of the order, size guarantees, service levels and support, the reliability of order handling systems, client needs and expectations, transaction costs and whether the firm will receive remuneration for routing order flow to such market makers. Price improvement is available under certain market conditions and for certain order types, and Wealthfront Brokerage LLC regularly monitors executions to test for whether such improvement, if available, was provided. Wealthfront Brokerage LLC does not receive compensation from its executing brokers, including payment for order flow, in connection with trades it places on behalf of clients.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 and Lending</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Broker-dealers such as Wealthfront Brokerage LLC are regulated by Federal Reserve Board Regulation T when extending credit to clients in connection with securities lending activities, and clients are regulated by Federal Reserve Board Regulation X, in both cases examined and enforced for broker-dealers and their customers by the SEC and FINRA. Broker-dealers are also subject to SEC Rule 8c-1 when hypothecating client securities, and are subject to FINRA Rule 4210 (as to margin lending programs, such as the Company’s PLOC product) and FINRA Rule 4330 (as to the Company’s fully-paid securities lending program). Securities lending programs (both margin lending and fully-paid securities lending) also trigger consequences for Wealthfront Brokerage LLC’s net capital calculation under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187</w:t>
      </w:r>
    </w:p>
    <w:p>
      <w:pPr>
        <w:sectPr>
          <w:pgSz w:w="11900" w:h="16838" w:orient="portrait"/>
          <w:cols w:equalWidth="0" w:num="1">
            <w:col w:w="11280"/>
          </w:cols>
          <w:pgMar w:left="300" w:top="209" w:right="319" w:bottom="1440" w:gutter="0" w:footer="0" w:header="0"/>
        </w:sectPr>
      </w:pPr>
    </w:p>
    <w:bookmarkStart w:id="203" w:name="page204"/>
    <w:bookmarkEnd w:id="2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Rule 15c3-1, and its customer reserve calculation and securities possession and control requirements under SEC Rule 15c3-3.</w:t>
      </w:r>
    </w:p>
    <w:p>
      <w:pPr>
        <w:spacing w:after="0" w:line="133"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Our Facilities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are headquartered in Palo Alto, California, where we occupy approximately 36,700 square feet of office space pursuant to a sublease that is expected to expire in June 2028, subject to the terms thereof.</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our current facilities are adequate to meet our current needs and that, should it be needed, suitable additional or alternative space will be available to accommodate our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Proceedings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in the past received, and may in the future receive, claims from third parties asserting, among other things, infringement of their intellectual property rights. Defending such proceedings when necessary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ectPr>
          <w:pgSz w:w="11900" w:h="16838" w:orient="portrait"/>
          <w:cols w:equalWidth="0" w:num="1">
            <w:col w:w="11280"/>
          </w:cols>
          <w:pgMar w:left="300" w:top="209" w:right="319" w:bottom="1440"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1054100</wp:posOffset>
            </wp:positionH>
            <wp:positionV relativeFrom="page">
              <wp:posOffset>288925</wp:posOffset>
            </wp:positionV>
            <wp:extent cx="5447030" cy="70491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447030" cy="704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MANAGEMENT</w:t>
      </w:r>
    </w:p>
    <w:p>
      <w:pPr>
        <w:spacing w:after="0" w:line="133"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Executive Officers and Non-Employee Directors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regarding our executive officers, employee director, and non-employee directors as of December 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6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Age</w:t>
            </w:r>
          </w:p>
        </w:tc>
        <w:tc>
          <w:tcPr>
            <w:tcW w:w="7280" w:type="dxa"/>
            <w:vAlign w:val="bottom"/>
          </w:tcPr>
          <w:p>
            <w:pPr>
              <w:ind w:left="20"/>
              <w:spacing w:after="0"/>
              <w:rPr>
                <w:sz w:val="20"/>
                <w:szCs w:val="20"/>
                <w:color w:val="auto"/>
              </w:rPr>
            </w:pPr>
            <w:r>
              <w:rPr>
                <w:rFonts w:ascii="Arial" w:cs="Arial" w:eastAsia="Arial" w:hAnsi="Arial"/>
                <w:sz w:val="11"/>
                <w:szCs w:val="11"/>
                <w:b w:val="1"/>
                <w:bCs w:val="1"/>
                <w:color w:val="auto"/>
              </w:rPr>
              <w:t>Position(s)</w:t>
            </w:r>
          </w:p>
        </w:tc>
      </w:tr>
      <w:tr>
        <w:trPr>
          <w:trHeight w:val="169"/>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80" w:type="dxa"/>
            <w:vAlign w:val="bottom"/>
            <w:tcBorders>
              <w:top w:val="single" w:sz="8" w:color="auto"/>
            </w:tcBorders>
            <w:shd w:val="clear" w:color="auto" w:fill="CCEEFF"/>
          </w:tcPr>
          <w:p>
            <w:pPr>
              <w:spacing w:after="0"/>
              <w:rPr>
                <w:sz w:val="14"/>
                <w:szCs w:val="14"/>
                <w:color w:val="auto"/>
              </w:rPr>
            </w:pPr>
          </w:p>
        </w:tc>
      </w:tr>
      <w:tr>
        <w:trPr>
          <w:trHeight w:val="179"/>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David Fortunato</w:t>
            </w:r>
          </w:p>
        </w:tc>
        <w:tc>
          <w:tcPr>
            <w:tcW w:w="860" w:type="dxa"/>
            <w:vAlign w:val="bottom"/>
          </w:tcPr>
          <w:p>
            <w:pPr>
              <w:jc w:val="center"/>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Chief Executive Officer, President, and Director</w:t>
            </w:r>
          </w:p>
        </w:tc>
      </w:tr>
      <w:tr>
        <w:trPr>
          <w:trHeight w:val="17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Alan Imberman</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Financial Officer and Treasurer</w:t>
            </w:r>
          </w:p>
        </w:tc>
      </w:tr>
      <w:tr>
        <w:trPr>
          <w:trHeight w:val="179"/>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Kal Iyer</w:t>
            </w:r>
          </w:p>
        </w:tc>
        <w:tc>
          <w:tcPr>
            <w:tcW w:w="860" w:type="dxa"/>
            <w:vAlign w:val="bottom"/>
          </w:tcPr>
          <w:p>
            <w:pPr>
              <w:jc w:val="center"/>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5"/>
                <w:szCs w:val="15"/>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Vice President of Engineering</w:t>
            </w:r>
          </w:p>
        </w:tc>
      </w:tr>
      <w:tr>
        <w:trPr>
          <w:trHeight w:val="17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Lauren Lin</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5"/>
                <w:szCs w:val="15"/>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Legal Officer, Chief Compliance Officer, and Secretary</w:t>
            </w:r>
          </w:p>
        </w:tc>
      </w:tr>
      <w:tr>
        <w:trPr>
          <w:trHeight w:val="179"/>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Julien Wetterwald</w:t>
            </w:r>
          </w:p>
        </w:tc>
        <w:tc>
          <w:tcPr>
            <w:tcW w:w="860" w:type="dxa"/>
            <w:vAlign w:val="bottom"/>
          </w:tcPr>
          <w:p>
            <w:pPr>
              <w:jc w:val="center"/>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Chief Technology Officer</w:t>
            </w:r>
          </w:p>
        </w:tc>
      </w:tr>
      <w:tr>
        <w:trPr>
          <w:trHeight w:val="17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Non-Employee Directors:</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80" w:type="dxa"/>
            <w:vAlign w:val="bottom"/>
            <w:shd w:val="clear" w:color="auto" w:fill="CCEEFF"/>
          </w:tcPr>
          <w:p>
            <w:pPr>
              <w:spacing w:after="0"/>
              <w:rPr>
                <w:sz w:val="15"/>
                <w:szCs w:val="15"/>
                <w:color w:val="auto"/>
              </w:rPr>
            </w:pPr>
          </w:p>
        </w:tc>
      </w:tr>
      <w:tr>
        <w:trPr>
          <w:trHeight w:val="179"/>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Andrew S. Rachleff</w:t>
            </w:r>
          </w:p>
        </w:tc>
        <w:tc>
          <w:tcPr>
            <w:tcW w:w="860" w:type="dxa"/>
            <w:vAlign w:val="bottom"/>
          </w:tcPr>
          <w:p>
            <w:pPr>
              <w:jc w:val="center"/>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Co-Founder, Chairman, and Director</w:t>
            </w:r>
          </w:p>
        </w:tc>
      </w:tr>
      <w:tr>
        <w:trPr>
          <w:trHeight w:val="179"/>
        </w:trPr>
        <w:tc>
          <w:tcPr>
            <w:tcW w:w="306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Jaleh Bisharat</w:t>
            </w:r>
            <w:r>
              <w:rPr>
                <w:rFonts w:ascii="Arial" w:cs="Arial" w:eastAsia="Arial" w:hAnsi="Arial"/>
                <w:sz w:val="18"/>
                <w:szCs w:val="18"/>
                <w:color w:val="auto"/>
                <w:vertAlign w:val="superscript"/>
              </w:rPr>
              <w:t>(2)(3)</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179"/>
        </w:trPr>
        <w:tc>
          <w:tcPr>
            <w:tcW w:w="306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Kenneth A. Goldman</w:t>
            </w:r>
            <w:r>
              <w:rPr>
                <w:rFonts w:ascii="Arial" w:cs="Arial" w:eastAsia="Arial" w:hAnsi="Arial"/>
                <w:sz w:val="18"/>
                <w:szCs w:val="18"/>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5"/>
                <w:szCs w:val="15"/>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179"/>
        </w:trPr>
        <w:tc>
          <w:tcPr>
            <w:tcW w:w="306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Jason Kilar</w:t>
            </w:r>
            <w:r>
              <w:rPr>
                <w:rFonts w:ascii="Arial" w:cs="Arial" w:eastAsia="Arial" w:hAnsi="Arial"/>
                <w:sz w:val="18"/>
                <w:szCs w:val="18"/>
                <w:color w:val="auto"/>
                <w:vertAlign w:val="superscript"/>
              </w:rPr>
              <w:t>(2)(3)</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5"/>
                <w:szCs w:val="15"/>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179"/>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Michael Schmidt</w:t>
            </w:r>
          </w:p>
        </w:tc>
        <w:tc>
          <w:tcPr>
            <w:tcW w:w="860" w:type="dxa"/>
            <w:vAlign w:val="bottom"/>
          </w:tcPr>
          <w:p>
            <w:pPr>
              <w:jc w:val="center"/>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179"/>
        </w:trPr>
        <w:tc>
          <w:tcPr>
            <w:tcW w:w="306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Michelangelo Volpi</w:t>
            </w:r>
            <w:r>
              <w:rPr>
                <w:rFonts w:ascii="Arial" w:cs="Arial" w:eastAsia="Arial" w:hAnsi="Arial"/>
                <w:sz w:val="18"/>
                <w:szCs w:val="18"/>
                <w:color w:val="auto"/>
                <w:vertAlign w:val="superscript"/>
              </w:rPr>
              <w:t>(1)(2)(4)</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5"/>
                <w:szCs w:val="15"/>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242"/>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Michelle Wilson</w:t>
            </w:r>
            <w:r>
              <w:rPr>
                <w:rFonts w:ascii="Arial" w:cs="Arial" w:eastAsia="Arial" w:hAnsi="Arial"/>
                <w:sz w:val="18"/>
                <w:szCs w:val="18"/>
                <w:color w:val="auto"/>
                <w:vertAlign w:val="superscript"/>
              </w:rPr>
              <w:t>(1)(3)</w:t>
            </w:r>
          </w:p>
        </w:tc>
        <w:tc>
          <w:tcPr>
            <w:tcW w:w="860" w:type="dxa"/>
            <w:vAlign w:val="bottom"/>
          </w:tcPr>
          <w:p>
            <w:pPr>
              <w:jc w:val="center"/>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Director</w:t>
            </w:r>
          </w:p>
        </w:tc>
      </w:tr>
    </w:tbl>
    <w:p>
      <w:pPr>
        <w:spacing w:after="0"/>
        <w:rPr>
          <w:sz w:val="20"/>
          <w:szCs w:val="20"/>
          <w:color w:val="auto"/>
        </w:rPr>
      </w:pPr>
      <w:r>
        <w:rPr>
          <w:rFonts w:ascii="Arial" w:cs="Arial" w:eastAsia="Arial" w:hAnsi="Arial"/>
          <w:sz w:val="13"/>
          <w:szCs w:val="13"/>
          <w:color w:val="auto"/>
        </w:rPr>
        <w:t>______________</w:t>
      </w:r>
    </w:p>
    <w:p>
      <w:pPr>
        <w:spacing w:after="0" w:line="7" w:lineRule="exact"/>
        <w:rPr>
          <w:sz w:val="20"/>
          <w:szCs w:val="20"/>
          <w:color w:val="auto"/>
        </w:rPr>
      </w:pPr>
    </w:p>
    <w:p>
      <w:pPr>
        <w:ind w:left="260" w:hanging="256"/>
        <w:spacing w:after="0"/>
        <w:tabs>
          <w:tab w:leader="none" w:pos="2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audit committee.</w:t>
      </w:r>
    </w:p>
    <w:p>
      <w:pPr>
        <w:ind w:left="260" w:hanging="256"/>
        <w:spacing w:after="0"/>
        <w:tabs>
          <w:tab w:leader="none" w:pos="2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Lead independent director.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David Fortunato </w:t>
      </w:r>
      <w:r>
        <w:rPr>
          <w:rFonts w:ascii="Arial" w:cs="Arial" w:eastAsia="Arial" w:hAnsi="Arial"/>
          <w:sz w:val="14"/>
          <w:szCs w:val="14"/>
          <w:color w:val="auto"/>
        </w:rPr>
        <w:t>has served as our Chief Executive Officer and a member of our board of directors since March 2021 and as our President since July 2019. Mr. Fortunato previously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our Chief Technology Officer from November 2009 to September 2019. Prior to joining Wealthfront, Mr. Fortunato was a software developer at Ning Inc., a social media network platform, from June 2008 to November 2009. Mr. Fortunato earned a B.S. in Computer Science and Economics from Amherst College. We believe Mr. Fortunato is qualified to serve as a member of our board of directors due to the perspective and experience he brings as our Chief Executive Officer and President.</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Alan Imberman </w:t>
      </w:r>
      <w:r>
        <w:rPr>
          <w:rFonts w:ascii="Arial" w:cs="Arial" w:eastAsia="Arial" w:hAnsi="Arial"/>
          <w:sz w:val="14"/>
          <w:szCs w:val="14"/>
          <w:color w:val="auto"/>
        </w:rPr>
        <w:t>has served as our Chief Financial Officer and Treasurer since April 2021. Since October 2015, Mr. Imberman has served in roles of increasing responsibility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Wealthfront, including most recently as Vice President of Finance from July 2019 to April 2021. Prior to joining Wealthfront, Mr. Imberman served as Senior Manager at Crowe LLP, a public accounting and consulting firm, from July 2014 until October 2015 and Senior Manager at KPMG US LLP, an advisory firm, from November 2006 until July 2014. Mr. Imberman earned a B.S. in Finance from the University of Texas at Dallas and an M.B.A. from the University of Texas at Austin and is a CFA Charterholder.</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Kal Iyer </w:t>
      </w:r>
      <w:r>
        <w:rPr>
          <w:rFonts w:ascii="Arial" w:cs="Arial" w:eastAsia="Arial" w:hAnsi="Arial"/>
          <w:sz w:val="14"/>
          <w:szCs w:val="14"/>
          <w:color w:val="auto"/>
        </w:rPr>
        <w:t>has served as our Vice President of Engineering since June 2018. Prior to joining Wealthfront, Mr. Iyer spent 15 years in senior leadership roles in the mobile gaming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industry. From 2003 to 2013, Mr. Iyer worked at Glu Mobile Inc. (acquired by Electronic Arts Inc.), a public mobile game developer and publisher, where he was promoted to Global Chief Technology Officer and was responsible for growing their offices in Brazil, China, and Russia. From 2013 to 2016, Mr. Iyer also served as Warner Bros. Interactive Entertainment Inc.’s first San Francisco Studio Head. From 2016 to 2018, he also served as the Chief Technology Officer at Fullscreen, Inc., an advertising services company, until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ectPr>
          <w:pgSz w:w="11900" w:h="16838" w:orient="portrait"/>
          <w:cols w:equalWidth="0" w:num="1">
            <w:col w:w="11280"/>
          </w:cols>
          <w:pgMar w:left="300" w:top="209" w:right="319" w:bottom="1440" w:gutter="0" w:footer="0" w:header="0"/>
        </w:sectPr>
      </w:pPr>
    </w:p>
    <w:bookmarkStart w:id="206" w:name="page207"/>
    <w:bookmarkEnd w:id="2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acquisition by Otter Media Holdings, LLC (now a subsidiary of Warner Media, LLC). Mr. Iyer earned a B.S. from Jabalpur University, India.</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 xml:space="preserve">Lauren Lin </w:t>
      </w:r>
      <w:r>
        <w:rPr>
          <w:rFonts w:ascii="Arial" w:cs="Arial" w:eastAsia="Arial" w:hAnsi="Arial"/>
          <w:sz w:val="14"/>
          <w:szCs w:val="14"/>
          <w:color w:val="auto"/>
        </w:rPr>
        <w:t>has served as our Chief Legal Officer, Chief Compliance Officer, and Secretary since July 2023. Ms. Lin served as our General Counsel from February 2020 to July 2023.</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Between September 2010 and July 2018, Ms. Lin worked at First New York, an investment firm, where she served as General Counsel and Head of Compliance. Previously, Ms. Lin worked as in-house counsel at Sumitomo Mitsui Banking Corporation. Ms. Lin has a B.A. in Political Science from Columbia University and a J.D. from Cornell Law School.</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Julien Wetterwald </w:t>
      </w:r>
      <w:r>
        <w:rPr>
          <w:rFonts w:ascii="Arial" w:cs="Arial" w:eastAsia="Arial" w:hAnsi="Arial"/>
          <w:sz w:val="14"/>
          <w:szCs w:val="14"/>
          <w:color w:val="auto"/>
        </w:rPr>
        <w:t>has served as our Chief Technology Officer since September 2019. Mr. Wetterwald has served in roles of increasing responsibility at Wealthfront, including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Distinguished Software Engineer from February 2015 to September 2019, and in various software engineering capacities, ultimately as Principal Software Engineer, from July 2009 to July 2012. He previously served as Principal Software Engineer at Wonga.com Limited, a financial services company, from October 2012 to February 2015. Mr. Wetterwald earned a B.S. in Computer Science from École Polytechnique Fédérale de Lausanne and an M.S. in Computer Science from Stanford University.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Non-Employee Directors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 xml:space="preserve">Andrew S. Rachleff </w:t>
      </w:r>
      <w:r>
        <w:rPr>
          <w:rFonts w:ascii="Arial" w:cs="Arial" w:eastAsia="Arial" w:hAnsi="Arial"/>
          <w:sz w:val="14"/>
          <w:szCs w:val="14"/>
          <w:color w:val="auto"/>
        </w:rPr>
        <w:t>is a Co-Founder of Wealthfront and has served as a member of our board of directors since February 2007 and as Chairman since January 2014. Mr. Rachleff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our Chief Executive Officer and President from February 2007 to December 2013, and as our Chief Executive Officer from November 2016 to March 2021. He has served as a lecturer at Stanford University Graduate School of Business since January 2005, and served as General Partner at Benchmark Capital, LLC, a venture capital firm, from January 1995 to December 2004. Mr. Rachleff has a B.S. from the University of Pennsylvania and an M.B.A. from Stanford University. We believe Mr. Rachleff is qualified to serve as a member of our board of directors due to the perspective and experience he brings as our Co-Founder and former Chief Executive Officer and President, as well as his extensive experience in the technology and financial industry.</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 xml:space="preserve">Jaleh Bisharat </w:t>
      </w:r>
      <w:r>
        <w:rPr>
          <w:rFonts w:ascii="Arial" w:cs="Arial" w:eastAsia="Arial" w:hAnsi="Arial"/>
          <w:sz w:val="14"/>
          <w:szCs w:val="14"/>
          <w:color w:val="auto"/>
        </w:rPr>
        <w:t>has served as a member of our board of directors since March 2021. Ms. Bisharat co-founded Novi Connect, Inc., a technology platform for values-based shopping,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has served on its board of directors since December 2019. Previously, Ms. Bisharat served as co-founder and Chief Executive Officer of NakedPoppy, Inc., a clean beauty company, from September 2017 to December 2023, and Chief Marketing Officer at Eventbrite, Inc., a live events marketplace, from July 2015 to October 2016. Prior to Eventbrite, Ms. Bisharat served as Senior Vice President of Marketing at Upwork, Inc., an online work marketplace, from September 2011 to April 2015 and as fractional Vice President of Marketing at OpenTable, Inc., an online restaurant reservation company, from February 2001 to June 2007. Ms. Bisharat previously served on the board of directors of Skillshare, Inc., an online learning community, from December 2020 to August 2025. She was also previously a director at OpenTable from 2001 to 2006, and at Homestead Technologies Inc., a website and webstore company, from 1999 to 2004. Ms. Bisharat earned a B.A. in Government from Harvard University and M.B.A. from Harvard Business School. We believe Ms. Bisharat is qualified to serve as a member of our board of directors due to her extensive executive and marketing experience with consumer technology companies.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 xml:space="preserve">Kenneth A. Goldman </w:t>
      </w:r>
      <w:r>
        <w:rPr>
          <w:rFonts w:ascii="Arial" w:cs="Arial" w:eastAsia="Arial" w:hAnsi="Arial"/>
          <w:sz w:val="14"/>
          <w:szCs w:val="14"/>
          <w:color w:val="auto"/>
        </w:rPr>
        <w:t>has served as a member of our board of directors since April 2021. He previously served as President of Hillspire, LLC, an investment company,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September 2017 to October 2022, Chief Financial Officer at Yahoo! Inc., a media technology company, from October 2012 to June 2017, and Senior Vice President and Chief Financial Officer at Fortinet, Inc., a cybersecurity company, from September 2007 to October 2012. Mr. Goldman has been serving as a member of the PCAOB, Investor Advisory Group since he joined in February 2024. From January 2015 to December 2017, Mr. Goldman served as a member of the PCAOB, Standing Advisory Group. From December 1999 to December 2003, Mr. Goldman served on the Financial Accounting Standards Board’s primary advisory group. Mr. Goldman has served on the board of directors of Fortinet, Inc. since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191</w:t>
      </w:r>
    </w:p>
    <w:p>
      <w:pPr>
        <w:sectPr>
          <w:pgSz w:w="11900" w:h="16838" w:orient="portrait"/>
          <w:cols w:equalWidth="0" w:num="1">
            <w:col w:w="11280"/>
          </w:cols>
          <w:pgMar w:left="300" w:top="209" w:right="319" w:bottom="1440" w:gutter="0" w:footer="0" w:header="0"/>
        </w:sectPr>
      </w:pPr>
    </w:p>
    <w:bookmarkStart w:id="207" w:name="page208"/>
    <w:bookmarkEnd w:id="2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RingCentral, Inc., a cloud-based business communications provider, since June 2017, and C3.ai, Inc., an enterprise AI application software company, since May 2025. He was previously a director of TriNet Group, Inc., a human resources management company, from August 2009 to August 2020, GoPro, Inc., an action camera technology company, from December 2013 to June 2025, Zuora, Inc., an enterprise software company, from March 2017 to February 2025, and NXP Semiconductors N.V., a semiconductor company, from August 2010 to June 2022, among others. Mr. Goldman earned a B.S. in Electrical and Electronics Engineering from Cornell University and an M.B.A. from Harvard Business School. We believe Mr. Goldman is qualified to serve as a member of our board of directors due to his financial expertise and extensive experience serving as an executive and a director at technology companies.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b w:val="1"/>
          <w:bCs w:val="1"/>
          <w:i w:val="1"/>
          <w:iCs w:val="1"/>
          <w:color w:val="auto"/>
        </w:rPr>
        <w:t xml:space="preserve">Jason Kilar </w:t>
      </w:r>
      <w:r>
        <w:rPr>
          <w:rFonts w:ascii="Arial" w:cs="Arial" w:eastAsia="Arial" w:hAnsi="Arial"/>
          <w:sz w:val="14"/>
          <w:szCs w:val="14"/>
          <w:color w:val="auto"/>
        </w:rPr>
        <w:t>has served as a member of our board of directors since October 2017. Mr. Kilar co-founded and has served as Chief Executive Officer of Hubcap, Inc., a digital media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since April 2023. He also served as Chief Executive Officer of Warner Media, LLC, a multinational media and entertainment company, from May 2020 to April 2022, co-founded and served as the Chief Executive Officer of Vessel Group, Inc., a commercial video service provider, from 2013 until 2017, and served as the founding Chief Executive Officer of Hulu, LLC, a digital streaming service provider, from 2007 until 2013. He also served in a variety of senior leadership roles with Amazon.com, Inc., a multinational technology company, from 1997 until 2006, including as Senior Vice President, Worldwide Application Software, and Vice President and General Manager of Amazon’s North American media businesses. Since September 2023, Mr. Kilar has served on the board of directors of Roblox Corporation, an online gaming platform, where he is a member of the Audit and the Leadership Development &amp; Compensation Committees. He was previously a director of DreamWorks Animation SKG, Inc., an animation studio, from May 2013 to August 2016, Habitat for Humanity International, a non-profit organization, Opendoor Technologies, Inc., an online real estate company, from December 2020 to June 2024, and Univision Communications Inc., a broadcasting services company, among others. Mr. Kilar earned his B.A. in Journalism and Business Administration from the University of North Carolina at Chapel Hill and an M.B.A. from Harvard Business School. We believe that Mr. Kilar is qualified to serve as a member of our board of directors due to his extensive experience with technology, high-growth, consumer and digital companies.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i w:val="1"/>
          <w:iCs w:val="1"/>
          <w:color w:val="auto"/>
        </w:rPr>
        <w:t xml:space="preserve">Michael Schmidt </w:t>
      </w:r>
      <w:r>
        <w:rPr>
          <w:rFonts w:ascii="Arial" w:cs="Arial" w:eastAsia="Arial" w:hAnsi="Arial"/>
          <w:sz w:val="14"/>
          <w:szCs w:val="14"/>
          <w:color w:val="auto"/>
        </w:rPr>
        <w:t>has served as a member of our board of directors since September 2025. Mr. Schmidt has served as a Distinguished Visitor at Princeton University’s Griswold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Center for Economic Policy Studies since July 2025. Previously, he served as director of the CHIPS Program Office at the U.S. Department of Commerce from September 2022 to January 2025, as senior advisor at the U.S. Department of the Treasury from May 2021 to September 2022, as commissioner of the New York State Department of Taxation and Finance from January 2019 to April 2021, as senior economic advisor to the Governor of the State of New York from April 2018 to January 2019, and as Deputy Secretary for Economic Development of the State of New York from April 2017 to April 2018. Earlier in his career, Mr. Schmidt held roles in the Office of Domestic Finance at the U.S. Department of the Treasury and as a financial analyst at the Yale Investments Office. Mr. Schmidt earned a B.A. in History from Yale University and a J.D. from Yale Law School. We believe that Mr. Schmidt is qualified to serve as a member of our board of directors due to his extensive leadership and government experience and his industry expertise.</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i w:val="1"/>
          <w:iCs w:val="1"/>
          <w:color w:val="auto"/>
        </w:rPr>
        <w:t xml:space="preserve">Michelangelo Volpi </w:t>
      </w:r>
      <w:r>
        <w:rPr>
          <w:rFonts w:ascii="Arial" w:cs="Arial" w:eastAsia="Arial" w:hAnsi="Arial"/>
          <w:sz w:val="14"/>
          <w:szCs w:val="14"/>
          <w:color w:val="auto"/>
        </w:rPr>
        <w:t>has served as a member of our board of directors since October 2013. Mr. Volpi has served as Partner at Index Ventures, a venture capital firm, since July 2009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as the General Partner at Hanabi Capital, a venture capital firm, since January 2025. Mr. Volpi has served on the boards of directors of Confluent, Inc., a data infrastructure company, since April 2015, Aurora Innovation, Inc., a self-driving technology company, since January 2018, and Ferrari N.V., a luxury automotive company, since April 2023. Mr. Volpi is also currently serving on the boards of Cockroach Labs, Inc., a cloud infrastructure company, since March 2016, Cohere Inc., a security-first enterprise artificial intelligence company, since June 2021, Hebbia, Inc., an artificial intelligence company, since June 2022, Kong Inc., a software company, since June 2013, Scale AI, Inc., an artificial intelligence company, since May 2025, and Stanford Hospital Private Corporation since September 2024, among others. He was previously a director of Elastic N.V., a search and data analysis company, from March 2013 to July 2022, Zuora,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ectPr>
          <w:pgSz w:w="11900" w:h="16838" w:orient="portrait"/>
          <w:cols w:equalWidth="0" w:num="1">
            <w:col w:w="11280"/>
          </w:cols>
          <w:pgMar w:left="300" w:top="209" w:right="319" w:bottom="1440" w:gutter="0" w:footer="0" w:header="0"/>
        </w:sectPr>
      </w:pPr>
    </w:p>
    <w:bookmarkStart w:id="208" w:name="page209"/>
    <w:bookmarkEnd w:id="2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an enterprise software company, from September 2011 to June 2020, Sonos, Inc., a consumer electronics company, from February 2010 to April 2025, Stellantis N.V. (f/k/a Fiat Chrysler Automobiles N.V.), an automotive company, from April 2017 to January 2021, Tishman Speyer Innovation Corp. II,a publicly traded special purpose acquisition company, from February 2021 to December 2022, and TS Innovation Acquisitions Corp., a publicly traded special purpose acquisition company, from October 2020 to June 2021, among others. Mr. Volpi held several executive positions prior to Index and Hanabi Capital, including Chief Strategy Officer and SVP/GM of the routing business at Cisco Systems, Inc., a technology company. Mr. Volpi earned a B.S. in Mechanical Engineering and an M.S. in Manufacturing Systems Engineering from Stanford University and an M.B.A. from Stanford Graduate School of Business. We believe Mr. Volpi is qualified to serve as a member of our board of directors due to his extensive experience in senior leadership positions at technology, investment, and other companies.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i w:val="1"/>
          <w:iCs w:val="1"/>
          <w:color w:val="auto"/>
        </w:rPr>
        <w:t xml:space="preserve">Michelle Wilson </w:t>
      </w:r>
      <w:r>
        <w:rPr>
          <w:rFonts w:ascii="Arial" w:cs="Arial" w:eastAsia="Arial" w:hAnsi="Arial"/>
          <w:sz w:val="14"/>
          <w:szCs w:val="14"/>
          <w:color w:val="auto"/>
        </w:rPr>
        <w:t>has served as a member of our board of directors since April 2025. Ms. Wilson has served on the board of directors of Cockroach Labs, Inc., a cloud infrastructure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since July 2022. She was previously a director of Okta, Inc., an identity and access management company, from 2015 to June 2022, Zendesk, Inc., a software development company, from 2014 to July 2022, Pinterest, Inc., a visual discovery engine, from May 2016 to May 2021, and Stripe, Inc., a financial services and software company, from September 2018 to May 2020. From 1999 to 2012, Ms. Wilson held various roles at Amazon.com, Inc., including most recently as Senior Vice President and General Counsel. Previously, Ms. Wilson served as a partner at Perkins Coie LLP, a law firm, from 1995 to 1999. Ms. Wilson earned a B.A. in Business Administration from the University of Washington and a J.D. from the University of Chicago. We believe Ms. Wilson is qualified to serve as a member of our board of directors due to her significant experience as an executive and board member in the technology industry, as well as her deep expertise and experience in legal, compliance, and human resources matters.</w:t>
      </w:r>
    </w:p>
    <w:p>
      <w:pPr>
        <w:spacing w:after="0" w:line="10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Family Relationships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among any of our executive officers or directors.</w:t>
      </w:r>
    </w:p>
    <w:p>
      <w:pPr>
        <w:spacing w:after="0" w:line="133"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Code of Business Conduct and Ethics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board of directors will adopt, effective prior to the completion of this offering,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 as required by law or Nasdaq listing standards.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Board of Directors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business and affairs are managed under the direction of our board of directors. Our board of directors currently consists of eight directors. Pursuant to our restated certificate of incorporation, as currently in effect, our current directors were elected as follows:</w:t>
      </w:r>
    </w:p>
    <w:p>
      <w:pPr>
        <w:spacing w:after="0" w:line="79" w:lineRule="exact"/>
        <w:rPr>
          <w:sz w:val="20"/>
          <w:szCs w:val="20"/>
          <w:color w:val="auto"/>
        </w:rPr>
      </w:pPr>
    </w:p>
    <w:p>
      <w:pPr>
        <w:ind w:left="500" w:hanging="244"/>
        <w:spacing w:after="0"/>
        <w:tabs>
          <w:tab w:leader="none" w:pos="5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Andrew Rachleff was appointed by the incorporator at the time of our inception;</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96"/>
        </w:numPr>
        <w:rPr>
          <w:rFonts w:ascii="Arial" w:cs="Arial" w:eastAsia="Arial" w:hAnsi="Arial"/>
          <w:sz w:val="14"/>
          <w:szCs w:val="14"/>
          <w:color w:val="auto"/>
        </w:rPr>
      </w:pPr>
      <w:r>
        <w:rPr>
          <w:rFonts w:ascii="Arial" w:cs="Arial" w:eastAsia="Arial" w:hAnsi="Arial"/>
          <w:sz w:val="14"/>
          <w:szCs w:val="14"/>
          <w:color w:val="auto"/>
        </w:rPr>
        <w:t>David Fortunato, Jaleh Bisharat, Kenneth A. Goldman, Jason Kilar, Michael Schmidt, and Michelle Wilson were elected as the nominated designees of the holders of our redeemable convertible preferred stock and common stock; and</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Michelangelo Volpi was elected as the nominated designee of the holders of our Series B redeemable convertible preferred stock.</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provisions of our current restated certificate of incorporation by which our directors were elected will be amended and restated in connection with this offering. After this offering, the number of directors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193</w:t>
      </w:r>
    </w:p>
    <w:p>
      <w:pPr>
        <w:sectPr>
          <w:pgSz w:w="11900" w:h="16838" w:orient="portrait"/>
          <w:cols w:equalWidth="0" w:num="1">
            <w:col w:w="11280"/>
          </w:cols>
          <w:pgMar w:left="300" w:top="209" w:right="319" w:bottom="1440" w:gutter="0" w:footer="0" w:header="0"/>
        </w:sectPr>
      </w:pPr>
    </w:p>
    <w:bookmarkStart w:id="209" w:name="page210"/>
    <w:bookmarkEnd w:id="2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will be fixed by our board of directors, subject to the terms of our restated certificate of incorporation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Classified Board of Directors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the completion of this offering, our board of directors will consist of eight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6" w:lineRule="exact"/>
        <w:rPr>
          <w:sz w:val="20"/>
          <w:szCs w:val="20"/>
          <w:color w:val="auto"/>
        </w:rPr>
      </w:pPr>
    </w:p>
    <w:p>
      <w:pPr>
        <w:ind w:left="500" w:hanging="244"/>
        <w:spacing w:after="0" w:line="286" w:lineRule="auto"/>
        <w:tabs>
          <w:tab w:leader="none" w:pos="496"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Class I directors will be Andrew Rachleff and David Fortunato and their terms will expire at the first annual meeting of stockholders to be held after the completion of this offering;</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Class II directors will be Kenneth A. Goldman, Jason Kilar, and Michelangelo Volpi and their terms will expire at the second annual meeting of stockholders to be held after the completion of this offering; and</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Class III directors will be Jaleh Bisharat, Michael Schmidt, and Michelle Wilson and their terms will expire at the third annual meeting of stockholders to be held after the completion of this offering.</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Each director’s term continues until the election and qualification of his or her successor, or his or her earlier death, resignation, or removal. Our restated certificate of incorporation and restated bylaws to be in effect immediately prior to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Independence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this offering, we have applied to list our common stock on Nasdaq. Under the rules of Nasdaq, independent directors must comprise a majority of a listed company’s board of directors within a specified period after the completion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194</w:t>
      </w:r>
    </w:p>
    <w:p>
      <w:pPr>
        <w:sectPr>
          <w:pgSz w:w="11900" w:h="16838" w:orient="portrait"/>
          <w:cols w:equalWidth="0" w:num="1">
            <w:col w:w="11280"/>
          </w:cols>
          <w:pgMar w:left="300" w:top="209" w:right="31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each director other than David Fortunato is an “independent director”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Lead Independent Director</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board of directors will adopt, effective prior to the completion of this offering, corporate governance guidelines that provide that one of our independent directors will serve as our lead independent director. Our board of directors has appointed Michelangelo Volpi to serve as our lead independent director. As lead independent director, Mr. Volpi will provide leadership to our board of directors if circumstances arise in which the role of Chief Executive Officer and chairperson of our board of directors may be, or may be perceived to be, in conflict, and perform such additional duties as our board of directors may otherwise determine and delegate.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board of directors has an audit committee, a compensation committee, and a nominating and corporate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audit committee is composed of Kenneth A. Goldman, Michelangelo Volpi, and Michelle Wilson. Mr. Goldman is the chair of our audit committee. The members of our audit committee meet the independence requirements under Nasdaq and SEC rules. Each member of our audit committee is financially literate. In addition, our board of directors has determined that Mr. Goldman is an “audit committee financial expert” as that term is defined in Item 407(d)(5)(ii) of Regulation S-K promulgated under the Securities Act. This designation does not, however, impose on him or her any supplemental duties, obligations or liabilities beyond those that are generally applicable to the other members of our audit committee and board of directors. Our audit committee’s principal functions are to assist our board of directors in its oversight of:</w:t>
      </w:r>
    </w:p>
    <w:p>
      <w:pPr>
        <w:spacing w:after="0" w:line="98" w:lineRule="exact"/>
        <w:rPr>
          <w:sz w:val="20"/>
          <w:szCs w:val="20"/>
          <w:color w:val="auto"/>
        </w:rPr>
      </w:pPr>
    </w:p>
    <w:p>
      <w:pPr>
        <w:ind w:left="500" w:hanging="244"/>
        <w:spacing w:after="0"/>
        <w:tabs>
          <w:tab w:leader="none" w:pos="5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selecting a firm to serve as our independent registered public accounting firm to audit our consolidated financial statements;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ensuring the independence of the independent registered public accounting firm;</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98"/>
        </w:numPr>
        <w:rPr>
          <w:rFonts w:ascii="Arial" w:cs="Arial" w:eastAsia="Arial" w:hAnsi="Arial"/>
          <w:sz w:val="14"/>
          <w:szCs w:val="14"/>
          <w:color w:val="auto"/>
        </w:rPr>
      </w:pPr>
      <w:r>
        <w:rPr>
          <w:rFonts w:ascii="Arial" w:cs="Arial" w:eastAsia="Arial" w:hAnsi="Arial"/>
          <w:sz w:val="14"/>
          <w:szCs w:val="14"/>
          <w:color w:val="auto"/>
        </w:rPr>
        <w:t>discussing the scope and results of the audit with the independent registered public accounting firm, and reviewing, with management and that firm, our interim and year-end operating results;</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considering the adequacy of our internal financial controls and internal audit function;</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conferring with management about significant risks, our policies for risk assessment and risk management, and the steps management has taken to control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195</w:t>
      </w:r>
    </w:p>
    <w:p>
      <w:pPr>
        <w:sectPr>
          <w:pgSz w:w="11900" w:h="16838" w:orient="portrait"/>
          <w:cols w:equalWidth="0" w:num="1">
            <w:col w:w="11280"/>
          </w:cols>
          <w:pgMar w:left="300" w:top="209" w:right="319" w:bottom="1440" w:gutter="0" w:footer="0" w:header="0"/>
        </w:sectPr>
      </w:pPr>
    </w:p>
    <w:bookmarkStart w:id="211" w:name="page212"/>
    <w:bookmarkEnd w:id="2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tabs>
          <w:tab w:leader="none" w:pos="5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reviewing related party transactions that are material or otherwise implicate disclosure requirements;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compensation committee is composed of Michelangelo Volpi, Jaleh Bisharat, and Jason Kilar. Mr. Volpi is the chair of our compensation committee. The members of our compensation committee meet the independence requirements under Nasdaq and SEC rules. Each member of this committee is also a “non-employee director” within the meaning of Rule 16b-3 under the Exchange Act. Our compensation committee is responsible for, among other things:</w:t>
      </w:r>
    </w:p>
    <w:p>
      <w:pPr>
        <w:spacing w:after="0" w:line="91" w:lineRule="exact"/>
        <w:rPr>
          <w:sz w:val="20"/>
          <w:szCs w:val="20"/>
          <w:color w:val="auto"/>
        </w:rPr>
      </w:pPr>
    </w:p>
    <w:p>
      <w:pPr>
        <w:ind w:left="500" w:hanging="244"/>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reviewing and approving, or recommending that our board of directors approve, the compensation of our executive officers;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to approve the compensation of our non-employee directors;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reviewing and approving, or recommending that our board of directors approve, the terms of any compensatory agreements with our executive officers;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of directors with respect to, incentive compensation and equity plans;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establishing our overall compensation philosophy.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nominating and corporate governance committee is composed of Michelle Wilson, Jaleh Bisharat, and Jason Kilar. Ms. Wilson is the chair of our nominating and corporate governance committee. The members of our nominating and corporate governance committee meet the independence requirements under Nasdaq and SEC rules. Our nominating and corporate governance committee’s principal functions include:</w:t>
      </w:r>
    </w:p>
    <w:p>
      <w:pPr>
        <w:spacing w:after="0" w:line="91" w:lineRule="exact"/>
        <w:rPr>
          <w:sz w:val="20"/>
          <w:szCs w:val="20"/>
          <w:color w:val="auto"/>
        </w:rPr>
      </w:pPr>
    </w:p>
    <w:p>
      <w:pPr>
        <w:ind w:left="500" w:hanging="244"/>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recommending directors to serve on board committees;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any changes to our corporate governance guidelines;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reviewing proposed waivers of the code of conduct for directors and executive officers;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advising our board of directors on corporate governance matters.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None of the members of the compensation committee is currently, or has been at any time, one of our officers or employees. None of our executive officers has served as a member of the board of directors, or as a member of the compensation or similar committee, of any other entity that has one or more executive officers who served on our board or compensation committee during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196</w:t>
      </w:r>
    </w:p>
    <w:p>
      <w:pPr>
        <w:sectPr>
          <w:pgSz w:w="11900" w:h="16838" w:orient="portrait"/>
          <w:cols w:equalWidth="0" w:num="1">
            <w:col w:w="11280"/>
          </w:cols>
          <w:pgMar w:left="300" w:top="209" w:right="319" w:bottom="1440" w:gutter="0" w:footer="0" w:header="0"/>
        </w:sectPr>
      </w:pPr>
    </w:p>
    <w:bookmarkStart w:id="212" w:name="page213"/>
    <w:bookmarkEnd w:id="2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2025 Director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Kenneth Goldman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February 2024, we granted Kenneth Goldman an award for 15,496 RSUs (the “First Goldman Award”), and in January 2025, we granted Mr. Goldman an award for 17,007 RSUs (the “Second Goldman Award,” and together with the First Goldman Award, the “Goldman RSU Awards”) in connection with his service on our board of directors. Each of the Goldman RSU Awards was granted under the 2017 Plan, has a seven-year term and will vest based on the satisfaction of service-based and liquidity-based vesting conditions.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service-based vesting condition for the First Goldman Award was satisfied on March 15, 2024. The service-based vesting condition for the Second Goldman Award will be satisfied on March 15, 2026, subject to Mr. Goldman’s continued service with us through such date. The liquidity-based vesting condition for the Goldman RSU Awards will be satisfied upon the completion of this offering.</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Andrew Rachleff</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January 2025, we granted Andrew Rachleff an award for 29,762 RSUs (the “Rachleff RSU Award”) in connection with his service on our board of directors. The Rachleff RSU Award was granted under the 2017 Plan, has a seven-year term, and will vest based on the satisfaction of service-based and liquidity-based vesting conditions.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service-based vesting condition for the Rachleff RSU Award will be satisfied on March 15, 2026, subject to Mr. Rachleff’s continued service with us through such date. The liquidity-based vesting condition for the Rachleff RSU Award will be satisfied upon the completion of this offering.</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Jaleh Bisharat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January 2025, we granted Jaleh Bisharat an award for 17,007 RSUs (the “Bisharat RSU Award”) in connection with her service on our board of directors. The Bisharat RSU Award was granted under the 2017 Plan, has a seven-year term, and will vest based on the satisfaction of service-based and liquidity-based vesting conditions.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service-based vesting condition for the Bisharat RSU Award will be satisfied on March 15, 2026, subject to Ms. Bisharat’s continued service with us through such date. The liquidity-based vesting condition for the Bisharat RSU Award will be satisfied upon the completion of this offering.</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Jason Kilar</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January 2025, we granted Jason Kilar an award for 17,007 RSUs (the “Kilar RSU Award”) in connection with his service on our board of directors. The Kilar RSU Award was granted under the 2017 Plan, has a seven-year term, and will vest based on the satisfaction of service-based and liquidity-based vesting conditions.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service-based vesting condition for the Kilar RSU Award will be satisfied on March 15, 2026, subject to Mr. Kilar’s continued service with us through such date. The liquidity-based vesting condition for the Kilar RSU Award will be satisfied upon the completion of this offering.</w:t>
      </w:r>
    </w:p>
    <w:p>
      <w:pPr>
        <w:spacing w:after="0" w:line="79" w:lineRule="exact"/>
        <w:rPr>
          <w:sz w:val="20"/>
          <w:szCs w:val="20"/>
          <w:color w:val="auto"/>
        </w:rPr>
      </w:pPr>
    </w:p>
    <w:p>
      <w:pPr>
        <w:ind w:right="160"/>
        <w:spacing w:after="0" w:line="268" w:lineRule="auto"/>
        <w:rPr>
          <w:sz w:val="20"/>
          <w:szCs w:val="20"/>
          <w:color w:val="auto"/>
        </w:rPr>
      </w:pPr>
      <w:r>
        <w:rPr>
          <w:rFonts w:ascii="Arial" w:cs="Arial" w:eastAsia="Arial" w:hAnsi="Arial"/>
          <w:sz w:val="14"/>
          <w:szCs w:val="14"/>
          <w:color w:val="auto"/>
        </w:rPr>
        <w:t>The following table sets forth information concerning the compensation earned by our directors during the fiscal year ended January 31, 2025, except for David Fortunato, our Chief Executive Officer and President, who did not receive any additional compensation for his service as a director, Mr. Fortunato’s compensation as our Chief Executive Officer and President is set forth in the section titled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197</w:t>
      </w:r>
    </w:p>
    <w:p>
      <w:pPr>
        <w:sectPr>
          <w:pgSz w:w="11900" w:h="16838" w:orient="portrait"/>
          <w:cols w:equalWidth="0" w:num="1">
            <w:col w:w="11280"/>
          </w:cols>
          <w:pgMar w:left="300" w:top="209" w:right="319" w:bottom="1440" w:gutter="0" w:footer="0" w:header="0"/>
        </w:sectPr>
      </w:pPr>
    </w:p>
    <w:bookmarkStart w:id="213" w:name="page214"/>
    <w:bookmarkEnd w:id="2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Compensation—Summary Compensation Table.” Note that only stock awards were made in fiscal 2025, so the other columns have been omitted from the table.</w:t>
      </w:r>
    </w:p>
    <w:p>
      <w:pPr>
        <w:spacing w:after="0" w:line="133"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Fiscal 2025 Director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w:t>
            </w:r>
          </w:p>
        </w:tc>
        <w:tc>
          <w:tcPr>
            <w:tcW w:w="1660" w:type="dxa"/>
            <w:vAlign w:val="bottom"/>
            <w:gridSpan w:val="2"/>
          </w:tcPr>
          <w:p>
            <w:pPr>
              <w:ind w:left="300"/>
              <w:spacing w:after="0"/>
              <w:rPr>
                <w:sz w:val="20"/>
                <w:szCs w:val="20"/>
                <w:color w:val="auto"/>
              </w:rPr>
            </w:pPr>
            <w:r>
              <w:rPr>
                <w:rFonts w:ascii="Arial" w:cs="Arial" w:eastAsia="Arial" w:hAnsi="Arial"/>
                <w:sz w:val="11"/>
                <w:szCs w:val="11"/>
                <w:b w:val="1"/>
                <w:bCs w:val="1"/>
                <w:color w:val="auto"/>
              </w:rPr>
              <w:t>Stock Awards ($)</w:t>
            </w:r>
            <w:r>
              <w:rPr>
                <w:rFonts w:ascii="Arial" w:cs="Arial" w:eastAsia="Arial" w:hAnsi="Arial"/>
                <w:sz w:val="14"/>
                <w:szCs w:val="14"/>
                <w:b w:val="1"/>
                <w:bCs w:val="1"/>
                <w:color w:val="auto"/>
                <w:vertAlign w:val="superscript"/>
              </w:rPr>
              <w:t>(1)</w:t>
            </w:r>
          </w:p>
        </w:tc>
        <w:tc>
          <w:tcPr>
            <w:tcW w:w="1560" w:type="dxa"/>
            <w:vAlign w:val="bottom"/>
          </w:tcPr>
          <w:p>
            <w:pPr>
              <w:ind w:left="560"/>
              <w:spacing w:after="0"/>
              <w:rPr>
                <w:sz w:val="20"/>
                <w:szCs w:val="20"/>
                <w:color w:val="auto"/>
              </w:rPr>
            </w:pPr>
            <w:r>
              <w:rPr>
                <w:rFonts w:ascii="Arial" w:cs="Arial" w:eastAsia="Arial" w:hAnsi="Arial"/>
                <w:sz w:val="11"/>
                <w:szCs w:val="11"/>
                <w:b w:val="1"/>
                <w:bCs w:val="1"/>
                <w:color w:val="auto"/>
              </w:rPr>
              <w:t>Total ($)</w:t>
            </w:r>
          </w:p>
        </w:tc>
      </w:tr>
      <w:tr>
        <w:trPr>
          <w:trHeight w:val="16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Andrew S. Rachleff</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Jaleh Bisharat</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Kenneth A. Goldman</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Jason Kilar</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Schmidt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Michelangelo Volpi</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Michelle Wilson</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tcPr>
          <w:p>
            <w:pPr>
              <w:spacing w:after="0"/>
              <w:rPr>
                <w:sz w:val="20"/>
                <w:szCs w:val="20"/>
                <w:color w:val="auto"/>
              </w:rPr>
            </w:pPr>
            <w:r>
              <w:rPr>
                <w:rFonts w:ascii="Arial" w:cs="Arial" w:eastAsia="Arial" w:hAnsi="Arial"/>
                <w:sz w:val="13"/>
                <w:szCs w:val="13"/>
                <w:color w:val="auto"/>
              </w:rPr>
              <w:t>______________</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jc w:val="both"/>
        <w:ind w:left="260" w:hanging="256"/>
        <w:spacing w:after="0" w:line="243" w:lineRule="auto"/>
        <w:tabs>
          <w:tab w:leader="none" w:pos="256"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Certain of our directors were granted RSU awards that were subject to both a service-based vesting condition and a liquidity-based vesting condition. As of the applicable grant date, we had not recognized stock-based compensation expense for these awards because satisfaction of the liquidity-based vesting condition was not deemed probable. As a result, no value is included in the table for these awards. Based on satisfaction of the liquidity-based vesting condition in connection with this offering, the aggregate grant-date fair value of the RSU awards for each of Messrs. Rachleff, Goldman, and Kilar and Ms. Bisharat for the fiscal year ended January 31, 2025 would have been $413,989, $386,569, $236,567, and $236,567, respectively, computed in accordance with ASC Topic 718. The assumptions used in calculating the grant-date fair value of the awards are set forth in Note 12. — Stock-Based Compensation to our consolidated financial statements included in this prospectus. Such grant-date fair value does not take into account any estimated forfeitures related to service-based vesting conditions. The amounts reported in this column reflect the accounting cost for such awards and do not correspond to the actual economic value that may be received by the officers from these awards.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regarding the outstanding equity awards held by our non-employee directors as of January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6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Vested Stock Awards</w:t>
            </w:r>
          </w:p>
        </w:tc>
        <w:tc>
          <w:tcPr>
            <w:tcW w:w="1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Unvested Stock Awards</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Vested Exercisable Option</w:t>
            </w:r>
          </w:p>
        </w:tc>
        <w:tc>
          <w:tcPr>
            <w:tcW w:w="1560" w:type="dxa"/>
            <w:vAlign w:val="bottom"/>
          </w:tcPr>
          <w:p>
            <w:pPr>
              <w:jc w:val="right"/>
              <w:ind w:right="133"/>
              <w:spacing w:after="0"/>
              <w:rPr>
                <w:sz w:val="20"/>
                <w:szCs w:val="20"/>
                <w:color w:val="auto"/>
              </w:rPr>
            </w:pPr>
            <w:r>
              <w:rPr>
                <w:rFonts w:ascii="Arial" w:cs="Arial" w:eastAsia="Arial" w:hAnsi="Arial"/>
                <w:sz w:val="11"/>
                <w:szCs w:val="11"/>
                <w:b w:val="1"/>
                <w:bCs w:val="1"/>
                <w:color w:val="auto"/>
              </w:rPr>
              <w:t>Unvested Exercisable</w:t>
            </w:r>
          </w:p>
        </w:tc>
        <w:tc>
          <w:tcPr>
            <w:tcW w:w="0" w:type="dxa"/>
            <w:vAlign w:val="bottom"/>
          </w:tcPr>
          <w:p>
            <w:pPr>
              <w:spacing w:after="0"/>
              <w:rPr>
                <w:sz w:val="1"/>
                <w:szCs w:val="1"/>
                <w:color w:val="auto"/>
              </w:rPr>
            </w:pPr>
          </w:p>
        </w:tc>
      </w:tr>
      <w:tr>
        <w:trPr>
          <w:trHeight w:val="147"/>
        </w:trPr>
        <w:tc>
          <w:tcPr>
            <w:tcW w:w="47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Awards</w:t>
            </w:r>
          </w:p>
        </w:tc>
        <w:tc>
          <w:tcPr>
            <w:tcW w:w="1560" w:type="dxa"/>
            <w:vAlign w:val="bottom"/>
          </w:tcPr>
          <w:p>
            <w:pPr>
              <w:jc w:val="right"/>
              <w:ind w:right="313"/>
              <w:spacing w:after="0"/>
              <w:rPr>
                <w:sz w:val="20"/>
                <w:szCs w:val="20"/>
                <w:color w:val="auto"/>
              </w:rPr>
            </w:pPr>
            <w:r>
              <w:rPr>
                <w:rFonts w:ascii="Arial" w:cs="Arial" w:eastAsia="Arial" w:hAnsi="Arial"/>
                <w:sz w:val="11"/>
                <w:szCs w:val="11"/>
                <w:b w:val="1"/>
                <w:bCs w:val="1"/>
                <w:color w:val="auto"/>
              </w:rPr>
              <w:t>Option Awards</w:t>
            </w:r>
          </w:p>
        </w:tc>
        <w:tc>
          <w:tcPr>
            <w:tcW w:w="0" w:type="dxa"/>
            <w:vAlign w:val="bottom"/>
          </w:tcPr>
          <w:p>
            <w:pPr>
              <w:spacing w:after="0"/>
              <w:rPr>
                <w:sz w:val="1"/>
                <w:szCs w:val="1"/>
                <w:color w:val="auto"/>
              </w:rPr>
            </w:pPr>
          </w:p>
        </w:tc>
      </w:tr>
      <w:tr>
        <w:trPr>
          <w:trHeight w:val="169"/>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Andrew S. Rachleff</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29,762</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gridSpan w:val="2"/>
          </w:tcPr>
          <w:p>
            <w:pPr>
              <w:ind w:left="20"/>
              <w:spacing w:after="0"/>
              <w:rPr>
                <w:sz w:val="20"/>
                <w:szCs w:val="20"/>
                <w:color w:val="auto"/>
              </w:rPr>
            </w:pPr>
            <w:r>
              <w:rPr>
                <w:rFonts w:ascii="Arial" w:cs="Arial" w:eastAsia="Arial" w:hAnsi="Arial"/>
                <w:sz w:val="14"/>
                <w:szCs w:val="14"/>
                <w:color w:val="auto"/>
              </w:rPr>
              <w:t>Jaleh Bisharat</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17,007</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287,500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7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Kenneth A. Goldman</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97,726</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281,250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w:t>
            </w:r>
          </w:p>
        </w:tc>
        <w:tc>
          <w:tcPr>
            <w:tcW w:w="0" w:type="dxa"/>
            <w:vAlign w:val="bottom"/>
          </w:tcPr>
          <w:p>
            <w:pPr>
              <w:spacing w:after="0"/>
              <w:rPr>
                <w:sz w:val="1"/>
                <w:szCs w:val="1"/>
                <w:color w:val="auto"/>
              </w:rPr>
            </w:pPr>
          </w:p>
        </w:tc>
      </w:tr>
      <w:tr>
        <w:trPr>
          <w:trHeight w:val="179"/>
        </w:trPr>
        <w:tc>
          <w:tcPr>
            <w:tcW w:w="4760" w:type="dxa"/>
            <w:vAlign w:val="bottom"/>
            <w:gridSpan w:val="2"/>
          </w:tcPr>
          <w:p>
            <w:pPr>
              <w:ind w:left="20"/>
              <w:spacing w:after="0"/>
              <w:rPr>
                <w:sz w:val="20"/>
                <w:szCs w:val="20"/>
                <w:color w:val="auto"/>
              </w:rPr>
            </w:pPr>
            <w:r>
              <w:rPr>
                <w:rFonts w:ascii="Arial" w:cs="Arial" w:eastAsia="Arial" w:hAnsi="Arial"/>
                <w:sz w:val="14"/>
                <w:szCs w:val="14"/>
                <w:color w:val="auto"/>
              </w:rPr>
              <w:t>Jason Kilar</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393,707</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Schmidt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gridSpan w:val="2"/>
          </w:tcPr>
          <w:p>
            <w:pPr>
              <w:ind w:left="20"/>
              <w:spacing w:after="0"/>
              <w:rPr>
                <w:sz w:val="20"/>
                <w:szCs w:val="20"/>
                <w:color w:val="auto"/>
              </w:rPr>
            </w:pPr>
            <w:r>
              <w:rPr>
                <w:rFonts w:ascii="Arial" w:cs="Arial" w:eastAsia="Arial" w:hAnsi="Arial"/>
                <w:sz w:val="14"/>
                <w:szCs w:val="14"/>
                <w:color w:val="auto"/>
              </w:rPr>
              <w:t>Michelangelo Volpi</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Michelle Wilson</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2026 Director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Michelle Wilson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April 2025, we granted Michelle Wilson an award for 34,014 RSUs (the “Wilson RSU Award”) in connection with the commencement of her service on our board of directors. The Wilson RSU Award was granted under the 2017 Plan, has a seven-year term, and will vest based on the satisfaction of service-based and liquidity-based vesting conditions.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service-based vesting condition for the Wilson RSU Award will be satisfied as to 1/16th of the total award quarterly over four years, with the first vesting date scheduled for June 15, 2025 and each subsequent vesting date occurring on the quarterly anniversary thereof, subject to Ms. Wilson’s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198</w:t>
      </w:r>
    </w:p>
    <w:p>
      <w:pPr>
        <w:sectPr>
          <w:pgSz w:w="11900" w:h="16838" w:orient="portrait"/>
          <w:cols w:equalWidth="0" w:num="1">
            <w:col w:w="11280"/>
          </w:cols>
          <w:pgMar w:left="300" w:top="209" w:right="319" w:bottom="1440" w:gutter="0" w:footer="0" w:header="0"/>
        </w:sectPr>
      </w:pPr>
    </w:p>
    <w:bookmarkStart w:id="214" w:name="page215"/>
    <w:bookmarkEnd w:id="2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service with us. The liquidity-based vesting condition for the Wilson RSU Award will be satisfied upon the completion of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Michael Schmidt</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September 2025, we granted Michael Schmidt an award for 34,014 RSUs (the “Schmidt RSU Award”) in connection with the commencement of his service on our board of directors. The Schmidt RSU Award was granted under the 2017 Plan, has a seven-year term, and will vest based on the satisfaction of service-based and liquidity-based vesting conditions during his term of service.</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service-based vesting condition for the Schmidt RSU Award will be satisfied as to 1/16th of the total award quarterly over four years, with the first vesting date scheduled for December 15, 2025 and each subsequent vesting date occurring on the quarterly anniversary thereof, subject to Mr. Schmidt’s continued service with us. The liquidity-based vesting condition for the Schmidt RSU Award will be satisfied upon the completion of this offering.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Non-Employee Director Compensation Policy</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Before this offering, we did not have a formal policy to provide any cash or equity compensation to our non-employee directors for their service on our board of directors or committees of our board of directors. See the section titled “—Director Compensation” above for a description of compensation paid to our non-employee directors during fiscal 2025 and fiscal 2026.</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connection with this offering, our board of directors approved a non-employee director compensation policy, pursuant to which our non-employee directors will be eligible to receive certain cash retainers and equity awards for service on our board of directors and committees of our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Employee directors will receive no additional compensation for their service as members of our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Compensation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Following the completion of this offering, each non-employee director will be entitled to receive the annual cash compensation set forth below, payable quarterly in arrears and prorated for partial quarters of service.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Board Service Fee</w:t>
      </w:r>
      <w:r>
        <w:rPr>
          <w:rFonts w:ascii="Arial" w:cs="Arial" w:eastAsia="Arial" w:hAnsi="Arial"/>
          <w:sz w:val="14"/>
          <w:szCs w:val="14"/>
          <w:color w:val="auto"/>
        </w:rPr>
        <w:t>: $60,000.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Chairman Fee (in addition to the general service fee)</w:t>
      </w:r>
      <w:r>
        <w:rPr>
          <w:rFonts w:ascii="Arial" w:cs="Arial" w:eastAsia="Arial" w:hAnsi="Arial"/>
          <w:sz w:val="14"/>
          <w:szCs w:val="14"/>
          <w:color w:val="auto"/>
        </w:rPr>
        <w:t>: $200,000.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Committee Chair Service Fee (in addition to the general service fee)</w:t>
      </w:r>
      <w:r>
        <w:rPr>
          <w:rFonts w:ascii="Arial" w:cs="Arial" w:eastAsia="Arial" w:hAnsi="Arial"/>
          <w:sz w:val="14"/>
          <w:szCs w:val="14"/>
          <w:color w:val="auto"/>
        </w:rPr>
        <w:t>:</w:t>
      </w:r>
    </w:p>
    <w:p>
      <w:pPr>
        <w:spacing w:after="0" w:line="133" w:lineRule="exact"/>
        <w:rPr>
          <w:sz w:val="20"/>
          <w:szCs w:val="20"/>
          <w:color w:val="auto"/>
        </w:rPr>
      </w:pPr>
    </w:p>
    <w:p>
      <w:pPr>
        <w:ind w:left="260" w:hanging="256"/>
        <w:spacing w:after="0"/>
        <w:tabs>
          <w:tab w:leader="none" w:pos="2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Audit committee chair: $25,000</w:t>
      </w:r>
    </w:p>
    <w:p>
      <w:pPr>
        <w:spacing w:after="0" w:line="133" w:lineRule="exact"/>
        <w:rPr>
          <w:rFonts w:ascii="Arial" w:cs="Arial" w:eastAsia="Arial" w:hAnsi="Arial"/>
          <w:sz w:val="14"/>
          <w:szCs w:val="14"/>
          <w:color w:val="auto"/>
        </w:rPr>
      </w:pPr>
    </w:p>
    <w:p>
      <w:pPr>
        <w:ind w:left="260" w:hanging="256"/>
        <w:spacing w:after="0"/>
        <w:tabs>
          <w:tab w:leader="none" w:pos="260" w:val="left"/>
        </w:tabs>
        <w:numPr>
          <w:ilvl w:val="0"/>
          <w:numId w:val="103"/>
        </w:numPr>
        <w:rPr>
          <w:rFonts w:ascii="Times New Roman" w:cs="Times New Roman" w:eastAsia="Times New Roman" w:hAnsi="Times New Roman"/>
          <w:sz w:val="14"/>
          <w:szCs w:val="14"/>
          <w:color w:val="auto"/>
        </w:rPr>
      </w:pPr>
      <w:r>
        <w:rPr>
          <w:rFonts w:ascii="Arial" w:cs="Arial" w:eastAsia="Arial" w:hAnsi="Arial"/>
          <w:sz w:val="14"/>
          <w:szCs w:val="14"/>
          <w:color w:val="auto"/>
        </w:rPr>
        <w:t>Compensation committee chair: $20,000</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03"/>
        </w:numPr>
        <w:rPr>
          <w:rFonts w:ascii="Times New Roman" w:cs="Times New Roman" w:eastAsia="Times New Roman" w:hAnsi="Times New Roman"/>
          <w:sz w:val="14"/>
          <w:szCs w:val="14"/>
          <w:color w:val="auto"/>
        </w:rPr>
      </w:pPr>
      <w:r>
        <w:rPr>
          <w:rFonts w:ascii="Arial" w:cs="Arial" w:eastAsia="Arial" w:hAnsi="Arial"/>
          <w:sz w:val="14"/>
          <w:szCs w:val="14"/>
          <w:color w:val="auto"/>
        </w:rPr>
        <w:t>Nominating and corporate governance committee chair: $15,000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Committee Service Fee (in addition to the general service fee, but not in addition to Committee Chair Service Fee)</w:t>
      </w:r>
      <w:r>
        <w:rPr>
          <w:rFonts w:ascii="Arial" w:cs="Arial" w:eastAsia="Arial" w:hAnsi="Arial"/>
          <w:sz w:val="14"/>
          <w:szCs w:val="14"/>
          <w:color w:val="auto"/>
        </w:rPr>
        <w:t>:</w:t>
      </w:r>
    </w:p>
    <w:p>
      <w:pPr>
        <w:spacing w:after="0" w:line="133" w:lineRule="exact"/>
        <w:rPr>
          <w:sz w:val="20"/>
          <w:szCs w:val="20"/>
          <w:color w:val="auto"/>
        </w:rPr>
      </w:pPr>
    </w:p>
    <w:p>
      <w:pPr>
        <w:ind w:left="260" w:hanging="256"/>
        <w:spacing w:after="0"/>
        <w:tabs>
          <w:tab w:leader="none" w:pos="26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Audit committee: $10,000</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Compensation committee: $7,500</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Nominating and governance committee: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199</w:t>
      </w:r>
    </w:p>
    <w:p>
      <w:pPr>
        <w:sectPr>
          <w:pgSz w:w="11900" w:h="16838" w:orient="portrait"/>
          <w:cols w:equalWidth="0" w:num="1">
            <w:col w:w="11280"/>
          </w:cols>
          <w:pgMar w:left="300" w:top="209" w:right="319"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Compensation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Following the completion of this offering, each non-employee director will be entitled to receive certain equity awards as set forth below. All such equity awards will be granted under the 2025 Plan.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Annual Grant</w:t>
      </w:r>
      <w:r>
        <w:rPr>
          <w:rFonts w:ascii="Arial" w:cs="Arial" w:eastAsia="Arial" w:hAnsi="Arial"/>
          <w:sz w:val="14"/>
          <w:szCs w:val="14"/>
          <w:color w:val="auto"/>
        </w:rPr>
        <w:t>. On the date of each annual meeting of our stockholders that occurs following the completion of this offering, each non-employee director who has provided at least six</w:t>
      </w:r>
      <w:r>
        <w:rPr>
          <w:rFonts w:ascii="Arial" w:cs="Arial" w:eastAsia="Arial" w:hAnsi="Arial"/>
          <w:sz w:val="14"/>
          <w:szCs w:val="14"/>
          <w:i w:val="1"/>
          <w:iCs w:val="1"/>
          <w:color w:val="auto"/>
        </w:rPr>
        <w:t xml:space="preserve"> </w:t>
      </w:r>
      <w:r>
        <w:rPr>
          <w:rFonts w:ascii="Arial" w:cs="Arial" w:eastAsia="Arial" w:hAnsi="Arial"/>
          <w:sz w:val="14"/>
          <w:szCs w:val="14"/>
          <w:color w:val="auto"/>
        </w:rPr>
        <w:t>months of service as a non-employee director as of such date, is then-serving, and will continue to serve, on our board of directors will automatically be granted an annual award of a number of RSUs determined by dividing (i) $ 225,000 by (ii) by the average closing price of our common stock for the last completed full calendar month immediately prior to the month in which such annual meeting occurs, rounded down to the nearest whole share. The annual award will fully vest on the earliest to occur of (i) the date of the next annual meeting of our stockholders and (ii) the first anniversary of the grant date, in each case subject to the non-employee director’s continuous service through such date.</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Each non-employee director’s then-outstanding equity awards granted under the non-employee director compensation policy will become fully vested immediately prior to the closing of a change in control, subject to the non-employee director remaining in continuous service until such time.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200</w:t>
      </w:r>
    </w:p>
    <w:p>
      <w:pPr>
        <w:sectPr>
          <w:pgSz w:w="11900" w:h="16838" w:orient="portrait"/>
          <w:cols w:equalWidth="0" w:num="1">
            <w:col w:w="11280"/>
          </w:cols>
          <w:pgMar w:left="300" w:top="209" w:right="319" w:bottom="1440" w:gutter="0" w:footer="0" w:header="0"/>
        </w:sectPr>
      </w:pPr>
    </w:p>
    <w:bookmarkStart w:id="216" w:name="page217"/>
    <w:bookmarkEnd w:id="2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Our named executive officers, consisting of our principal executive officer and the next two most highly compensated executive officers who were serving as executive officers as of</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January 31, 2025, were:</w:t>
      </w:r>
    </w:p>
    <w:p>
      <w:pPr>
        <w:spacing w:after="0" w:line="119" w:lineRule="exact"/>
        <w:rPr>
          <w:sz w:val="20"/>
          <w:szCs w:val="20"/>
          <w:color w:val="auto"/>
        </w:rPr>
      </w:pPr>
    </w:p>
    <w:p>
      <w:pPr>
        <w:ind w:left="500" w:hanging="244"/>
        <w:spacing w:after="0"/>
        <w:tabs>
          <w:tab w:leader="none" w:pos="5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David Fortunato, Chief Executive Officer;</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Kal Iyer, Vice President, Engineering;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Julien Wetterwald, Chief Technology Officer.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Compensation Table</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presents summary information regarding the total compensation for services rendered in all capacities that was awarded to, earned by, or paid to our named executive officers for the fiscal year ended January 31,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center"/>
              <w:ind w:left="544"/>
              <w:spacing w:after="0"/>
              <w:rPr>
                <w:sz w:val="20"/>
                <w:szCs w:val="20"/>
                <w:color w:val="auto"/>
              </w:rPr>
            </w:pPr>
            <w:r>
              <w:rPr>
                <w:rFonts w:ascii="Arial" w:cs="Arial" w:eastAsia="Arial" w:hAnsi="Arial"/>
                <w:sz w:val="11"/>
                <w:szCs w:val="11"/>
                <w:b w:val="1"/>
                <w:bCs w:val="1"/>
                <w:color w:val="auto"/>
              </w:rPr>
              <w:t>Salary</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Stock Awards</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Non-Equity Incentive Plan</w:t>
            </w:r>
          </w:p>
        </w:tc>
        <w:tc>
          <w:tcPr>
            <w:tcW w:w="1560" w:type="dxa"/>
            <w:vAlign w:val="bottom"/>
            <w:vMerge w:val="restart"/>
          </w:tcPr>
          <w:p>
            <w:pPr>
              <w:jc w:val="right"/>
              <w:ind w:right="57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1"/>
        </w:trPr>
        <w:tc>
          <w:tcPr>
            <w:tcW w:w="3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Fiscal Year</w:t>
            </w:r>
          </w:p>
        </w:tc>
        <w:tc>
          <w:tcPr>
            <w:tcW w:w="9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660" w:type="dxa"/>
            <w:vAlign w:val="bottom"/>
            <w:gridSpan w:val="2"/>
          </w:tcPr>
          <w:p>
            <w:pPr>
              <w:jc w:val="center"/>
              <w:ind w:right="80"/>
              <w:spacing w:after="0" w:line="112" w:lineRule="exact"/>
              <w:rPr>
                <w:sz w:val="20"/>
                <w:szCs w:val="20"/>
                <w:color w:val="auto"/>
              </w:rPr>
            </w:pPr>
            <w:r>
              <w:rPr>
                <w:rFonts w:ascii="Arial" w:cs="Arial" w:eastAsia="Arial" w:hAnsi="Arial"/>
                <w:sz w:val="11"/>
                <w:szCs w:val="11"/>
                <w:b w:val="1"/>
                <w:bCs w:val="1"/>
                <w:color w:val="auto"/>
              </w:rPr>
              <w:t>Compensation</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6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tcPr>
          <w:p>
            <w:pPr>
              <w:jc w:val="right"/>
              <w:ind w:right="64"/>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ind w:right="596"/>
              <w:spacing w:after="0" w:line="14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(1)</w:t>
            </w:r>
          </w:p>
        </w:tc>
        <w:tc>
          <w:tcPr>
            <w:tcW w:w="80" w:type="dxa"/>
            <w:vAlign w:val="bottom"/>
          </w:tcPr>
          <w:p>
            <w:pPr>
              <w:spacing w:after="0"/>
              <w:rPr>
                <w:sz w:val="12"/>
                <w:szCs w:val="12"/>
                <w:color w:val="auto"/>
              </w:rPr>
            </w:pPr>
          </w:p>
        </w:tc>
        <w:tc>
          <w:tcPr>
            <w:tcW w:w="1580" w:type="dxa"/>
            <w:vAlign w:val="bottom"/>
          </w:tcPr>
          <w:p>
            <w:pPr>
              <w:jc w:val="center"/>
              <w:spacing w:after="0" w:line="147" w:lineRule="exact"/>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(2)</w:t>
            </w:r>
          </w:p>
        </w:tc>
        <w:tc>
          <w:tcPr>
            <w:tcW w:w="80" w:type="dxa"/>
            <w:vAlign w:val="bottom"/>
          </w:tcPr>
          <w:p>
            <w:pPr>
              <w:spacing w:after="0"/>
              <w:rPr>
                <w:sz w:val="12"/>
                <w:szCs w:val="12"/>
                <w:color w:val="auto"/>
              </w:rPr>
            </w:pPr>
          </w:p>
        </w:tc>
        <w:tc>
          <w:tcPr>
            <w:tcW w:w="1560" w:type="dxa"/>
            <w:vAlign w:val="bottom"/>
          </w:tcPr>
          <w:p>
            <w:pPr>
              <w:jc w:val="right"/>
              <w:ind w:right="65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xml:space="preserve">David Fortunato, </w:t>
            </w:r>
            <w:r>
              <w:rPr>
                <w:rFonts w:ascii="Arial" w:cs="Arial" w:eastAsia="Arial" w:hAnsi="Arial"/>
                <w:sz w:val="14"/>
                <w:szCs w:val="14"/>
                <w:i w:val="1"/>
                <w:iCs w:val="1"/>
                <w:color w:val="auto"/>
              </w:rPr>
              <w:t>Chief Executive Officer</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2025</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495,000</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14,339,938</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153,181</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14,988,119</w:t>
            </w:r>
          </w:p>
        </w:tc>
        <w:tc>
          <w:tcPr>
            <w:tcW w:w="0" w:type="dxa"/>
            <w:vAlign w:val="bottom"/>
          </w:tcPr>
          <w:p>
            <w:pPr>
              <w:spacing w:after="0"/>
              <w:rPr>
                <w:sz w:val="1"/>
                <w:szCs w:val="1"/>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 xml:space="preserve">Kal Iyer, </w:t>
            </w:r>
            <w:r>
              <w:rPr>
                <w:rFonts w:ascii="Arial" w:cs="Arial" w:eastAsia="Arial" w:hAnsi="Arial"/>
                <w:sz w:val="14"/>
                <w:szCs w:val="14"/>
                <w:i w:val="1"/>
                <w:iCs w:val="1"/>
                <w:color w:val="auto"/>
              </w:rPr>
              <w:t>Vice President, Engineering</w:t>
            </w:r>
          </w:p>
        </w:tc>
        <w:tc>
          <w:tcPr>
            <w:tcW w:w="1080" w:type="dxa"/>
            <w:vAlign w:val="bottom"/>
          </w:tcPr>
          <w:p>
            <w:pPr>
              <w:jc w:val="center"/>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426,750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4,698,798</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99,636</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5,225,184</w:t>
            </w:r>
          </w:p>
        </w:tc>
        <w:tc>
          <w:tcPr>
            <w:tcW w:w="0" w:type="dxa"/>
            <w:vAlign w:val="bottom"/>
          </w:tcPr>
          <w:p>
            <w:pPr>
              <w:spacing w:after="0"/>
              <w:rPr>
                <w:sz w:val="1"/>
                <w:szCs w:val="1"/>
                <w:color w:val="auto"/>
              </w:rPr>
            </w:pPr>
          </w:p>
        </w:tc>
      </w:tr>
      <w:tr>
        <w:trPr>
          <w:trHeight w:val="17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Julien Wetterwald, </w:t>
            </w:r>
            <w:r>
              <w:rPr>
                <w:rFonts w:ascii="Arial" w:cs="Arial" w:eastAsia="Arial" w:hAnsi="Arial"/>
                <w:sz w:val="14"/>
                <w:szCs w:val="14"/>
                <w:i w:val="1"/>
                <w:iCs w:val="1"/>
                <w:color w:val="auto"/>
              </w:rPr>
              <w:t>Chief Technology Officer</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418,750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4,698,798</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97,760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5,215,308</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jc w:val="both"/>
        <w:ind w:left="260" w:hanging="256"/>
        <w:spacing w:after="0" w:line="242" w:lineRule="auto"/>
        <w:tabs>
          <w:tab w:leader="none" w:pos="25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Each named executive officer was granted a RSU award that was subject to both a service-based component and a liquidity-based component. As of the applicable grant date, we had not recognized stock-based compensation expense for these awards because satisfaction of the liquidity-based component was not deemed probable. The amounts presented represent the aggregate grant-date fair value of the RSU awards for each of Messrs. Fortunato, Iyer, and Wetterwald for the fiscal year ended January 31, 2025, computed in accordance with ASC Topic 718, based on satisfaction of the liquidity-based component in connection with this offering. The assumptions used in calculating the grant-date fair value of the awards are set forth in Note 12. — Stock-Based Compensation to our consolidated financial statements included in this prospectus. Such grant-date fair value does not take into account any estimated forfeitures related to service-based vesting conditions. The amounts reported in this column reflect the accounting cost for such awards and do not correspond to the actual economic value that may be received by the officers from these awards.</w:t>
      </w:r>
    </w:p>
    <w:p>
      <w:pPr>
        <w:spacing w:after="0" w:line="3" w:lineRule="exact"/>
        <w:rPr>
          <w:rFonts w:ascii="Arial" w:cs="Arial" w:eastAsia="Arial" w:hAnsi="Arial"/>
          <w:sz w:val="13"/>
          <w:szCs w:val="13"/>
          <w:color w:val="auto"/>
        </w:rPr>
      </w:pPr>
    </w:p>
    <w:p>
      <w:pPr>
        <w:ind w:left="260" w:hanging="256"/>
        <w:spacing w:after="0"/>
        <w:tabs>
          <w:tab w:leader="none" w:pos="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amounts presented represent performance bonuses based on the achievement of corporate and individual performance metrics set by our board of directors.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Narrative to Summary Compensation Table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 Salaries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named executive officers receive a base salary to provide a fixed component of compensation reflecting the executive’s skill set, experience, role, and responsibilities. As of January 31, 2025, the annual base salaries of our named executive officers were $495,000 for Mr. Fortunato, $426,750 for Mr. Iyer, and $418,750 for Mr. Wetterwald.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2025 Awards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April 2024, our board of directors, with participation by every independent member of the board, granted 1,266,900 RSUs to Mr. Fortunato. The RSUs vest based on the satisfaction of both a service-based vesting condition and a liquidity-based vesting condition. The liquidity-based vesting condition were not satisfied as to any of the RSUs as of January 31, 2025. The RSUs vest as to 1/16th of the total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201</w:t>
      </w:r>
    </w:p>
    <w:p>
      <w:pPr>
        <w:sectPr>
          <w:pgSz w:w="11900" w:h="16838" w:orient="portrait"/>
          <w:cols w:equalWidth="0" w:num="1">
            <w:col w:w="11280"/>
          </w:cols>
          <w:pgMar w:left="300" w:top="209" w:right="319" w:bottom="1440" w:gutter="0" w:footer="0" w:header="0"/>
        </w:sectPr>
      </w:pPr>
    </w:p>
    <w:bookmarkStart w:id="217" w:name="page218"/>
    <w:bookmarkEnd w:id="2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and may be settled for shares of common stock on each quarterly anniversary following March 15, 2024, the vesting commencement date, once the liquidity-based vesting condition has been satisfied and subject to Mr. Fortunato’s continued service with us as of each such date. The liquidity-based vesting condition will be satisfied upon completion of this offering.</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October 2024, our board of directors, with participation by every independent member of the board, granted 176,560 RSUs to Mr. Fortunato. The RSUs vest based on the satisfaction of both a service-based vesting condition and a liquidity-based vesting condition. The liquidity-based vesting condition was not satisfied as to any of the RSUs as of January 31, 2025. The service-based vesting condition was satisfied such that the entire award time-vested and became capable of being settled for shares of common stock on December 15, 2024, subject to the liquidity-based vesting condition being satisfied and subject to Mr. Fortunato’s continued service with us. The liquidity-based vesting condition will be satisfied upon completion of this offering.</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January 2025, our board of directors, with participation by every independent member of the board, granted RSUs to each of Messrs. Iyer and Wetterwald. Each of Messrs. Iyer and Wetterwald were granted 337,800 RSUs. The RSUs vest based on the satisfaction of both a service-based vesting condition and a liquidity-based vesting condition. The service-based vesting condition and liquidity-based vesting condition were not satisfied as to any of the RSUs as of January 31, 2025. The service-based vesting condition will be satisfied as to 1/16th of the total award on each quarterly anniversary following the vesting commencement date for each respective grant, which was December 15, 2024 for Mr. Wetterwald and March 15, 2025, for Mr. Iyer, and any RSUs for which the service-based vesting condition is satisfied may be settled for shares of common stock once the liquidity-based vesting condition has been satisfied and subject to Messrs. Iyer and Wetterwald’s continued service with us as of each such date. The liquidity-based vesting condition will be satisfied upon completion of this offering.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Non-Equity Incentive Plan Compensation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Messrs. Fortunato, Iyer, and Wetterwald participated in our discretionary executive performance bonus program which awards cash compensation based on, among other factors, the achievement of certain company performance metrics (for calendar year 2024, the metrics used under our executive performance bonus program were revenue and EBITDA). All payments under our executive performance bonus program are discretionary and are made (to the extent we determine to pay bonuses) in two installments, generally in mid to late July and late January of each year. Amounts earned by Messrs. Fortunato, Iyer, and Wetterwald for fiscal 2025 under the executive performance bonus program are set forth in the Summary Compensation Table above in the “Non-Equity Incentive Plan Compensation” column.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Elements of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Welfare and Other Benefits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provide health, dental, vision, life, and disability insurance benefits to our named executive officers, on the same terms and conditions as provided to all other eligible U.S.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employees.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sponsor a broad-based 401(k) plan intended to provide eligible U.S. employees with an opportunity to defer eligible compensation up to certain annual limits. As a tax-qualified retirement plan, contributions (if any) made by us are deductible by us when made, and contributions and earnings on those amounts are generally not taxable to the employees until withdrawn or distributed from the 401(k) plan. Our named executive officers are eligible to participate in our employee benefit plans, including our 401(k) plan, on the same basis as our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w:t>
      </w:r>
    </w:p>
    <w:p>
      <w:pPr>
        <w:sectPr>
          <w:pgSz w:w="11900" w:h="16838" w:orient="portrait"/>
          <w:cols w:equalWidth="0" w:num="1">
            <w:col w:w="11280"/>
          </w:cols>
          <w:pgMar w:left="300" w:top="209" w:right="319" w:bottom="1440" w:gutter="0" w:footer="0" w:header="0"/>
        </w:sectPr>
      </w:pPr>
    </w:p>
    <w:bookmarkStart w:id="218" w:name="page219"/>
    <w:bookmarkEnd w:id="2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auto"/>
        </w:rPr>
        <w:t>Outstanding Equity Awards at Fiscal 2025 Year-End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for each of our named executive officers, information regarding outstanding equity awards held as of January 31, 2025.</w:t>
      </w:r>
    </w:p>
    <w:p>
      <w:pPr>
        <w:sectPr>
          <w:pgSz w:w="11900" w:h="16838" w:orient="portrait"/>
          <w:cols w:equalWidth="0" w:num="1">
            <w:col w:w="11280"/>
          </w:cols>
          <w:pgMar w:left="300" w:top="209" w:right="31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8"/>
          <w:szCs w:val="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1121410" cy="1815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21410" cy="181546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1"/>
          <w:szCs w:val="11"/>
          <w:color w:val="auto"/>
        </w:rPr>
        <w:t>David Fortunato</w:t>
      </w:r>
    </w:p>
    <w:p>
      <w:pPr>
        <w:ind w:left="20"/>
        <w:spacing w:after="0"/>
        <w:rPr>
          <w:sz w:val="20"/>
          <w:szCs w:val="20"/>
          <w:color w:val="auto"/>
        </w:rPr>
      </w:pPr>
      <w:r>
        <w:rPr>
          <w:rFonts w:ascii="Arial" w:cs="Arial" w:eastAsia="Arial" w:hAnsi="Arial"/>
          <w:sz w:val="11"/>
          <w:szCs w:val="11"/>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right="20"/>
        <w:spacing w:after="0" w:line="259" w:lineRule="auto"/>
        <w:rPr>
          <w:sz w:val="20"/>
          <w:szCs w:val="20"/>
          <w:color w:val="auto"/>
        </w:rPr>
      </w:pPr>
      <w:r>
        <w:rPr>
          <w:rFonts w:ascii="Arial" w:cs="Arial" w:eastAsia="Arial" w:hAnsi="Arial"/>
          <w:sz w:val="11"/>
          <w:szCs w:val="11"/>
          <w:color w:val="auto"/>
        </w:rPr>
        <w:t xml:space="preserve">Kal Iyer, Vice </w:t>
      </w:r>
      <w:r>
        <w:rPr>
          <w:rFonts w:ascii="Arial" w:cs="Arial" w:eastAsia="Arial" w:hAnsi="Arial"/>
          <w:sz w:val="11"/>
          <w:szCs w:val="11"/>
          <w:i w:val="1"/>
          <w:iCs w:val="1"/>
          <w:color w:val="auto"/>
        </w:rPr>
        <w:t>President,</w:t>
      </w:r>
      <w:r>
        <w:rPr>
          <w:rFonts w:ascii="Arial" w:cs="Arial" w:eastAsia="Arial" w:hAnsi="Arial"/>
          <w:sz w:val="11"/>
          <w:szCs w:val="11"/>
          <w:color w:val="auto"/>
        </w:rPr>
        <w:t xml:space="preserve"> </w:t>
      </w:r>
      <w:r>
        <w:rPr>
          <w:rFonts w:ascii="Arial" w:cs="Arial" w:eastAsia="Arial" w:hAnsi="Arial"/>
          <w:sz w:val="11"/>
          <w:szCs w:val="11"/>
          <w:i w:val="1"/>
          <w:iCs w:val="1"/>
          <w:color w:val="auto"/>
        </w:rPr>
        <w:t>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678180</wp:posOffset>
            </wp:positionV>
            <wp:extent cx="1121410" cy="128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2141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line="259" w:lineRule="auto"/>
        <w:rPr>
          <w:sz w:val="20"/>
          <w:szCs w:val="20"/>
          <w:color w:val="auto"/>
        </w:rPr>
      </w:pPr>
      <w:r>
        <w:rPr>
          <w:rFonts w:ascii="Arial" w:cs="Arial" w:eastAsia="Arial" w:hAnsi="Arial"/>
          <w:sz w:val="11"/>
          <w:szCs w:val="11"/>
          <w:color w:val="auto"/>
        </w:rPr>
        <w:t xml:space="preserve">Julien Wetterwald, </w:t>
      </w:r>
      <w:r>
        <w:rPr>
          <w:rFonts w:ascii="Arial" w:cs="Arial" w:eastAsia="Arial" w:hAnsi="Arial"/>
          <w:sz w:val="11"/>
          <w:szCs w:val="11"/>
          <w:i w:val="1"/>
          <w:iCs w:val="1"/>
          <w:color w:val="auto"/>
        </w:rPr>
        <w:t>Chief</w:t>
      </w:r>
      <w:r>
        <w:rPr>
          <w:rFonts w:ascii="Arial" w:cs="Arial" w:eastAsia="Arial" w:hAnsi="Arial"/>
          <w:sz w:val="11"/>
          <w:szCs w:val="11"/>
          <w:color w:val="auto"/>
        </w:rPr>
        <w:t xml:space="preserve"> </w:t>
      </w:r>
      <w:r>
        <w:rPr>
          <w:rFonts w:ascii="Arial" w:cs="Arial" w:eastAsia="Arial" w:hAnsi="Arial"/>
          <w:sz w:val="11"/>
          <w:szCs w:val="11"/>
          <w:i w:val="1"/>
          <w:iCs w:val="1"/>
          <w:color w:val="auto"/>
        </w:rPr>
        <w:t>Technology Officer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0"/>
                <w:szCs w:val="10"/>
                <w:b w:val="1"/>
                <w:bCs w:val="1"/>
                <w:color w:val="auto"/>
              </w:rPr>
              <w:t>Option Awards</w:t>
            </w:r>
            <w:r>
              <w:rPr>
                <w:rFonts w:ascii="Arial" w:cs="Arial" w:eastAsia="Arial" w:hAnsi="Arial"/>
                <w:sz w:val="12"/>
                <w:szCs w:val="12"/>
                <w:b w:val="1"/>
                <w:bCs w:val="1"/>
                <w:color w:val="auto"/>
                <w:vertAlign w:val="superscript"/>
              </w:rPr>
              <w:t>(1)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Borders>
              <w:bottom w:val="single" w:sz="8" w:color="auto"/>
            </w:tcBorders>
            <w:gridSpan w:val="2"/>
          </w:tcPr>
          <w:p>
            <w:pPr>
              <w:jc w:val="right"/>
              <w:ind w:right="785"/>
              <w:spacing w:after="0"/>
              <w:rPr>
                <w:sz w:val="20"/>
                <w:szCs w:val="20"/>
                <w:color w:val="auto"/>
              </w:rPr>
            </w:pPr>
            <w:r>
              <w:rPr>
                <w:rFonts w:ascii="Arial" w:cs="Arial" w:eastAsia="Arial" w:hAnsi="Arial"/>
                <w:sz w:val="10"/>
                <w:szCs w:val="10"/>
                <w:b w:val="1"/>
                <w:bCs w:val="1"/>
                <w:color w:val="auto"/>
              </w:rPr>
              <w:t>Stock Awards</w:t>
            </w:r>
            <w:r>
              <w:rPr>
                <w:rFonts w:ascii="Arial" w:cs="Arial" w:eastAsia="Arial" w:hAnsi="Arial"/>
                <w:sz w:val="12"/>
                <w:szCs w:val="12"/>
                <w:b w:val="1"/>
                <w:bCs w:val="1"/>
                <w:color w:val="auto"/>
                <w:vertAlign w:val="superscript"/>
              </w:rPr>
              <w:t>(1)</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Number of Securities</w:t>
            </w:r>
          </w:p>
        </w:tc>
        <w:tc>
          <w:tcPr>
            <w:tcW w:w="80" w:type="dxa"/>
            <w:vAlign w:val="bottom"/>
          </w:tcPr>
          <w:p>
            <w:pPr>
              <w:spacing w:after="0"/>
              <w:rPr>
                <w:sz w:val="6"/>
                <w:szCs w:val="6"/>
                <w:color w:val="auto"/>
              </w:rPr>
            </w:pPr>
          </w:p>
        </w:tc>
        <w:tc>
          <w:tcPr>
            <w:tcW w:w="106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Number of Securities</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Number of Shares of Stock</w:t>
            </w: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Underlying Unexercised</w:t>
            </w:r>
          </w:p>
        </w:tc>
        <w:tc>
          <w:tcPr>
            <w:tcW w:w="80" w:type="dxa"/>
            <w:vAlign w:val="bottom"/>
          </w:tcPr>
          <w:p>
            <w:pPr>
              <w:spacing w:after="0"/>
              <w:rPr>
                <w:sz w:val="7"/>
                <w:szCs w:val="7"/>
                <w:color w:val="auto"/>
              </w:rPr>
            </w:pPr>
          </w:p>
        </w:tc>
        <w:tc>
          <w:tcPr>
            <w:tcW w:w="10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Underlying Unexercised</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Option Exercise Price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Market Value of Shares That</w:t>
            </w: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12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Vesting Commencement Date</w:t>
            </w:r>
          </w:p>
        </w:tc>
        <w:tc>
          <w:tcPr>
            <w:tcW w:w="80" w:type="dxa"/>
            <w:vAlign w:val="bottom"/>
          </w:tcPr>
          <w:p>
            <w:pPr>
              <w:spacing w:after="0"/>
              <w:rPr>
                <w:sz w:val="7"/>
                <w:szCs w:val="7"/>
                <w:color w:val="auto"/>
              </w:rPr>
            </w:pPr>
          </w:p>
        </w:tc>
        <w:tc>
          <w:tcPr>
            <w:tcW w:w="1160" w:type="dxa"/>
            <w:vAlign w:val="bottom"/>
            <w:vMerge w:val="restart"/>
          </w:tcPr>
          <w:p>
            <w:pPr>
              <w:jc w:val="right"/>
              <w:ind w:right="305"/>
              <w:spacing w:after="0"/>
              <w:rPr>
                <w:sz w:val="20"/>
                <w:szCs w:val="20"/>
                <w:color w:val="auto"/>
              </w:rPr>
            </w:pPr>
            <w:r>
              <w:rPr>
                <w:rFonts w:ascii="Arial" w:cs="Arial" w:eastAsia="Arial" w:hAnsi="Arial"/>
                <w:sz w:val="8"/>
                <w:szCs w:val="8"/>
                <w:b w:val="1"/>
                <w:bCs w:val="1"/>
                <w:color w:val="auto"/>
              </w:rPr>
              <w:t>Grant Date</w:t>
            </w:r>
          </w:p>
        </w:tc>
        <w:tc>
          <w:tcPr>
            <w:tcW w:w="80" w:type="dxa"/>
            <w:vAlign w:val="bottom"/>
          </w:tcPr>
          <w:p>
            <w:pPr>
              <w:spacing w:after="0"/>
              <w:rPr>
                <w:sz w:val="7"/>
                <w:szCs w:val="7"/>
                <w:color w:val="auto"/>
              </w:rPr>
            </w:pPr>
          </w:p>
        </w:tc>
        <w:tc>
          <w:tcPr>
            <w:tcW w:w="108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Options</w:t>
            </w:r>
          </w:p>
        </w:tc>
        <w:tc>
          <w:tcPr>
            <w:tcW w:w="80" w:type="dxa"/>
            <w:vAlign w:val="bottom"/>
          </w:tcPr>
          <w:p>
            <w:pPr>
              <w:spacing w:after="0"/>
              <w:rPr>
                <w:sz w:val="7"/>
                <w:szCs w:val="7"/>
                <w:color w:val="auto"/>
              </w:rPr>
            </w:pPr>
          </w:p>
        </w:tc>
        <w:tc>
          <w:tcPr>
            <w:tcW w:w="10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Options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restart"/>
          </w:tcPr>
          <w:p>
            <w:pPr>
              <w:jc w:val="right"/>
              <w:ind w:right="65"/>
              <w:spacing w:after="0"/>
              <w:rPr>
                <w:sz w:val="20"/>
                <w:szCs w:val="20"/>
                <w:color w:val="auto"/>
              </w:rPr>
            </w:pPr>
            <w:r>
              <w:rPr>
                <w:rFonts w:ascii="Arial" w:cs="Arial" w:eastAsia="Arial" w:hAnsi="Arial"/>
                <w:sz w:val="8"/>
                <w:szCs w:val="8"/>
                <w:b w:val="1"/>
                <w:bCs w:val="1"/>
                <w:color w:val="auto"/>
              </w:rPr>
              <w:t>Option Expiration Date</w:t>
            </w:r>
          </w:p>
        </w:tc>
        <w:tc>
          <w:tcPr>
            <w:tcW w:w="80" w:type="dxa"/>
            <w:vAlign w:val="bottom"/>
          </w:tcPr>
          <w:p>
            <w:pPr>
              <w:spacing w:after="0"/>
              <w:rPr>
                <w:sz w:val="7"/>
                <w:szCs w:val="7"/>
                <w:color w:val="auto"/>
              </w:rPr>
            </w:pPr>
          </w:p>
        </w:tc>
        <w:tc>
          <w:tcPr>
            <w:tcW w:w="120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That Have Not Vested</w:t>
            </w: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 Exercisable</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 Unexercisable</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8"/>
                <w:szCs w:val="8"/>
                <w:b w:val="1"/>
                <w:bCs w:val="1"/>
                <w:color w:val="auto"/>
              </w:rPr>
              <w:t>($)</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w:t>
            </w:r>
          </w:p>
        </w:tc>
        <w:tc>
          <w:tcPr>
            <w:tcW w:w="1200" w:type="dxa"/>
            <w:vAlign w:val="bottom"/>
            <w:tcBorders>
              <w:bottom w:val="single" w:sz="8" w:color="auto"/>
            </w:tcBorders>
          </w:tcPr>
          <w:p>
            <w:pPr>
              <w:jc w:val="right"/>
              <w:ind w:right="125"/>
              <w:spacing w:after="0"/>
              <w:rPr>
                <w:sz w:val="20"/>
                <w:szCs w:val="20"/>
                <w:color w:val="auto"/>
              </w:rPr>
            </w:pPr>
            <w:r>
              <w:rPr>
                <w:rFonts w:ascii="Arial" w:cs="Arial" w:eastAsia="Arial" w:hAnsi="Arial"/>
                <w:sz w:val="8"/>
                <w:szCs w:val="8"/>
                <w:b w:val="1"/>
                <w:bCs w:val="1"/>
                <w:color w:val="auto"/>
              </w:rPr>
              <w:t>Have Not Vested ($)</w:t>
            </w:r>
            <w:r>
              <w:rPr>
                <w:rFonts w:ascii="Arial" w:cs="Arial" w:eastAsia="Arial" w:hAnsi="Arial"/>
                <w:sz w:val="10"/>
                <w:szCs w:val="10"/>
                <w:b w:val="1"/>
                <w:bCs w:val="1"/>
                <w:color w:val="auto"/>
                <w:vertAlign w:val="superscript"/>
              </w:rPr>
              <w:t>(2)</w:t>
            </w:r>
          </w:p>
        </w:tc>
        <w:tc>
          <w:tcPr>
            <w:tcW w:w="0" w:type="dxa"/>
            <w:vAlign w:val="bottom"/>
          </w:tcPr>
          <w:p>
            <w:pPr>
              <w:spacing w:after="0"/>
              <w:rPr>
                <w:sz w:val="1"/>
                <w:szCs w:val="1"/>
                <w:color w:val="auto"/>
              </w:rPr>
            </w:pPr>
          </w:p>
        </w:tc>
      </w:tr>
      <w:tr>
        <w:trPr>
          <w:trHeight w:val="148"/>
        </w:trPr>
        <w:tc>
          <w:tcPr>
            <w:tcW w:w="13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5/23/2015</w:t>
            </w:r>
            <w:r>
              <w:rPr>
                <w:rFonts w:ascii="Arial" w:cs="Arial" w:eastAsia="Arial" w:hAnsi="Arial"/>
                <w:sz w:val="14"/>
                <w:szCs w:val="14"/>
                <w:color w:val="auto"/>
                <w:vertAlign w:val="superscript"/>
              </w:rPr>
              <w:t>(3)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6/9/2015</w:t>
            </w:r>
          </w:p>
        </w:tc>
        <w:tc>
          <w:tcPr>
            <w:tcW w:w="1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171,600</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6/8/2025</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5/23/2016</w:t>
            </w:r>
            <w:r>
              <w:rPr>
                <w:rFonts w:ascii="Arial" w:cs="Arial" w:eastAsia="Arial" w:hAnsi="Arial"/>
                <w:sz w:val="14"/>
                <w:szCs w:val="14"/>
                <w:color w:val="auto"/>
                <w:vertAlign w:val="superscript"/>
              </w:rPr>
              <w:t>(4)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5/27/2016</w:t>
            </w:r>
          </w:p>
        </w:tc>
        <w:tc>
          <w:tcPr>
            <w:tcW w:w="1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220,000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5/26/2026</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5/17/2017</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10/18/2017</w:t>
            </w:r>
          </w:p>
        </w:tc>
        <w:tc>
          <w:tcPr>
            <w:tcW w:w="1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242,000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10/17/2027</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12/27/2017</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2/14/2018</w:t>
            </w:r>
          </w:p>
        </w:tc>
        <w:tc>
          <w:tcPr>
            <w:tcW w:w="1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186,442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2/13/2028</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5/23/2018</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8/23/2018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632,000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8/22/2028</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5/14/2019</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5/14/2019</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1,387,030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5/13/2029</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10/15/2020</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8/27/2020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2,900,000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8/26/2030</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line="168"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7"/>
                <w:szCs w:val="7"/>
                <w:color w:val="auto"/>
              </w:rPr>
              <w:t xml:space="preserve"> (5)</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4/18/2021</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9,698</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136,160</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12/15/2022</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52,130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731,905</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3/15/2022</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208,519</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2,927,607</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12/15/2022</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43,750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614,250</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9/15/2022</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175,000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2,457,000</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3/15/2023</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1/25/2023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599,200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8,412,768</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3/15/2023</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5/5/2023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1,223,400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17,176,536</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9/15/2023</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8/4/2023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253,521</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3,559,435</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3/15/2024</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4/22/2024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1,266,900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17,787,276</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12/15/2024</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10/21/2024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176,560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2,478,902</w:t>
            </w:r>
          </w:p>
        </w:tc>
        <w:tc>
          <w:tcPr>
            <w:tcW w:w="0" w:type="dxa"/>
            <w:vAlign w:val="bottom"/>
          </w:tcPr>
          <w:p>
            <w:pPr>
              <w:spacing w:after="0"/>
              <w:rPr>
                <w:sz w:val="1"/>
                <w:szCs w:val="1"/>
                <w:color w:val="auto"/>
              </w:rPr>
            </w:pPr>
          </w:p>
        </w:tc>
      </w:tr>
      <w:tr>
        <w:trPr>
          <w:trHeight w:val="180"/>
        </w:trPr>
        <w:tc>
          <w:tcPr>
            <w:tcW w:w="1320" w:type="dxa"/>
            <w:vAlign w:val="bottom"/>
            <w:gridSpan w:val="2"/>
          </w:tcPr>
          <w:p>
            <w:pPr>
              <w:jc w:val="right"/>
              <w:spacing w:after="0"/>
              <w:rPr>
                <w:sz w:val="20"/>
                <w:szCs w:val="20"/>
                <w:color w:val="auto"/>
              </w:rPr>
            </w:pPr>
            <w:r>
              <w:rPr>
                <w:rFonts w:ascii="Arial" w:cs="Arial" w:eastAsia="Arial" w:hAnsi="Arial"/>
                <w:sz w:val="11"/>
                <w:szCs w:val="11"/>
                <w:color w:val="auto"/>
              </w:rPr>
              <w:t>6/25/2018</w:t>
            </w:r>
            <w:r>
              <w:rPr>
                <w:rFonts w:ascii="Arial" w:cs="Arial" w:eastAsia="Arial" w:hAnsi="Arial"/>
                <w:sz w:val="14"/>
                <w:szCs w:val="14"/>
                <w:color w:val="auto"/>
                <w:vertAlign w:val="superscript"/>
              </w:rPr>
              <w:t>(4)</w:t>
            </w:r>
          </w:p>
        </w:tc>
        <w:tc>
          <w:tcPr>
            <w:tcW w:w="1240" w:type="dxa"/>
            <w:vAlign w:val="bottom"/>
            <w:gridSpan w:val="2"/>
          </w:tcPr>
          <w:p>
            <w:pPr>
              <w:jc w:val="right"/>
              <w:spacing w:after="0"/>
              <w:rPr>
                <w:sz w:val="20"/>
                <w:szCs w:val="20"/>
                <w:color w:val="auto"/>
              </w:rPr>
            </w:pPr>
            <w:r>
              <w:rPr>
                <w:rFonts w:ascii="Arial" w:cs="Arial" w:eastAsia="Arial" w:hAnsi="Arial"/>
                <w:sz w:val="11"/>
                <w:szCs w:val="11"/>
                <w:color w:val="auto"/>
              </w:rPr>
              <w:t>8/23/2018</w:t>
            </w:r>
          </w:p>
        </w:tc>
        <w:tc>
          <w:tcPr>
            <w:tcW w:w="1160" w:type="dxa"/>
            <w:vAlign w:val="bottom"/>
            <w:gridSpan w:val="2"/>
          </w:tcPr>
          <w:p>
            <w:pPr>
              <w:jc w:val="right"/>
              <w:ind w:right="6"/>
              <w:spacing w:after="0"/>
              <w:rPr>
                <w:sz w:val="20"/>
                <w:szCs w:val="20"/>
                <w:color w:val="auto"/>
              </w:rPr>
            </w:pPr>
            <w:r>
              <w:rPr>
                <w:rFonts w:ascii="Arial" w:cs="Arial" w:eastAsia="Arial" w:hAnsi="Arial"/>
                <w:sz w:val="11"/>
                <w:szCs w:val="11"/>
                <w:color w:val="auto"/>
              </w:rPr>
              <w:t>1,012,000</w:t>
            </w:r>
          </w:p>
        </w:tc>
        <w:tc>
          <w:tcPr>
            <w:tcW w:w="80" w:type="dxa"/>
            <w:vAlign w:val="bottom"/>
          </w:tcPr>
          <w:p>
            <w:pPr>
              <w:spacing w:after="0"/>
              <w:rPr>
                <w:sz w:val="15"/>
                <w:szCs w:val="15"/>
                <w:color w:val="auto"/>
              </w:rPr>
            </w:pPr>
          </w:p>
        </w:tc>
        <w:tc>
          <w:tcPr>
            <w:tcW w:w="1060" w:type="dxa"/>
            <w:vAlign w:val="bottom"/>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spacing w:after="0"/>
              <w:rPr>
                <w:sz w:val="20"/>
                <w:szCs w:val="20"/>
                <w:color w:val="auto"/>
              </w:rPr>
            </w:pPr>
            <w:r>
              <w:rPr>
                <w:rFonts w:ascii="Arial" w:cs="Arial" w:eastAsia="Arial" w:hAnsi="Arial"/>
                <w:sz w:val="11"/>
                <w:szCs w:val="11"/>
                <w:color w:val="auto"/>
              </w:rPr>
              <w:t>1.79</w:t>
            </w:r>
          </w:p>
        </w:tc>
        <w:tc>
          <w:tcPr>
            <w:tcW w:w="1260" w:type="dxa"/>
            <w:vAlign w:val="bottom"/>
            <w:gridSpan w:val="3"/>
          </w:tcPr>
          <w:p>
            <w:pPr>
              <w:jc w:val="right"/>
              <w:spacing w:after="0"/>
              <w:rPr>
                <w:sz w:val="20"/>
                <w:szCs w:val="20"/>
                <w:color w:val="auto"/>
              </w:rPr>
            </w:pPr>
            <w:r>
              <w:rPr>
                <w:rFonts w:ascii="Arial" w:cs="Arial" w:eastAsia="Arial" w:hAnsi="Arial"/>
                <w:sz w:val="11"/>
                <w:szCs w:val="11"/>
                <w:color w:val="auto"/>
              </w:rPr>
              <w:t>8/22/2028</w:t>
            </w:r>
          </w:p>
        </w:tc>
        <w:tc>
          <w:tcPr>
            <w:tcW w:w="80" w:type="dxa"/>
            <w:vAlign w:val="bottom"/>
          </w:tcPr>
          <w:p>
            <w:pPr>
              <w:spacing w:after="0"/>
              <w:rPr>
                <w:sz w:val="15"/>
                <w:szCs w:val="15"/>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320" w:type="dxa"/>
            <w:vAlign w:val="bottom"/>
            <w:gridSpan w:val="2"/>
          </w:tcPr>
          <w:p>
            <w:pPr>
              <w:jc w:val="right"/>
              <w:spacing w:after="0"/>
              <w:rPr>
                <w:sz w:val="20"/>
                <w:szCs w:val="20"/>
                <w:color w:val="auto"/>
              </w:rPr>
            </w:pPr>
            <w:r>
              <w:rPr>
                <w:rFonts w:ascii="Arial" w:cs="Arial" w:eastAsia="Arial" w:hAnsi="Arial"/>
                <w:sz w:val="11"/>
                <w:szCs w:val="11"/>
                <w:color w:val="auto"/>
              </w:rPr>
              <w:t>12/25/2020</w:t>
            </w:r>
            <w:r>
              <w:rPr>
                <w:rFonts w:ascii="Arial" w:cs="Arial" w:eastAsia="Arial" w:hAnsi="Arial"/>
                <w:sz w:val="14"/>
                <w:szCs w:val="14"/>
                <w:color w:val="auto"/>
                <w:vertAlign w:val="superscript"/>
              </w:rPr>
              <w:t>(4)</w:t>
            </w:r>
          </w:p>
        </w:tc>
        <w:tc>
          <w:tcPr>
            <w:tcW w:w="1240" w:type="dxa"/>
            <w:vAlign w:val="bottom"/>
            <w:gridSpan w:val="2"/>
          </w:tcPr>
          <w:p>
            <w:pPr>
              <w:jc w:val="right"/>
              <w:spacing w:after="0"/>
              <w:rPr>
                <w:sz w:val="20"/>
                <w:szCs w:val="20"/>
                <w:color w:val="auto"/>
              </w:rPr>
            </w:pPr>
            <w:r>
              <w:rPr>
                <w:rFonts w:ascii="Arial" w:cs="Arial" w:eastAsia="Arial" w:hAnsi="Arial"/>
                <w:sz w:val="11"/>
                <w:szCs w:val="11"/>
                <w:color w:val="auto"/>
              </w:rPr>
              <w:t>1/15/2021</w:t>
            </w:r>
          </w:p>
        </w:tc>
        <w:tc>
          <w:tcPr>
            <w:tcW w:w="1160" w:type="dxa"/>
            <w:vAlign w:val="bottom"/>
            <w:gridSpan w:val="2"/>
          </w:tcPr>
          <w:p>
            <w:pPr>
              <w:jc w:val="right"/>
              <w:ind w:right="6"/>
              <w:spacing w:after="0"/>
              <w:rPr>
                <w:sz w:val="20"/>
                <w:szCs w:val="20"/>
                <w:color w:val="auto"/>
              </w:rPr>
            </w:pPr>
            <w:r>
              <w:rPr>
                <w:rFonts w:ascii="Arial" w:cs="Arial" w:eastAsia="Arial" w:hAnsi="Arial"/>
                <w:sz w:val="11"/>
                <w:szCs w:val="11"/>
                <w:color w:val="auto"/>
              </w:rPr>
              <w:t>136,966</w:t>
            </w:r>
          </w:p>
        </w:tc>
        <w:tc>
          <w:tcPr>
            <w:tcW w:w="8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spacing w:after="0"/>
              <w:rPr>
                <w:sz w:val="20"/>
                <w:szCs w:val="20"/>
                <w:color w:val="auto"/>
              </w:rPr>
            </w:pPr>
            <w:r>
              <w:rPr>
                <w:rFonts w:ascii="Arial" w:cs="Arial" w:eastAsia="Arial" w:hAnsi="Arial"/>
                <w:sz w:val="11"/>
                <w:szCs w:val="11"/>
                <w:color w:val="auto"/>
              </w:rPr>
              <w:t>1.39</w:t>
            </w:r>
          </w:p>
        </w:tc>
        <w:tc>
          <w:tcPr>
            <w:tcW w:w="1260" w:type="dxa"/>
            <w:vAlign w:val="bottom"/>
            <w:gridSpan w:val="3"/>
          </w:tcPr>
          <w:p>
            <w:pPr>
              <w:jc w:val="right"/>
              <w:spacing w:after="0"/>
              <w:rPr>
                <w:sz w:val="20"/>
                <w:szCs w:val="20"/>
                <w:color w:val="auto"/>
              </w:rPr>
            </w:pPr>
            <w:r>
              <w:rPr>
                <w:rFonts w:ascii="Arial" w:cs="Arial" w:eastAsia="Arial" w:hAnsi="Arial"/>
                <w:sz w:val="11"/>
                <w:szCs w:val="11"/>
                <w:color w:val="auto"/>
              </w:rPr>
              <w:t>1/14/2031</w:t>
            </w:r>
          </w:p>
        </w:tc>
        <w:tc>
          <w:tcPr>
            <w:tcW w:w="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320" w:type="dxa"/>
            <w:vAlign w:val="bottom"/>
            <w:gridSpan w:val="2"/>
          </w:tcPr>
          <w:p>
            <w:pPr>
              <w:jc w:val="right"/>
              <w:spacing w:after="0"/>
              <w:rPr>
                <w:sz w:val="20"/>
                <w:szCs w:val="20"/>
                <w:color w:val="auto"/>
              </w:rPr>
            </w:pPr>
            <w:r>
              <w:rPr>
                <w:rFonts w:ascii="Arial" w:cs="Arial" w:eastAsia="Arial" w:hAnsi="Arial"/>
                <w:sz w:val="11"/>
                <w:szCs w:val="11"/>
                <w:color w:val="auto"/>
              </w:rPr>
              <w:t>12/15/2022</w:t>
            </w:r>
            <w:r>
              <w:rPr>
                <w:rFonts w:ascii="Arial" w:cs="Arial" w:eastAsia="Arial" w:hAnsi="Arial"/>
                <w:sz w:val="14"/>
                <w:szCs w:val="14"/>
                <w:color w:val="auto"/>
                <w:vertAlign w:val="superscript"/>
              </w:rPr>
              <w:t>(6)</w:t>
            </w:r>
          </w:p>
        </w:tc>
        <w:tc>
          <w:tcPr>
            <w:tcW w:w="1240" w:type="dxa"/>
            <w:vAlign w:val="bottom"/>
            <w:gridSpan w:val="2"/>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6"/>
              <w:spacing w:after="0"/>
              <w:rPr>
                <w:sz w:val="20"/>
                <w:szCs w:val="20"/>
                <w:color w:val="auto"/>
              </w:rPr>
            </w:pPr>
            <w:r>
              <w:rPr>
                <w:rFonts w:ascii="Arial" w:cs="Arial" w:eastAsia="Arial" w:hAnsi="Arial"/>
                <w:sz w:val="11"/>
                <w:szCs w:val="11"/>
                <w:color w:val="auto"/>
              </w:rPr>
              <w:t>38,750</w:t>
            </w:r>
          </w:p>
        </w:tc>
        <w:tc>
          <w:tcPr>
            <w:tcW w:w="1200" w:type="dxa"/>
            <w:vAlign w:val="bottom"/>
          </w:tcPr>
          <w:p>
            <w:pPr>
              <w:jc w:val="right"/>
              <w:spacing w:after="0"/>
              <w:rPr>
                <w:sz w:val="20"/>
                <w:szCs w:val="20"/>
                <w:color w:val="auto"/>
              </w:rPr>
            </w:pPr>
            <w:r>
              <w:rPr>
                <w:rFonts w:ascii="Arial" w:cs="Arial" w:eastAsia="Arial" w:hAnsi="Arial"/>
                <w:sz w:val="11"/>
                <w:szCs w:val="11"/>
                <w:color w:val="auto"/>
              </w:rPr>
              <w:t>544,050</w:t>
            </w:r>
          </w:p>
        </w:tc>
        <w:tc>
          <w:tcPr>
            <w:tcW w:w="0" w:type="dxa"/>
            <w:vAlign w:val="bottom"/>
          </w:tcPr>
          <w:p>
            <w:pPr>
              <w:spacing w:after="0"/>
              <w:rPr>
                <w:sz w:val="1"/>
                <w:szCs w:val="1"/>
                <w:color w:val="auto"/>
              </w:rPr>
            </w:pPr>
          </w:p>
        </w:tc>
      </w:tr>
      <w:tr>
        <w:trPr>
          <w:trHeight w:val="168"/>
        </w:trPr>
        <w:tc>
          <w:tcPr>
            <w:tcW w:w="1320" w:type="dxa"/>
            <w:vAlign w:val="bottom"/>
            <w:gridSpan w:val="2"/>
          </w:tcPr>
          <w:p>
            <w:pPr>
              <w:jc w:val="right"/>
              <w:spacing w:after="0"/>
              <w:rPr>
                <w:sz w:val="20"/>
                <w:szCs w:val="20"/>
                <w:color w:val="auto"/>
              </w:rPr>
            </w:pPr>
            <w:r>
              <w:rPr>
                <w:rFonts w:ascii="Arial" w:cs="Arial" w:eastAsia="Arial" w:hAnsi="Arial"/>
                <w:sz w:val="11"/>
                <w:szCs w:val="11"/>
                <w:color w:val="auto"/>
              </w:rPr>
              <w:t>3/15/2022</w:t>
            </w:r>
            <w:r>
              <w:rPr>
                <w:rFonts w:ascii="Arial" w:cs="Arial" w:eastAsia="Arial" w:hAnsi="Arial"/>
                <w:sz w:val="14"/>
                <w:szCs w:val="14"/>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6"/>
              <w:spacing w:after="0"/>
              <w:rPr>
                <w:sz w:val="20"/>
                <w:szCs w:val="20"/>
                <w:color w:val="auto"/>
              </w:rPr>
            </w:pPr>
            <w:r>
              <w:rPr>
                <w:rFonts w:ascii="Arial" w:cs="Arial" w:eastAsia="Arial" w:hAnsi="Arial"/>
                <w:sz w:val="11"/>
                <w:szCs w:val="11"/>
                <w:color w:val="auto"/>
              </w:rPr>
              <w:t>155,000</w:t>
            </w:r>
          </w:p>
        </w:tc>
        <w:tc>
          <w:tcPr>
            <w:tcW w:w="1200" w:type="dxa"/>
            <w:vAlign w:val="bottom"/>
          </w:tcPr>
          <w:p>
            <w:pPr>
              <w:jc w:val="right"/>
              <w:spacing w:after="0"/>
              <w:rPr>
                <w:sz w:val="20"/>
                <w:szCs w:val="20"/>
                <w:color w:val="auto"/>
              </w:rPr>
            </w:pPr>
            <w:r>
              <w:rPr>
                <w:rFonts w:ascii="Arial" w:cs="Arial" w:eastAsia="Arial" w:hAnsi="Arial"/>
                <w:sz w:val="11"/>
                <w:szCs w:val="11"/>
                <w:color w:val="auto"/>
              </w:rPr>
              <w:t>2,176,200</w:t>
            </w:r>
          </w:p>
        </w:tc>
        <w:tc>
          <w:tcPr>
            <w:tcW w:w="0" w:type="dxa"/>
            <w:vAlign w:val="bottom"/>
          </w:tcPr>
          <w:p>
            <w:pPr>
              <w:spacing w:after="0"/>
              <w:rPr>
                <w:sz w:val="1"/>
                <w:szCs w:val="1"/>
                <w:color w:val="auto"/>
              </w:rPr>
            </w:pPr>
          </w:p>
        </w:tc>
      </w:tr>
      <w:tr>
        <w:trPr>
          <w:trHeight w:val="168"/>
        </w:trPr>
        <w:tc>
          <w:tcPr>
            <w:tcW w:w="1320" w:type="dxa"/>
            <w:vAlign w:val="bottom"/>
            <w:gridSpan w:val="2"/>
          </w:tcPr>
          <w:p>
            <w:pPr>
              <w:jc w:val="right"/>
              <w:spacing w:after="0"/>
              <w:rPr>
                <w:sz w:val="20"/>
                <w:szCs w:val="20"/>
                <w:color w:val="auto"/>
              </w:rPr>
            </w:pPr>
            <w:r>
              <w:rPr>
                <w:rFonts w:ascii="Arial" w:cs="Arial" w:eastAsia="Arial" w:hAnsi="Arial"/>
                <w:sz w:val="11"/>
                <w:szCs w:val="11"/>
                <w:color w:val="auto"/>
              </w:rPr>
              <w:t>12/15/2022</w:t>
            </w:r>
            <w:r>
              <w:rPr>
                <w:rFonts w:ascii="Arial" w:cs="Arial" w:eastAsia="Arial" w:hAnsi="Arial"/>
                <w:sz w:val="14"/>
                <w:szCs w:val="14"/>
                <w:color w:val="auto"/>
                <w:vertAlign w:val="superscript"/>
              </w:rPr>
              <w:t>(6)</w:t>
            </w:r>
          </w:p>
        </w:tc>
        <w:tc>
          <w:tcPr>
            <w:tcW w:w="1240" w:type="dxa"/>
            <w:vAlign w:val="bottom"/>
            <w:gridSpan w:val="2"/>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6"/>
              <w:spacing w:after="0"/>
              <w:rPr>
                <w:sz w:val="20"/>
                <w:szCs w:val="20"/>
                <w:color w:val="auto"/>
              </w:rPr>
            </w:pPr>
            <w:r>
              <w:rPr>
                <w:rFonts w:ascii="Arial" w:cs="Arial" w:eastAsia="Arial" w:hAnsi="Arial"/>
                <w:sz w:val="11"/>
                <w:szCs w:val="11"/>
                <w:color w:val="auto"/>
              </w:rPr>
              <w:t>57,035</w:t>
            </w:r>
          </w:p>
        </w:tc>
        <w:tc>
          <w:tcPr>
            <w:tcW w:w="1200" w:type="dxa"/>
            <w:vAlign w:val="bottom"/>
          </w:tcPr>
          <w:p>
            <w:pPr>
              <w:jc w:val="right"/>
              <w:spacing w:after="0"/>
              <w:rPr>
                <w:sz w:val="20"/>
                <w:szCs w:val="20"/>
                <w:color w:val="auto"/>
              </w:rPr>
            </w:pPr>
            <w:r>
              <w:rPr>
                <w:rFonts w:ascii="Arial" w:cs="Arial" w:eastAsia="Arial" w:hAnsi="Arial"/>
                <w:sz w:val="11"/>
                <w:szCs w:val="11"/>
                <w:color w:val="auto"/>
              </w:rPr>
              <w:t>800,771</w:t>
            </w:r>
          </w:p>
        </w:tc>
        <w:tc>
          <w:tcPr>
            <w:tcW w:w="0" w:type="dxa"/>
            <w:vAlign w:val="bottom"/>
          </w:tcPr>
          <w:p>
            <w:pPr>
              <w:spacing w:after="0"/>
              <w:rPr>
                <w:sz w:val="1"/>
                <w:szCs w:val="1"/>
                <w:color w:val="auto"/>
              </w:rPr>
            </w:pPr>
          </w:p>
        </w:tc>
      </w:tr>
      <w:tr>
        <w:trPr>
          <w:trHeight w:val="168"/>
        </w:trPr>
        <w:tc>
          <w:tcPr>
            <w:tcW w:w="1320" w:type="dxa"/>
            <w:vAlign w:val="bottom"/>
            <w:gridSpan w:val="2"/>
          </w:tcPr>
          <w:p>
            <w:pPr>
              <w:jc w:val="right"/>
              <w:spacing w:after="0"/>
              <w:rPr>
                <w:sz w:val="20"/>
                <w:szCs w:val="20"/>
                <w:color w:val="auto"/>
              </w:rPr>
            </w:pPr>
            <w:r>
              <w:rPr>
                <w:rFonts w:ascii="Arial" w:cs="Arial" w:eastAsia="Arial" w:hAnsi="Arial"/>
                <w:sz w:val="11"/>
                <w:szCs w:val="11"/>
                <w:color w:val="auto"/>
              </w:rPr>
              <w:t>3/15/2023</w:t>
            </w:r>
            <w:r>
              <w:rPr>
                <w:rFonts w:ascii="Arial" w:cs="Arial" w:eastAsia="Arial" w:hAnsi="Arial"/>
                <w:sz w:val="14"/>
                <w:szCs w:val="14"/>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1"/>
                <w:szCs w:val="11"/>
                <w:color w:val="auto"/>
              </w:rPr>
              <w:t>1/25/2023</w:t>
            </w:r>
          </w:p>
        </w:tc>
        <w:tc>
          <w:tcPr>
            <w:tcW w:w="8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6"/>
              <w:spacing w:after="0"/>
              <w:rPr>
                <w:sz w:val="20"/>
                <w:szCs w:val="20"/>
                <w:color w:val="auto"/>
              </w:rPr>
            </w:pPr>
            <w:r>
              <w:rPr>
                <w:rFonts w:ascii="Arial" w:cs="Arial" w:eastAsia="Arial" w:hAnsi="Arial"/>
                <w:sz w:val="11"/>
                <w:szCs w:val="11"/>
                <w:color w:val="auto"/>
              </w:rPr>
              <w:t>326,200</w:t>
            </w:r>
          </w:p>
        </w:tc>
        <w:tc>
          <w:tcPr>
            <w:tcW w:w="1200" w:type="dxa"/>
            <w:vAlign w:val="bottom"/>
          </w:tcPr>
          <w:p>
            <w:pPr>
              <w:jc w:val="right"/>
              <w:spacing w:after="0"/>
              <w:rPr>
                <w:sz w:val="20"/>
                <w:szCs w:val="20"/>
                <w:color w:val="auto"/>
              </w:rPr>
            </w:pPr>
            <w:r>
              <w:rPr>
                <w:rFonts w:ascii="Arial" w:cs="Arial" w:eastAsia="Arial" w:hAnsi="Arial"/>
                <w:sz w:val="11"/>
                <w:szCs w:val="11"/>
                <w:color w:val="auto"/>
              </w:rPr>
              <w:t>4,579,848</w:t>
            </w:r>
          </w:p>
        </w:tc>
        <w:tc>
          <w:tcPr>
            <w:tcW w:w="0" w:type="dxa"/>
            <w:vAlign w:val="bottom"/>
          </w:tcPr>
          <w:p>
            <w:pPr>
              <w:spacing w:after="0"/>
              <w:rPr>
                <w:sz w:val="1"/>
                <w:szCs w:val="1"/>
                <w:color w:val="auto"/>
              </w:rPr>
            </w:pPr>
          </w:p>
        </w:tc>
      </w:tr>
      <w:tr>
        <w:trPr>
          <w:trHeight w:val="168"/>
        </w:trPr>
        <w:tc>
          <w:tcPr>
            <w:tcW w:w="1320" w:type="dxa"/>
            <w:vAlign w:val="bottom"/>
            <w:gridSpan w:val="2"/>
          </w:tcPr>
          <w:p>
            <w:pPr>
              <w:jc w:val="right"/>
              <w:spacing w:after="0"/>
              <w:rPr>
                <w:sz w:val="20"/>
                <w:szCs w:val="20"/>
                <w:color w:val="auto"/>
              </w:rPr>
            </w:pPr>
            <w:r>
              <w:rPr>
                <w:rFonts w:ascii="Arial" w:cs="Arial" w:eastAsia="Arial" w:hAnsi="Arial"/>
                <w:sz w:val="11"/>
                <w:szCs w:val="11"/>
                <w:color w:val="auto"/>
              </w:rPr>
              <w:t>3/15/2024</w:t>
            </w:r>
            <w:r>
              <w:rPr>
                <w:rFonts w:ascii="Arial" w:cs="Arial" w:eastAsia="Arial" w:hAnsi="Arial"/>
                <w:sz w:val="14"/>
                <w:szCs w:val="14"/>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1"/>
                <w:szCs w:val="11"/>
                <w:color w:val="auto"/>
              </w:rPr>
              <w:t>12/15/2023</w:t>
            </w:r>
          </w:p>
        </w:tc>
        <w:tc>
          <w:tcPr>
            <w:tcW w:w="8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6"/>
              <w:spacing w:after="0"/>
              <w:rPr>
                <w:sz w:val="20"/>
                <w:szCs w:val="20"/>
                <w:color w:val="auto"/>
              </w:rPr>
            </w:pPr>
            <w:r>
              <w:rPr>
                <w:rFonts w:ascii="Arial" w:cs="Arial" w:eastAsia="Arial" w:hAnsi="Arial"/>
                <w:sz w:val="11"/>
                <w:szCs w:val="11"/>
                <w:color w:val="auto"/>
              </w:rPr>
              <w:t>326,200</w:t>
            </w:r>
          </w:p>
        </w:tc>
        <w:tc>
          <w:tcPr>
            <w:tcW w:w="1200" w:type="dxa"/>
            <w:vAlign w:val="bottom"/>
          </w:tcPr>
          <w:p>
            <w:pPr>
              <w:jc w:val="right"/>
              <w:spacing w:after="0"/>
              <w:rPr>
                <w:sz w:val="20"/>
                <w:szCs w:val="20"/>
                <w:color w:val="auto"/>
              </w:rPr>
            </w:pPr>
            <w:r>
              <w:rPr>
                <w:rFonts w:ascii="Arial" w:cs="Arial" w:eastAsia="Arial" w:hAnsi="Arial"/>
                <w:sz w:val="11"/>
                <w:szCs w:val="11"/>
                <w:color w:val="auto"/>
              </w:rPr>
              <w:t>4,579,848</w:t>
            </w:r>
          </w:p>
        </w:tc>
        <w:tc>
          <w:tcPr>
            <w:tcW w:w="0" w:type="dxa"/>
            <w:vAlign w:val="bottom"/>
          </w:tcPr>
          <w:p>
            <w:pPr>
              <w:spacing w:after="0"/>
              <w:rPr>
                <w:sz w:val="1"/>
                <w:szCs w:val="1"/>
                <w:color w:val="auto"/>
              </w:rPr>
            </w:pPr>
          </w:p>
        </w:tc>
      </w:tr>
      <w:tr>
        <w:trPr>
          <w:trHeight w:val="156"/>
        </w:trPr>
        <w:tc>
          <w:tcPr>
            <w:tcW w:w="132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3/15/2025</w:t>
            </w:r>
            <w:r>
              <w:rPr>
                <w:rFonts w:ascii="Arial" w:cs="Arial" w:eastAsia="Arial" w:hAnsi="Arial"/>
                <w:sz w:val="14"/>
                <w:szCs w:val="14"/>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1"/>
                <w:szCs w:val="11"/>
                <w:color w:val="auto"/>
              </w:rPr>
              <w:t>1/14/2025</w:t>
            </w:r>
          </w:p>
        </w:tc>
        <w:tc>
          <w:tcPr>
            <w:tcW w:w="80" w:type="dxa"/>
            <w:vAlign w:val="bottom"/>
          </w:tcPr>
          <w:p>
            <w:pPr>
              <w:spacing w:after="0"/>
              <w:rPr>
                <w:sz w:val="13"/>
                <w:szCs w:val="13"/>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tcPr>
          <w:p>
            <w:pPr>
              <w:ind w:left="9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6"/>
              <w:spacing w:after="0"/>
              <w:rPr>
                <w:sz w:val="20"/>
                <w:szCs w:val="20"/>
                <w:color w:val="auto"/>
              </w:rPr>
            </w:pPr>
            <w:r>
              <w:rPr>
                <w:rFonts w:ascii="Arial" w:cs="Arial" w:eastAsia="Arial" w:hAnsi="Arial"/>
                <w:sz w:val="11"/>
                <w:szCs w:val="11"/>
                <w:color w:val="auto"/>
              </w:rPr>
              <w:t>337,800</w:t>
            </w:r>
          </w:p>
        </w:tc>
        <w:tc>
          <w:tcPr>
            <w:tcW w:w="1200" w:type="dxa"/>
            <w:vAlign w:val="bottom"/>
          </w:tcPr>
          <w:p>
            <w:pPr>
              <w:jc w:val="right"/>
              <w:spacing w:after="0"/>
              <w:rPr>
                <w:sz w:val="20"/>
                <w:szCs w:val="20"/>
                <w:color w:val="auto"/>
              </w:rPr>
            </w:pPr>
            <w:r>
              <w:rPr>
                <w:rFonts w:ascii="Arial" w:cs="Arial" w:eastAsia="Arial" w:hAnsi="Arial"/>
                <w:sz w:val="11"/>
                <w:szCs w:val="11"/>
                <w:color w:val="auto"/>
              </w:rPr>
              <w:t>4,742,712</w:t>
            </w:r>
          </w:p>
        </w:tc>
        <w:tc>
          <w:tcPr>
            <w:tcW w:w="0" w:type="dxa"/>
            <w:vAlign w:val="bottom"/>
          </w:tcPr>
          <w:p>
            <w:pPr>
              <w:spacing w:after="0"/>
              <w:rPr>
                <w:sz w:val="1"/>
                <w:szCs w:val="1"/>
                <w:color w:val="auto"/>
              </w:rPr>
            </w:pPr>
          </w:p>
        </w:tc>
      </w:tr>
      <w:tr>
        <w:trPr>
          <w:trHeight w:val="168"/>
        </w:trPr>
        <w:tc>
          <w:tcPr>
            <w:tcW w:w="1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2/23/2015</w:t>
            </w:r>
            <w:r>
              <w:rPr>
                <w:rFonts w:ascii="Arial" w:cs="Arial" w:eastAsia="Arial" w:hAnsi="Arial"/>
                <w:sz w:val="14"/>
                <w:szCs w:val="14"/>
                <w:color w:val="auto"/>
                <w:vertAlign w:val="superscript"/>
              </w:rPr>
              <w:t>(8)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3/26/2015</w:t>
            </w:r>
          </w:p>
        </w:tc>
        <w:tc>
          <w:tcPr>
            <w:tcW w:w="1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200,000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3/25/2025</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7/1/2016</w:t>
            </w:r>
            <w:r>
              <w:rPr>
                <w:rFonts w:ascii="Arial" w:cs="Arial" w:eastAsia="Arial" w:hAnsi="Arial"/>
                <w:sz w:val="14"/>
                <w:szCs w:val="14"/>
                <w:color w:val="auto"/>
                <w:vertAlign w:val="superscript"/>
              </w:rPr>
              <w:t>(4)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8/11/2016</w:t>
            </w:r>
          </w:p>
        </w:tc>
        <w:tc>
          <w:tcPr>
            <w:tcW w:w="1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24,000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8/10/2026</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1/1/2017</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2/10/2017</w:t>
            </w:r>
          </w:p>
        </w:tc>
        <w:tc>
          <w:tcPr>
            <w:tcW w:w="1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52,500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2/9/2027</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7/1/2017</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10/18/2017</w:t>
            </w:r>
          </w:p>
        </w:tc>
        <w:tc>
          <w:tcPr>
            <w:tcW w:w="1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25,000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10/17/2027</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8/23/2017</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10/18/2017</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10/17/2027</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12/27/2017</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2/14/2018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57,501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2/13/2028</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7/1/2018</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8/23/2018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250,000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8/22/2028</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9/17/2019</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10/30/2019</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150,000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10/29/2029</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6/15/2022</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328,400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4,610,736</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12/15/2022</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11/22/2022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95,785</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1,344,821</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12/15/2023</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12/15/2023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326,200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4,579,848</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12/15/2024</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1/14/2025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337,800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4,742,712</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2">
            <w:col w:w="1220" w:space="460"/>
            <w:col w:w="9600"/>
          </w:cols>
          <w:pgMar w:left="300" w:top="209" w:right="319" w:bottom="1440" w:gutter="0" w:footer="0" w:header="0"/>
          <w:type w:val="continuous"/>
        </w:sectPr>
      </w:pPr>
    </w:p>
    <w:p>
      <w:pPr>
        <w:spacing w:after="0"/>
        <w:rPr>
          <w:sz w:val="20"/>
          <w:szCs w:val="20"/>
          <w:color w:val="auto"/>
        </w:rPr>
      </w:pPr>
      <w:r>
        <w:rPr>
          <w:rFonts w:ascii="Arial" w:cs="Arial" w:eastAsia="Arial" w:hAnsi="Arial"/>
          <w:sz w:val="13"/>
          <w:szCs w:val="13"/>
          <w:color w:val="auto"/>
        </w:rPr>
        <w:t>______________</w:t>
      </w:r>
    </w:p>
    <w:p>
      <w:pPr>
        <w:spacing w:after="0" w:line="7" w:lineRule="exact"/>
        <w:rPr>
          <w:sz w:val="20"/>
          <w:szCs w:val="20"/>
          <w:color w:val="auto"/>
        </w:rPr>
      </w:pPr>
    </w:p>
    <w:p>
      <w:pPr>
        <w:ind w:left="260" w:hanging="256"/>
        <w:spacing w:after="0"/>
        <w:tabs>
          <w:tab w:leader="none" w:pos="2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Unless otherwise noted, all outstanding equity awards were granted under our 2017 Plan.</w:t>
      </w:r>
    </w:p>
    <w:p>
      <w:pPr>
        <w:ind w:left="260" w:hanging="256"/>
        <w:spacing w:after="0" w:line="260" w:lineRule="auto"/>
        <w:tabs>
          <w:tab w:leader="none" w:pos="25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There was no public market for our common stock as of January 31, 2025. The fair market value of our common stock as of January 31, 2025, as determined by an independent valuation, was $14.04 per share.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203</w:t>
      </w:r>
    </w:p>
    <w:p>
      <w:pPr>
        <w:sectPr>
          <w:pgSz w:w="11900" w:h="16838" w:orient="portrait"/>
          <w:cols w:equalWidth="0" w:num="1">
            <w:col w:w="11280"/>
          </w:cols>
          <w:pgMar w:left="300" w:top="209" w:right="31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 w:hanging="256"/>
        <w:spacing w:after="0"/>
        <w:tabs>
          <w:tab w:leader="none" w:pos="2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option was granted under the 2008 Plan and was fully vested and exercisable as of January 31, 2025. The unexercised portion of this option expired and was canceled as of June 8, 2025.</w:t>
      </w:r>
    </w:p>
    <w:p>
      <w:pPr>
        <w:spacing w:after="0" w:line="9" w:lineRule="exact"/>
        <w:rPr>
          <w:rFonts w:ascii="Arial" w:cs="Arial" w:eastAsia="Arial" w:hAnsi="Arial"/>
          <w:sz w:val="13"/>
          <w:szCs w:val="13"/>
          <w:color w:val="auto"/>
        </w:rPr>
      </w:pPr>
    </w:p>
    <w:p>
      <w:pPr>
        <w:ind w:left="260" w:hanging="256"/>
        <w:spacing w:after="0"/>
        <w:tabs>
          <w:tab w:leader="none" w:pos="2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option is fully vested and exercisable.</w:t>
      </w:r>
    </w:p>
    <w:p>
      <w:pPr>
        <w:spacing w:after="0" w:line="4" w:lineRule="exact"/>
        <w:rPr>
          <w:rFonts w:ascii="Arial" w:cs="Arial" w:eastAsia="Arial" w:hAnsi="Arial"/>
          <w:sz w:val="13"/>
          <w:szCs w:val="13"/>
          <w:color w:val="auto"/>
        </w:rPr>
      </w:pPr>
    </w:p>
    <w:p>
      <w:pPr>
        <w:jc w:val="both"/>
        <w:ind w:left="260" w:hanging="256"/>
        <w:spacing w:after="0" w:line="264" w:lineRule="auto"/>
        <w:tabs>
          <w:tab w:leader="none" w:pos="256"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RSUs vest based on the satisfaction of a liquidity-based vesting condition. The liquidity-based vesting condition was not satisfied as to any of the RSUs as of January 31, 2025 but will be satisfied and the entire award shall vest, upon the earliest to occur of: (i) the date that is six months after the effective date of this registration statement for our initial public offering; (ii) March 15 of the calendar year following the year in which this registration statement is declared effective; and (iii) immediately prior to the closing of a “change in control,” as defined in the award agreement.</w:t>
      </w:r>
    </w:p>
    <w:p>
      <w:pPr>
        <w:ind w:left="260" w:hanging="256"/>
        <w:spacing w:after="0" w:line="241" w:lineRule="auto"/>
        <w:tabs>
          <w:tab w:leader="none" w:pos="25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RSUs vest based on the satisfaction of both a service-based vesting condition and a liquidity-based vesting condition. The liquidity-based vesting condition was not satisfied as to any of the RSUs as of January 31, 2025 but will be satisfied upon completion of this offering. The service-based vesting condition has been fully met with respect to the entire award.</w:t>
      </w:r>
    </w:p>
    <w:p>
      <w:pPr>
        <w:spacing w:after="0" w:line="1" w:lineRule="exact"/>
        <w:rPr>
          <w:rFonts w:ascii="Arial" w:cs="Arial" w:eastAsia="Arial" w:hAnsi="Arial"/>
          <w:sz w:val="13"/>
          <w:szCs w:val="13"/>
          <w:color w:val="auto"/>
        </w:rPr>
      </w:pPr>
    </w:p>
    <w:p>
      <w:pPr>
        <w:jc w:val="both"/>
        <w:ind w:left="260" w:hanging="256"/>
        <w:spacing w:after="0" w:line="243" w:lineRule="auto"/>
        <w:tabs>
          <w:tab w:leader="none" w:pos="25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RSUs vest based on the satisfaction of both a service-based vesting condition and a liquidity-based vesting condition. The liquidity-based vesting condition was not satisfied as to any of the RSUs as of January 31, 2025 but will be satisfied upon completion of this offering. The RSUs vest as to 1/16th of the total award and may be settled for shares of our common stock on each quarterly anniversary of the vesting commencement date, once the liquidity-based vesting condition has been satisfied and subject to the holder’s continued service with us.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option was granted under the 2008 Plan and was fully vested and exercisable as of January 31, 2025. The unexercised portion subsequently expired on March 25, 2025.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Tender Offer</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August 2024, we initiated a tender offer for vested shares (including, but not limited to, any shares of common stock previously issued upon the exercise of stock options or upon the prior settlement of fully vested RSUs) and shares of our common stock underlying vested options to purchase shares of our common stock from certain of our then-employees or their affiliated entities, and in September 2024, we repurchased an aggregate of 1,996,765 shares of our outstanding common stock at a purchase price of $11.76 per share for an aggregate purchase price of approximately $23.5 million (the “2024 Tender Offer”). Certain of our executive officers participated in the 2024 Tender Offer. See the section titled “Certain Relationships and Related Party Transactions” for additional information regarding the 2024 Tender Offer.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Offer Letters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entered into an offer letter setting forth the terms and conditions of employment for each of our named executive officers. Each of these agreements provide for at-will employment and include each named executive officer’s base salary, an annual executive performance bonus opportunity, and standard employment benefit plan participation.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Umbrella Bonus Plan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adopted an umbrella bonus plan setting forth the terms and conditions of bonus payments (but not sales or origination commission arrangements or plans) for the calendar year ending December 31, 2025 and each year thereafter for our full-time employees, including our named executive officers. The umbrella bonus plan will be administered by our compensation committee and will generally provide that bonuses payable thereunder may be subject to individual, group, business unit, or company-wide performance goals. All bonuses payable pursuant to the umbrella bonus plan will be discretionary and may be reduced or eliminated by the plan administrator in its sole discretion. The umbrella bonus plan will also require continued employment as a condition of any payments pursuant to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Potential Payments upon Termination or Change of Control</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connection with this offering, we will enter into change in control and severance agreements (each, a “CIC Severance Agreement” and collectively, the “CIC Severance Agreements”), with our named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204</w:t>
      </w:r>
    </w:p>
    <w:p>
      <w:pPr>
        <w:sectPr>
          <w:pgSz w:w="11900" w:h="16838" w:orient="portrait"/>
          <w:cols w:equalWidth="0" w:num="1">
            <w:col w:w="11280"/>
          </w:cols>
          <w:pgMar w:left="300" w:top="209" w:right="319" w:bottom="1440" w:gutter="0" w:footer="0" w:header="0"/>
        </w:sectPr>
      </w:pPr>
    </w:p>
    <w:bookmarkStart w:id="220" w:name="page221"/>
    <w:bookmarkEnd w:id="2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officers. The CIC Severance Agreements will become effective upon the completion of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Mr. Fortunato</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Under his CIC Severance Agreement with us, if Mr. Fortunato is terminated by us without “cause” (as defined in his CIC Severance Agreement) or he resigns for “good reason” (as defined in his CIC Severance Agreement), he will receive (i) a lump sum payment equal to 12 months of his base salary and 100% of his target bonus opportunity, (ii) continued payment of Consolidated Omnibus Budget Reconciliation Act (“COBRA”) premiums for 12 months (or, if earlier, until the date that he is eligible for substantially equivalent coverage under a subsequent employer’s plan), and (iii) accelerated vesting of each of Mr. Fortunato’s outstanding time-based equity awards as to an additional 12 months of vesting. If Mr. Fortunato is terminated by us without “cause” or he resigns for “good reason,” in each case, within 12 months following a “change in control” (as defined in his CIC Severance Agreement), he will instead receive (i) a lump sum payment equal to 24 months of base salary and 100% of his target bonus opportunity, (ii) continued payment of COBRA premiums for 24 months (or, if earlier, when he is eligible for substantially equivalent coverage under a subsequent employer’s plan), and (iii) full accelerated vesting of all outstanding time-based equity awards held by him. In addition, in the event of a change in control in which the successor or acquiring corporation does not assume, convert, continue, replace, or substitute unvested equity awards then, such equity awards accelerate vesting in full immediately prior to such change in control, with any performance-based equity awards to be subject to the treatment set forth in the grant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Messrs. Iyer and Wetterwald</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Under their respective CIC Severance Agreements with us, if Mr. Iyer or Mr. Wetterwald is terminated by us without “cause” (as defined in their respective CIC Severance Agreements) or resigns for “good reason” (as defined in their respective CIC Severance Agreements), he will receive (i) a lump sum payment equal to 12 months of his base salary and 100% of his target bonus opportunity, (ii) continued COBRA premiums for 12 months (or, if earlier, until the date that he is eligible for substantially equivalent coverage under a subsequent employer’s plan), and (iii) accelerated vesting of each of his outstanding time-based equity awards as to an additional 12 months of vesting. If Mr. Iyer or Mr. Wetterwald is terminated by us without “cause” or he resigns for “good reason,” in each case, within 12 months following a “change in control” (as defined in their respective CIC Severance Agreements), he will instead receive (i) a lump sum payment equal to 12 months of base salary and 100% of his target bonus opportunity, (ii) continued payment of COBRA premiums for 12 months (or, if earlier, when he is eligible for substantially equivalent coverage under a subsequent employer’s plan), and (iii) full accelerated vesting of all outstanding time-based equity awards held by him. In addition, in the event of a change in control in which the successor or acquiring corporation does not assume, convert, continue, replace, or substitute unvested equity awards then, such equity awards accelerate vesting in full immediately prior to such change in control, with any performance-based equity awards to be subject to the treatment set forth in the grant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Employee Benefit and Stock Plans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Equity Incentive Plan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January 2008, we adopted our 2008 Plan, which was most recently amended on October 18, 2017, and subsequently terminated following the adoption of our 2017 Plan (as described below). Notwithstanding the termination of our 2008 Plan, any awards granted under the 2008 Plan at the time 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205</w:t>
      </w:r>
    </w:p>
    <w:p>
      <w:pPr>
        <w:sectPr>
          <w:pgSz w:w="11900" w:h="16838" w:orient="portrait"/>
          <w:cols w:equalWidth="0" w:num="1">
            <w:col w:w="11280"/>
          </w:cols>
          <w:pgMar w:left="300" w:top="209" w:right="319"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such termination remained outstanding, subject to the terms of the 2008 Plan and the applicable award agreements. The purpose of the 2008 Plan was to attract, retain, and motivate eligible employees, directors, and consultants whose contributions are important to the success of our business.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Share Reserve. </w:t>
      </w:r>
      <w:r>
        <w:rPr>
          <w:rFonts w:ascii="Arial" w:cs="Arial" w:eastAsia="Arial" w:hAnsi="Arial"/>
          <w:sz w:val="14"/>
          <w:szCs w:val="14"/>
          <w:color w:val="auto"/>
        </w:rPr>
        <w:t>As of July 31, 2025, we had 6,065,675 shares of our common stock subject to outstanding grants under our 2008 Plan. Following the adoption of our 2017 Plan, no</w:t>
      </w:r>
      <w:r>
        <w:rPr>
          <w:rFonts w:ascii="Arial" w:cs="Arial" w:eastAsia="Arial" w:hAnsi="Arial"/>
          <w:sz w:val="14"/>
          <w:szCs w:val="14"/>
          <w:i w:val="1"/>
          <w:iCs w:val="1"/>
          <w:color w:val="auto"/>
        </w:rPr>
        <w:t xml:space="preserve"> </w:t>
      </w:r>
      <w:r>
        <w:rPr>
          <w:rFonts w:ascii="Arial" w:cs="Arial" w:eastAsia="Arial" w:hAnsi="Arial"/>
          <w:sz w:val="14"/>
          <w:szCs w:val="14"/>
          <w:color w:val="auto"/>
        </w:rPr>
        <w:t>shares remain available for grant pursuant to our 2008 Plan and no awards will be granted pursuant to our 2008 Plan. As of July 31, 2025 and before giving effect to the Option Exercise, options to purchase 26,742,778 shares had been exercised and options to purchase 6,065,675 shares remained outstanding, with a weighted-average exercise price of $2.31 per share. As of July 31, 2025, no restricted stock awards (“RSAs”) had been granted under the 2008 Plan.</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Awards granted under our 2008 Plan remain administered by our board of directors or a committee appointed by our board of directors, referred to herein as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“administrator.” Subject to the terms of the 2008 Plan, the administrator has the authority to, among other things, select the persons to whom awards will be granted, construe and interpret our 2008 Plan as well as to prescribe, amend, and rescind rules and regulations relating to the 2008 Plan and awards granted thereunder. The administrator may modify awards subject to the terms of the 2008 Plan.</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Pursuant to the 2008 Plan, we were able to grant incentive stock options (“ISOs”) only to our employees or the employees of our parent or subsidiaries, as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officers and directors who are also employees). We were able to grant non-statutory stock options (“NQSOs”) and RSAs to our employees (including officers and directors who are also employees), non-employee directors, and consultants, or the employees, directors, and consultants of our parent and subsidiaries, as applicable.</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The 2008 Plan provided for the grant of both (i) ISOs, which are intended to qualify for tax treatment as set forth under Section 422 of the Code and (ii) NQSOs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shares of our common stock, each at a stated exercise price. The 2008 Plan required that the exercise price of each option must be at least equal to the fair market value of our common stock on the date of grant (unless otherwise determined by the administrator in writing at the time of grant). However, under applicable law, the exercise price of any ISO granted to an individual who owns more than ten percent of the total combined voting power of all classes of our capital stock must be at least equal to 110% of the fair market value of our common stock on the date of grant. The administrator determined the vesting schedule applicable to each option. The maximum permitted term of options granted under our 2008 Plan was ten years from the date of grant, except that the maximum permitted term of ISOs granted to an individual who owns more than ten percent of the total combined voting power of all classes of our capital stock was five years from the date of grant.</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Restricted Stock Awards</w:t>
      </w:r>
      <w:r>
        <w:rPr>
          <w:rFonts w:ascii="Arial" w:cs="Arial" w:eastAsia="Arial" w:hAnsi="Arial"/>
          <w:sz w:val="14"/>
          <w:szCs w:val="14"/>
          <w:color w:val="auto"/>
        </w:rPr>
        <w:t>. In addition, the 2008 Plan allowed for the grant of RSAs, with terms as generally determined by the administrator (in accordance with the 2008 Plan) and</w:t>
      </w:r>
      <w:r>
        <w:rPr>
          <w:rFonts w:ascii="Arial" w:cs="Arial" w:eastAsia="Arial" w:hAnsi="Arial"/>
          <w:sz w:val="14"/>
          <w:szCs w:val="14"/>
          <w:i w:val="1"/>
          <w:iCs w:val="1"/>
          <w:color w:val="auto"/>
        </w:rPr>
        <w:t xml:space="preserve"> </w:t>
      </w:r>
      <w:r>
        <w:rPr>
          <w:rFonts w:ascii="Arial" w:cs="Arial" w:eastAsia="Arial" w:hAnsi="Arial"/>
          <w:sz w:val="14"/>
          <w:szCs w:val="14"/>
          <w:color w:val="auto"/>
        </w:rPr>
        <w:t>that were set forth in an award agreement. No RSAs were granted under the 2008 Plan.</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Limited Transferability</w:t>
      </w:r>
      <w:r>
        <w:rPr>
          <w:rFonts w:ascii="Arial" w:cs="Arial" w:eastAsia="Arial" w:hAnsi="Arial"/>
          <w:sz w:val="14"/>
          <w:szCs w:val="14"/>
          <w:color w:val="auto"/>
        </w:rPr>
        <w:t>. Unless otherwise determined by the administrator, awards granted under the 2008 Plan generally could not be sold, pledged, assigned, hypothecated,</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transferred, or disposed of in any manner other than by will, the laws of descent and distribution and, with respect to NQSOs, by instrument to an inter vivos or testamentary trust in which the NQSOs are to be passed to beneficiaries upon the death of the trustor, or by gift to a qualified family member.</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Acquisition or Other Combination</w:t>
      </w:r>
      <w:r>
        <w:rPr>
          <w:rFonts w:ascii="Arial" w:cs="Arial" w:eastAsia="Arial" w:hAnsi="Arial"/>
          <w:sz w:val="14"/>
          <w:szCs w:val="14"/>
          <w:color w:val="auto"/>
        </w:rPr>
        <w:t>. In the event that we are subject to a “combination transaction” (as defined in the 2008 Plan and generally meaning, collectively, a merger, a sale or</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 of more than 50% of the voting power of all of our outstanding securities, or a sale of all or substantially all of the assets of ours), the 2008 Plan provided that awards would be subject to the agreement evidencing such acquisition or other combination. Such agreement may provide that awards will be assumed, converted, substituted, or replaced with substantially equivalent awards of any successor corporation or affiliate,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206</w:t>
      </w:r>
    </w:p>
    <w:p>
      <w:pPr>
        <w:sectPr>
          <w:pgSz w:w="11900" w:h="16838" w:orient="portrait"/>
          <w:cols w:equalWidth="0" w:num="1">
            <w:col w:w="11280"/>
          </w:cols>
          <w:pgMar w:left="300" w:top="209" w:right="319" w:bottom="1440" w:gutter="0" w:footer="0" w:header="0"/>
        </w:sectPr>
      </w:pPr>
    </w:p>
    <w:bookmarkStart w:id="222" w:name="page223"/>
    <w:bookmarkEnd w:id="2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appropriate adjustments as to the number of shares and exercise or purchase prices, and with any substituted property subject to terms no less favorable than were subject to the applicable 2008 Plan awards. After giving effect to the foregoing, any awards outstanding under the 2008 Plan that are not assumed, converted, substituted, or replaced pursuant to such agreement will terminate, if not exercised, at such time as our board of directors determines.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Adjustments</w:t>
      </w:r>
      <w:r>
        <w:rPr>
          <w:rFonts w:ascii="Arial" w:cs="Arial" w:eastAsia="Arial" w:hAnsi="Arial"/>
          <w:sz w:val="14"/>
          <w:szCs w:val="14"/>
          <w:color w:val="auto"/>
        </w:rPr>
        <w:t>. In the event that the number of outstanding shares of our common stock is changed by a stock dividend, recapitalization, stock split, reverse stock split, subdivision,</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 reclassification, or other change in our capital structure affecting our shares without consideration, then in order to prevent diminution or enlargement of the benefits or potential benefits intended to be made available under the 2008 Plan (i) the number of shares reserved for issuance under the 2008 Plan, (ii) the exercise prices of and number of shares subject to outstanding options, and (iii) the purchase prices of and/or number of shares subject to other outstanding awards would (to the extent appropriate) be proportionately adjusted (subject to required action by the board or our stockholders).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Exchange, Repricing, and Buyout of Awards</w:t>
      </w:r>
      <w:r>
        <w:rPr>
          <w:rFonts w:ascii="Arial" w:cs="Arial" w:eastAsia="Arial" w:hAnsi="Arial"/>
          <w:sz w:val="14"/>
          <w:szCs w:val="14"/>
          <w:color w:val="auto"/>
        </w:rPr>
        <w:t>. The administrator may modify, extend, or renew outstanding awards or issue new awards in exchange for the surrender and cancellation</w:t>
      </w:r>
      <w:r>
        <w:rPr>
          <w:rFonts w:ascii="Arial" w:cs="Arial" w:eastAsia="Arial" w:hAnsi="Arial"/>
          <w:sz w:val="14"/>
          <w:szCs w:val="14"/>
          <w:i w:val="1"/>
          <w:iCs w:val="1"/>
          <w:color w:val="auto"/>
        </w:rPr>
        <w:t xml:space="preserve"> </w:t>
      </w:r>
      <w:r>
        <w:rPr>
          <w:rFonts w:ascii="Arial" w:cs="Arial" w:eastAsia="Arial" w:hAnsi="Arial"/>
          <w:sz w:val="14"/>
          <w:szCs w:val="14"/>
          <w:color w:val="auto"/>
        </w:rPr>
        <w:t>of any or all outstanding awards, provided that any such action will require the consent of the respective participants to the extent that any such action would impair any of the participants’ existing rights. The administrator may, without prior stockholder approval, reduce the exercise price of options or buy an award previously granted with payment in cash, shares or other consideration, in each case, subject to the terms of the 2008 Plan.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2017 Equity Incentive Plan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December 2017, we adopted our 2017 Plan, as most recently amended on January 14, 2025. The purpose of the 2017 Plan is to attract, retain, and motivate eligible employees, directors, and consultants whose contributions are important to the success of our business.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 xml:space="preserve">Share Reserve. </w:t>
      </w:r>
      <w:r>
        <w:rPr>
          <w:rFonts w:ascii="Arial" w:cs="Arial" w:eastAsia="Arial" w:hAnsi="Arial"/>
          <w:sz w:val="14"/>
          <w:szCs w:val="14"/>
          <w:color w:val="auto"/>
        </w:rPr>
        <w:t>As of July 31, 2025, we had 56,421,113 shares of our common stock reserved for issuance pursuant to grants under our 2017 Plan (including 10,465,854 shares</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reserved for issuance and unissued under the 2008 Plan at the time of adoption of the 2017 Plan, which were made available for issuance under the 2017 Plan pursuant to its terms), of which 3,564,272 shares remained available for grant. As of July 31, 2025 and before giving effect to the Option Exercise, options to purchase 6,137,125 shares had been exercised and options to purchase 22,178,730 shares remained outstanding, with a weighted-average exercise price of $1.79 per share. As of July 31, 2025, 34,242,383 awards of RSUs were granted under the 2017 Plan. As of July 31, 2025, no RSAs and no stock appreciation rights (“SARs”) were granted under the 2017 Plan, and no such awards are expected to be granted prior to this offering; provided that certain options granted under the 2017 Plan are early exercisable and may be exercised for unvested shares of our common stock subject to a repurchase right. Our 2017 Plan will be terminated upon the effectiveness of this offering and no new awards will be granted under the 2017 Plan after this offering. Notwithstanding the termination of our 2017 Plan, any awards granted under the 2017 Plan at the time of such termination will remain outstanding, subject to the terms of the 2017 Plan and the applicable award agreements.</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Our 2017 Plan is administered by our board of directors or a committee appointed by our board of directors, referred to herein as the “administrator.” Subject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terms of the 2017 Plan, the administrator has the authority to, among other things, select the persons to whom awards will be granted, construe and interpret our 2017 Plan as well as to prescribe, amend, and rescind rules and regulations relating to the 2017 Plan and awards granted thereunder. The administrator may modify awards subject to the terms of the 2017 Plan.</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Pursuant to the 2017 Plan, we may grant ISOs only to our employees or the employees of our parent or subsidiaries, as applicable (including officers and directors who are</w:t>
      </w:r>
      <w:r>
        <w:rPr>
          <w:rFonts w:ascii="Arial" w:cs="Arial" w:eastAsia="Arial" w:hAnsi="Arial"/>
          <w:sz w:val="14"/>
          <w:szCs w:val="14"/>
          <w:i w:val="1"/>
          <w:iCs w:val="1"/>
          <w:color w:val="auto"/>
        </w:rPr>
        <w:t xml:space="preserve"> </w:t>
      </w:r>
      <w:r>
        <w:rPr>
          <w:rFonts w:ascii="Arial" w:cs="Arial" w:eastAsia="Arial" w:hAnsi="Arial"/>
          <w:sz w:val="14"/>
          <w:szCs w:val="14"/>
          <w:color w:val="auto"/>
        </w:rPr>
        <w:t>also employees). We may grant NQSOs, RSUs, SARs, and RSAs to our employees (including officers and directors who are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207</w:t>
      </w:r>
    </w:p>
    <w:p>
      <w:pPr>
        <w:sectPr>
          <w:pgSz w:w="11900" w:h="16838" w:orient="portrait"/>
          <w:cols w:equalWidth="0" w:num="1">
            <w:col w:w="11280"/>
          </w:cols>
          <w:pgMar w:left="300" w:top="209" w:right="319" w:bottom="1440" w:gutter="0" w:footer="0" w:header="0"/>
        </w:sectPr>
      </w:pPr>
    </w:p>
    <w:bookmarkStart w:id="223" w:name="page224"/>
    <w:bookmarkEnd w:id="2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also employees), non-employee directors, and consultants, or the employees, directors, and consultants of our parent and subsidiaries, as applicable.</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The 2017 Plan provides for the grant of both (i) ISOs, which are intended to qualify for tax treatment as set forth under Section 422 of the Code and (ii) NQSOs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shares of our common stock, each at a stated exercise price. The 2017 Plan requires that exercise price of each option must be at least equal to the fair market value of our common stock on the date of grant (unless otherwise determined by the administrator in writing at the time of grant). However, under applicable law, the exercise price of any ISO granted to an individual who owns more than ten percent of the total combined voting power of all classes of our capital stock must be at least equal to 110% of the fair market value of our common stock on the date of grant. The administrator will determine the vesting schedule applicable to each option. The maximum permitted term of options granted under our 2017 Plan is ten years from the date of grant, except that the maximum permitted term of ISOs granted to an individual who owns more than ten percent of the total combined voting power of all classes of our capital stock is five years from the date of grant.</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The 2017 Plan also allows for the grant of RSUs with terms as generally determined by the administrator (in accordance with the 2017 Plan) and to be set</w:t>
      </w:r>
      <w:r>
        <w:rPr>
          <w:rFonts w:ascii="Arial" w:cs="Arial" w:eastAsia="Arial" w:hAnsi="Arial"/>
          <w:sz w:val="14"/>
          <w:szCs w:val="14"/>
          <w:i w:val="1"/>
          <w:iCs w:val="1"/>
          <w:color w:val="auto"/>
        </w:rPr>
        <w:t xml:space="preserve"> </w:t>
      </w:r>
      <w:r>
        <w:rPr>
          <w:rFonts w:ascii="Arial" w:cs="Arial" w:eastAsia="Arial" w:hAnsi="Arial"/>
          <w:sz w:val="14"/>
          <w:szCs w:val="14"/>
          <w:color w:val="auto"/>
        </w:rPr>
        <w:t>forth in an award agreement. RSUs represent the right to receive shares of our common stock at a specified date in the future, subject to forfeiture of that right because of termination of employment or failure to achieve certain performance conditions. Generally, the vesting of our RSUs granted under the 2017 Plan is upon satisfaction of both a liquidity-based vesting condition and a time-based vesting schedule on or before the expiration date of such RSUs. Certain RSUs granted under the 2017 Plan will be forfeited in case of a termination of employment or service before the satisfaction of both the liquidity-based vesting condition and the time-based vesting schedule. Other RSUs granted under the 2017 Plan will survive a termination of employment or service, solely as to any time-vested portion, and remain eligible to satisfy the liquidity-based vesting condition within the term of the applicable RSU award. For most RSUs granted under the 2017 Plan, the liquidity-based vesting condition will be satisfied upon the earlier of (i) the effective date of the registration statement filed by us for purposes of this offering and (ii) an “acquisition” (as defined in the 2017 Plan). Following the satisfaction of the liquidity-based vesting condition, RSUs that remain unvested as of the date of such liquidity-based vesting condition due to the RSUs’ time-based vesting schedule will continue to vest after the liquidity-based vesting condition for so long as the holder remains in continuous service status through each such time-based vesting date. Certain RSUs granted under the 2017 Plan are not subject to a time-based vesting schedule and will vest in full upon satisfaction of the applicable liquidity-based vesting condition.</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Restricted Stock Awards, Stock Appreciation Rights</w:t>
      </w:r>
      <w:r>
        <w:rPr>
          <w:rFonts w:ascii="Arial" w:cs="Arial" w:eastAsia="Arial" w:hAnsi="Arial"/>
          <w:sz w:val="14"/>
          <w:szCs w:val="14"/>
          <w:color w:val="auto"/>
        </w:rPr>
        <w:t>. In addition, the 2017 Plan allows for the grant of RSAs and SARs, with terms as generally determined by the administrator (in</w:t>
      </w:r>
      <w:r>
        <w:rPr>
          <w:rFonts w:ascii="Arial" w:cs="Arial" w:eastAsia="Arial" w:hAnsi="Arial"/>
          <w:sz w:val="14"/>
          <w:szCs w:val="14"/>
          <w:i w:val="1"/>
          <w:iCs w:val="1"/>
          <w:color w:val="auto"/>
        </w:rPr>
        <w:t xml:space="preserve"> </w:t>
      </w:r>
      <w:r>
        <w:rPr>
          <w:rFonts w:ascii="Arial" w:cs="Arial" w:eastAsia="Arial" w:hAnsi="Arial"/>
          <w:sz w:val="14"/>
          <w:szCs w:val="14"/>
          <w:color w:val="auto"/>
        </w:rPr>
        <w:t>accordance with the 2017 Plan) and to be set forth in an award agreement. We have not granted any RSAs or any SARs under the 2017 Plan and no such awards are expected to be granted prior to this offering.</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Limited Transferability</w:t>
      </w:r>
      <w:r>
        <w:rPr>
          <w:rFonts w:ascii="Arial" w:cs="Arial" w:eastAsia="Arial" w:hAnsi="Arial"/>
          <w:sz w:val="14"/>
          <w:szCs w:val="14"/>
          <w:color w:val="auto"/>
        </w:rPr>
        <w:t>. Unless otherwise determined by the administrator, awards granted under the 2017 Plan generally may not be sold, pledged, assigned, hypothecated,</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transferred, or disposed of in any manner other than by will, the laws of descent and distribution and, with respect to NQSOs, by instrument to an inter vivos or testamentary trust in which the NQSOs are to be passed to beneficiaries upon the death of the trustor, or by gift to a qualified family member.</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Acquisition or Other Combination</w:t>
      </w:r>
      <w:r>
        <w:rPr>
          <w:rFonts w:ascii="Arial" w:cs="Arial" w:eastAsia="Arial" w:hAnsi="Arial"/>
          <w:sz w:val="14"/>
          <w:szCs w:val="14"/>
          <w:color w:val="auto"/>
        </w:rPr>
        <w:t>. In the event that we are subject to an “acquisition” (as defined in the 2017 Plan and generally meaning, collectively, a merger, a sale or transfer of</w:t>
      </w:r>
      <w:r>
        <w:rPr>
          <w:rFonts w:ascii="Arial" w:cs="Arial" w:eastAsia="Arial" w:hAnsi="Arial"/>
          <w:sz w:val="14"/>
          <w:szCs w:val="14"/>
          <w:i w:val="1"/>
          <w:iCs w:val="1"/>
          <w:color w:val="auto"/>
        </w:rPr>
        <w:t xml:space="preserve"> </w:t>
      </w:r>
      <w:r>
        <w:rPr>
          <w:rFonts w:ascii="Arial" w:cs="Arial" w:eastAsia="Arial" w:hAnsi="Arial"/>
          <w:sz w:val="14"/>
          <w:szCs w:val="14"/>
          <w:color w:val="auto"/>
        </w:rPr>
        <w:t>more than 50% of the voting power of all of our outstanding securities, or a sale of all or substantially all of the assets of ours) or “other combination,” the 2017 Plan provides that awards will be subject to the agreement evidencing such acquisition or other combination, which agreement need not treat all awards in a similar manner. Such agreement may, without the participant’s consent, provide that awards will (i) be continued, assumed, or substituted with substantially equivalent awards of any successor corporation or affiliate, with appropriate adjustments as to the number of shares and exercise or purchase prices; (ii) become vested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208</w:t>
      </w:r>
    </w:p>
    <w:p>
      <w:pPr>
        <w:sectPr>
          <w:pgSz w:w="11900" w:h="16838" w:orient="portrait"/>
          <w:cols w:equalWidth="0" w:num="1">
            <w:col w:w="11280"/>
          </w:cols>
          <w:pgMar w:left="300" w:top="209" w:right="319" w:bottom="1440" w:gutter="0" w:footer="0" w:header="0"/>
        </w:sectPr>
      </w:pPr>
    </w:p>
    <w:bookmarkStart w:id="224" w:name="page225"/>
    <w:bookmarkEnd w:id="2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exercisable, in full or in part; (iii) be terminated for no consideration or in exchange for an amount of cash or securities followed by the cancellation of such awards; or (iv) any combination of the foregoing. After giving effect to the foregoing, any awards outstanding under the 2017 Plan that are not assumed or substituted pursuant to such agreement will terminate if not exercised, as applicable, immediately following the consummation of the acquisition or other combination.</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following an acquisition, if one of our employees is terminated without “cause” or resigns due to a “constructive termination” (each, as defined in the 2017 Plan), in each case, within 12 months after the closing of the acquisition, then, each outstanding award subject to a time-based vesting schedule held by such employee shall accelerate and vest as to an additional number of shares equal to the lesser of (a) all remaining unvested shares subject to a time-based vesting schedule and (b) the number of shares that would have vested during an additional 12 months of service. Notwithstanding the foregoing, if an award is subject to a vesting cliff (e.g., a period of time before any shares subject to the time-based award begin to vest or performance metrics that must be achieved before any shares subject to the time-based award begin to vest) and after 12 months of additional vesting, the vesting cliff is not satisfied, then no shares subject to the award shall vest.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In addition, upon the consummation of an acquisition, all remaining unvested shares subject to each award held by one of our non-employee directors shall become vested in full.</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Adjustments</w:t>
      </w:r>
      <w:r>
        <w:rPr>
          <w:rFonts w:ascii="Arial" w:cs="Arial" w:eastAsia="Arial" w:hAnsi="Arial"/>
          <w:sz w:val="14"/>
          <w:szCs w:val="14"/>
          <w:color w:val="auto"/>
        </w:rPr>
        <w:t>. In the event that the number of outstanding shares of our common stock is changed by a stock dividend, recapitalization, stock split, reverse stock split, subdivision,</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 reclassification, or other change in our capital structure affecting our shares without consideration, then in order to prevent diminution or enlargement of the benefits or potential benefits intended to be made available under the 2017 Plan (i) the number of shares reserved for issuance under the 2017 Plan, (ii) the exercise prices of and number of shares subject to outstanding options and SARs, and (iii) the purchase prices of and/or number of shares subject to other outstanding awards will (to the extent appropriate) be proportionately adjusted (subject to required action by the board or our stockholders).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Exchange, Repricing, and Buyout of Awards</w:t>
      </w:r>
      <w:r>
        <w:rPr>
          <w:rFonts w:ascii="Arial" w:cs="Arial" w:eastAsia="Arial" w:hAnsi="Arial"/>
          <w:sz w:val="14"/>
          <w:szCs w:val="14"/>
          <w:color w:val="auto"/>
        </w:rPr>
        <w:t>. The administrator may modify, extend, or renew awards or issue new awards in exchange for the surrender and cancellation of any or all</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awards, provided that any such action will require the consent of the respective participants to the extent that any such action would impair any of the participants’ existing rights. The administrator may, without prior stockholder approval, reduce the exercise price of options or SARs or buy an award previously granted with payment in cash, shares or other consideration, in each case, subject to the terms of the 2017 Plan.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Amendment; Termination</w:t>
      </w:r>
      <w:r>
        <w:rPr>
          <w:rFonts w:ascii="Arial" w:cs="Arial" w:eastAsia="Arial" w:hAnsi="Arial"/>
          <w:sz w:val="14"/>
          <w:szCs w:val="14"/>
          <w:color w:val="auto"/>
        </w:rPr>
        <w:t>. Our board of directors may amend or terminate the 2017 Plan at any time and may terminate any and all outstanding options, RSUs, or SARs upon a</w:t>
      </w:r>
      <w:r>
        <w:rPr>
          <w:rFonts w:ascii="Arial" w:cs="Arial" w:eastAsia="Arial" w:hAnsi="Arial"/>
          <w:sz w:val="14"/>
          <w:szCs w:val="14"/>
          <w:i w:val="1"/>
          <w:iCs w:val="1"/>
          <w:color w:val="auto"/>
        </w:rPr>
        <w:t xml:space="preserve"> </w:t>
      </w:r>
      <w:r>
        <w:rPr>
          <w:rFonts w:ascii="Arial" w:cs="Arial" w:eastAsia="Arial" w:hAnsi="Arial"/>
          <w:sz w:val="14"/>
          <w:szCs w:val="14"/>
          <w:color w:val="auto"/>
        </w:rPr>
        <w:t>dissolution or liquidation of us, provided that certain amendments will require stockholder approval or participant consent. We expect to terminate the 2017 Plan and will cease issuing awards thereunder upon the effective date of our 2025 Plan (described below), which is the date immediately prior to the date of the effectiveness of the registration statement of which this prospectus forms a part. Any outstanding awards granted under the 2017 Plan will remain outstanding following this offering, subject to the terms of our 2017 Plan and applicable award agreements, until such awards are exercised or until they terminate or expire by their terms.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Equity Incentive Plan</w:t>
      </w:r>
    </w:p>
    <w:p>
      <w:pPr>
        <w:spacing w:after="0" w:line="131"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4"/>
          <w:szCs w:val="14"/>
          <w:color w:val="auto"/>
        </w:rPr>
        <w:t>In September 2025, our board of directors and our stockholders approved our 2025 Plan as a successor to our 2017 Plan. The 2025 Plan will become effective on the date immediately prior to the effectiveness of the registration statement of which this prospectus forms a part. The 2025 Plan authorizes the award of both ISOs, which are intended to qualify for favorable tax treatment under Section 422 of the Code, and NQSOs, as well for the award of RSAs, SARs, RSUs, and performance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209</w:t>
      </w:r>
    </w:p>
    <w:p>
      <w:pPr>
        <w:sectPr>
          <w:pgSz w:w="11900" w:h="16838" w:orient="portrait"/>
          <w:cols w:equalWidth="0" w:num="1">
            <w:col w:w="11280"/>
          </w:cols>
          <w:pgMar w:left="300" w:top="209" w:right="319" w:bottom="1440" w:gutter="0" w:footer="0" w:header="0"/>
        </w:sectPr>
      </w:pPr>
    </w:p>
    <w:bookmarkStart w:id="225" w:name="page226"/>
    <w:bookmarkEnd w:id="2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stock bonus awards. Pursuant to the 2025 Plan, ISOs may be granted only to our employees. We may grant all other types of awards to our employees, directors, and consultants.</w:t>
      </w:r>
    </w:p>
    <w:p>
      <w:pPr>
        <w:spacing w:after="0" w:line="133" w:lineRule="exact"/>
        <w:rPr>
          <w:sz w:val="20"/>
          <w:szCs w:val="20"/>
          <w:color w:val="auto"/>
        </w:rPr>
      </w:pPr>
    </w:p>
    <w:p>
      <w:pPr>
        <w:jc w:val="both"/>
        <w:ind w:firstLine="343"/>
        <w:spacing w:after="0" w:line="257" w:lineRule="auto"/>
        <w:rPr>
          <w:sz w:val="20"/>
          <w:szCs w:val="20"/>
          <w:color w:val="auto"/>
        </w:rPr>
      </w:pPr>
      <w:r>
        <w:rPr>
          <w:rFonts w:ascii="Arial" w:cs="Arial" w:eastAsia="Arial" w:hAnsi="Arial"/>
          <w:sz w:val="14"/>
          <w:szCs w:val="14"/>
          <w:i w:val="1"/>
          <w:iCs w:val="1"/>
          <w:color w:val="auto"/>
        </w:rPr>
        <w:t>Share Reserve</w:t>
      </w:r>
      <w:r>
        <w:rPr>
          <w:rFonts w:ascii="Arial" w:cs="Arial" w:eastAsia="Arial" w:hAnsi="Arial"/>
          <w:sz w:val="14"/>
          <w:szCs w:val="14"/>
          <w:color w:val="auto"/>
        </w:rPr>
        <w:t>. We have initially reserved 17,500,000 shares of our common stock, plus any reserved shares of our common stock not issued or subject to outstanding grants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2008 Plan and the 2017 Plan on the effective date of the 2025 Plan, for issuance as our common stock pursuant to awards granted under our 2025 Plan. The number of shares reserved for issuance under our 2025 Plan will increase automatically on February 1 of each of 2026 through 2035 by the number of shares equal to 5% of the aggregate number of outstanding shares of all classes of our common stock as of the immediately preceding January 31, or a lesser number as may be determined by our board of directors (the “2025 Plan Evergreen Provision”). The 2025 Plan Evergreen Provision is calculated using the number of legally outstanding shares of common stock and includes shares, such as unvested shares pursuant to early exercised stock options, that are not considered outstanding for accounting purposes.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 addition, the shares set forth below will again be available for issuance pursuant to awards granted under our 2025 Plan:</w:t>
      </w:r>
    </w:p>
    <w:p>
      <w:pPr>
        <w:spacing w:after="0" w:line="133" w:lineRule="exact"/>
        <w:rPr>
          <w:sz w:val="20"/>
          <w:szCs w:val="20"/>
          <w:color w:val="auto"/>
        </w:rPr>
      </w:pPr>
    </w:p>
    <w:p>
      <w:pPr>
        <w:ind w:left="500" w:hanging="244"/>
        <w:spacing w:after="0"/>
        <w:tabs>
          <w:tab w:leader="none" w:pos="5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shares subject to options or SARs granted under our 2025 Plan that cease to be subject to the option or SAR for any reason other than exercise of the option or SAR;</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shares subject to awards granted under our 2025 Plan that are subsequently forfeited or repurchased by us at the original issue price;</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shares subject to awards granted under our 2025 Plan that otherwise terminate without such shares being issued;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shares subject to awards granted under our 2025 Plan that are surrendered, cancelled, or exchanged for cash or a different award (or combination thereof);</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shares issuable upon the exercise of options granted under our 2008 Plan or our 2017 Plan that, after the effective date of the 2025 Plan, are forfeited;</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shares subject to awards granted under our 2008 Plan or our 2017 Plan that are forfeited or repurchased by us at the original price after the effective date of the 2025 Plan; and</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shares subject to awards under our 2008 Plan, our 2017 Plan, or our 2025 Plan that are used to pay the exercise price of an option or withheld to satisfy the tax withholding obligations related to any award.</w:t>
      </w:r>
    </w:p>
    <w:p>
      <w:pPr>
        <w:spacing w:after="0" w:line="79" w:lineRule="exact"/>
        <w:rPr>
          <w:sz w:val="20"/>
          <w:szCs w:val="20"/>
          <w:color w:val="auto"/>
        </w:rPr>
      </w:pPr>
    </w:p>
    <w:p>
      <w:pPr>
        <w:jc w:val="both"/>
        <w:ind w:firstLine="343"/>
        <w:spacing w:after="0" w:line="286" w:lineRule="auto"/>
        <w:rPr>
          <w:sz w:val="20"/>
          <w:szCs w:val="20"/>
          <w:color w:val="auto"/>
        </w:rPr>
      </w:pPr>
      <w:r>
        <w:rPr>
          <w:rFonts w:ascii="Arial" w:cs="Arial" w:eastAsia="Arial" w:hAnsi="Arial"/>
          <w:sz w:val="14"/>
          <w:szCs w:val="14"/>
          <w:color w:val="auto"/>
        </w:rPr>
        <w:t>Shares of our common stock that that were either reserved, but not issued under our 2008 Plan and our 2017 Plan as of the date of this prospectus, or issued under our 2008 Plan or our 2017 Plan and later become available for grant under our 2025 Plan, either as set forth above, shall be issued under the 2025 Plan only as shares of our common stock.</w:t>
      </w:r>
    </w:p>
    <w:p>
      <w:pPr>
        <w:spacing w:after="0" w:line="79"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2025 Plan will be administered by our compensation committee or by our board of directors acting in place of our compensation committee, referred to</w:t>
      </w:r>
      <w:r>
        <w:rPr>
          <w:rFonts w:ascii="Arial" w:cs="Arial" w:eastAsia="Arial" w:hAnsi="Arial"/>
          <w:sz w:val="14"/>
          <w:szCs w:val="14"/>
          <w:i w:val="1"/>
          <w:iCs w:val="1"/>
          <w:color w:val="auto"/>
        </w:rPr>
        <w:t xml:space="preserve"> </w:t>
      </w:r>
      <w:r>
        <w:rPr>
          <w:rFonts w:ascii="Arial" w:cs="Arial" w:eastAsia="Arial" w:hAnsi="Arial"/>
          <w:sz w:val="14"/>
          <w:szCs w:val="14"/>
          <w:color w:val="auto"/>
        </w:rPr>
        <w:t>herein as the “administrator.” Subject to the terms and conditions of the 2025 Plan, the administrator will have the authority, among other things, to select the persons to whom awards may be granted, construe and interpret our 2025 Plan as well as to determine the terms of such awards and prescribe, amend, and rescind the rules and regulations relating to the plan or any award granted thereunder. The 2025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98" w:lineRule="exact"/>
        <w:rPr>
          <w:sz w:val="20"/>
          <w:szCs w:val="20"/>
          <w:color w:val="auto"/>
        </w:rPr>
      </w:pPr>
    </w:p>
    <w:p>
      <w:pPr>
        <w:jc w:val="both"/>
        <w:ind w:firstLine="343"/>
        <w:spacing w:after="0" w:line="286"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The 2025 Plan provides for the grant of both ISOs, intended to qualify under Section 422 of the Code, and NQSOs to purchase shares of our common stock at a stated</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 price. ISOs may only be granted to employees, including officers and directors who are also employees. The exercise price 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210</w:t>
      </w:r>
    </w:p>
    <w:p>
      <w:pPr>
        <w:sectPr>
          <w:pgSz w:w="11900" w:h="16838" w:orient="portrait"/>
          <w:cols w:equalWidth="0" w:num="1">
            <w:col w:w="11280"/>
          </w:cols>
          <w:pgMar w:left="300" w:top="209" w:right="319" w:bottom="1440" w:gutter="0" w:footer="0" w:header="0"/>
        </w:sectPr>
      </w:pPr>
    </w:p>
    <w:bookmarkStart w:id="226" w:name="page227"/>
    <w:bookmarkEnd w:id="2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stock options granted under the 2025 Plan must be at least equal to the fair market value of our common stock on the date of grant. ISOs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Options may vest based on service and/or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No more than 35,000,000 shares may be issued pursuant to ISOs. The maximum term of options granted under our 2025 Plan is ten years from the date of grant, except that the maximum permitted term of ISOs granted to an individual who holds, directly or by attribution, more than ten percent of the total combined voting power of all classes of our capital stock is five years from the date of grant.</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 xml:space="preserve">Restricted Stock Awards. </w:t>
      </w:r>
      <w:r>
        <w:rPr>
          <w:rFonts w:ascii="Arial" w:cs="Arial" w:eastAsia="Arial" w:hAnsi="Arial"/>
          <w:sz w:val="14"/>
          <w:szCs w:val="14"/>
          <w:color w:val="auto"/>
        </w:rPr>
        <w:t>The 2025 Plan provides for the grant of RSAs. A RSA is an offer by us to grant or sell shares of our common stock subject to restrictions, which may lapse</w:t>
      </w:r>
      <w:r>
        <w:rPr>
          <w:rFonts w:ascii="Arial" w:cs="Arial" w:eastAsia="Arial" w:hAnsi="Arial"/>
          <w:sz w:val="14"/>
          <w:szCs w:val="14"/>
          <w:i w:val="1"/>
          <w:iCs w:val="1"/>
          <w:color w:val="auto"/>
        </w:rPr>
        <w:t xml:space="preserve"> </w:t>
      </w:r>
      <w:r>
        <w:rPr>
          <w:rFonts w:ascii="Arial" w:cs="Arial" w:eastAsia="Arial" w:hAnsi="Arial"/>
          <w:sz w:val="14"/>
          <w:szCs w:val="14"/>
          <w:color w:val="auto"/>
        </w:rPr>
        <w:t>based on the satisfaction of service and/or achievement of performance conditions. The price, if any, of a RSA will be determined by the administrator. Holders of RSAs, unlike holders of options, will have the right to vote and any dividends or distributions paid with respect to such shares will be subject to the same vesting terms and other restrictions as the RSA and will be accrued and paid when the vesting terms on such shares lapse. Unless otherwise determined by the administrator, vesting will cease on the date the participant no longer provides services to us and unvested shares may be forfeited to or repurchased by us.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The 2025 Plan provides for the grant of SARs. A SAR provides for a payment, in cash or shares of our common stock (up to a specified maximum number</w:t>
      </w:r>
      <w:r>
        <w:rPr>
          <w:rFonts w:ascii="Arial" w:cs="Arial" w:eastAsia="Arial" w:hAnsi="Arial"/>
          <w:sz w:val="14"/>
          <w:szCs w:val="14"/>
          <w:i w:val="1"/>
          <w:iCs w:val="1"/>
          <w:color w:val="auto"/>
        </w:rPr>
        <w:t xml:space="preserve"> </w:t>
      </w:r>
      <w:r>
        <w:rPr>
          <w:rFonts w:ascii="Arial" w:cs="Arial" w:eastAsia="Arial" w:hAnsi="Arial"/>
          <w:sz w:val="14"/>
          <w:szCs w:val="14"/>
          <w:color w:val="auto"/>
        </w:rPr>
        <w:t>of shares, if determined by the administrator), to the participant based upon the difference between the fair market value of our common stock on the date of exercise and a predetermined exercise price, multiplied by the number of shares. SARs may vest based on service and/or achievement of performance conditions. No SAR may have a term that is longer than ten years from the date of grant.</w:t>
      </w:r>
    </w:p>
    <w:p>
      <w:pPr>
        <w:spacing w:after="0" w:line="96"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The 2025 Plan provides for the grant of RSUs. A RSU represents the right to receive shares of our common stock at a specified date in the future and</w:t>
      </w:r>
      <w:r>
        <w:rPr>
          <w:rFonts w:ascii="Arial" w:cs="Arial" w:eastAsia="Arial" w:hAnsi="Arial"/>
          <w:sz w:val="14"/>
          <w:szCs w:val="14"/>
          <w:i w:val="1"/>
          <w:iCs w:val="1"/>
          <w:color w:val="auto"/>
        </w:rPr>
        <w:t xml:space="preserve"> </w:t>
      </w:r>
      <w:r>
        <w:rPr>
          <w:rFonts w:ascii="Arial" w:cs="Arial" w:eastAsia="Arial" w:hAnsi="Arial"/>
          <w:sz w:val="14"/>
          <w:szCs w:val="14"/>
          <w:color w:val="auto"/>
        </w:rPr>
        <w:t>may be subject to vesting based on service and/or achievement of performance conditions. RSUs may be settled in cash, shares of our common stock, or a combination of both as soon as practicable following vesting or on a later date subject to the terms of the 2025 Plan and any applicable award agreement (which may provide for settlement only in shares). No RSU may have a term that is longer than ten years from the date of grant.</w:t>
      </w:r>
    </w:p>
    <w:p>
      <w:pPr>
        <w:spacing w:after="0" w:line="96"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4"/>
          <w:szCs w:val="14"/>
          <w:i w:val="1"/>
          <w:iCs w:val="1"/>
          <w:color w:val="auto"/>
        </w:rPr>
        <w:t xml:space="preserve">Performance Awards. </w:t>
      </w:r>
      <w:r>
        <w:rPr>
          <w:rFonts w:ascii="Arial" w:cs="Arial" w:eastAsia="Arial" w:hAnsi="Arial"/>
          <w:sz w:val="14"/>
          <w:szCs w:val="14"/>
          <w:color w:val="auto"/>
        </w:rPr>
        <w:t>The 2025 Plan provides for the grant of performance awards. A performance award granted pursuant to the 2025 Plan may be in the form of a cash</w:t>
      </w:r>
      <w:r>
        <w:rPr>
          <w:rFonts w:ascii="Arial" w:cs="Arial" w:eastAsia="Arial" w:hAnsi="Arial"/>
          <w:sz w:val="14"/>
          <w:szCs w:val="14"/>
          <w:i w:val="1"/>
          <w:iCs w:val="1"/>
          <w:color w:val="auto"/>
        </w:rPr>
        <w:t xml:space="preserve"> </w:t>
      </w:r>
      <w:r>
        <w:rPr>
          <w:rFonts w:ascii="Arial" w:cs="Arial" w:eastAsia="Arial" w:hAnsi="Arial"/>
          <w:sz w:val="14"/>
          <w:szCs w:val="14"/>
          <w:color w:val="auto"/>
        </w:rPr>
        <w:t>bonus, or an award of performance shares or performance units denominated in shares of our common stock that may be settled in cash, property, or by issuance of those shares, subject to the satisfaction or achievement of specified performance conditions.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Stock Bonus Awards. </w:t>
      </w:r>
      <w:r>
        <w:rPr>
          <w:rFonts w:ascii="Arial" w:cs="Arial" w:eastAsia="Arial" w:hAnsi="Arial"/>
          <w:sz w:val="14"/>
          <w:szCs w:val="14"/>
          <w:color w:val="auto"/>
        </w:rPr>
        <w:t>The 2025 Plan provides for the grant of stock bonus awards. A stock bonus award provides for payment in the form of cash, shares of our common stock, or a</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 thereof, based on the fair market value of shares subject to such award as determined by the administrator. The awards may be granted as consideration for services already rendered, or at the discretion of the administrator, may be subject to vesting restrictions based on continued service and/or performance conditions.</w:t>
      </w:r>
    </w:p>
    <w:p>
      <w:pPr>
        <w:spacing w:after="0" w:line="91"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4"/>
          <w:szCs w:val="14"/>
          <w:i w:val="1"/>
          <w:iCs w:val="1"/>
          <w:color w:val="auto"/>
        </w:rPr>
        <w:t xml:space="preserve">Dividend Equivalent Rights. </w:t>
      </w:r>
      <w:r>
        <w:rPr>
          <w:rFonts w:ascii="Arial" w:cs="Arial" w:eastAsia="Arial" w:hAnsi="Arial"/>
          <w:sz w:val="14"/>
          <w:szCs w:val="14"/>
          <w:color w:val="auto"/>
        </w:rPr>
        <w:t>The 2025 Plan permits awards to be granted with dividend equivalent rights. Dividend equivalent rights may be granted at the discretion of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administrator and represent the right to receive the value of dividends, if any, paid by us in respect of the number of shares of our common stock underlying an award. Dividend equivalent rights will be subject to the same vesting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211</w:t>
      </w:r>
    </w:p>
    <w:p>
      <w:pPr>
        <w:sectPr>
          <w:pgSz w:w="11900" w:h="16838" w:orient="portrait"/>
          <w:cols w:equalWidth="0" w:num="1">
            <w:col w:w="11280"/>
          </w:cols>
          <w:pgMar w:left="300" w:top="209" w:right="319" w:bottom="1440" w:gutter="0" w:footer="0" w:header="0"/>
        </w:sectPr>
      </w:pPr>
    </w:p>
    <w:bookmarkStart w:id="227" w:name="page228"/>
    <w:bookmarkEnd w:id="2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performance conditions as the underlying award and will be paid only when the underlying award becomes vested or may be deemed to have been reinvested by us.</w:t>
      </w:r>
    </w:p>
    <w:p>
      <w:pPr>
        <w:spacing w:after="0" w:line="133"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i w:val="1"/>
          <w:iCs w:val="1"/>
          <w:color w:val="auto"/>
        </w:rPr>
        <w:t xml:space="preserve">Change of Control. </w:t>
      </w:r>
      <w:r>
        <w:rPr>
          <w:rFonts w:ascii="Arial" w:cs="Arial" w:eastAsia="Arial" w:hAnsi="Arial"/>
          <w:sz w:val="14"/>
          <w:szCs w:val="14"/>
          <w:color w:val="auto"/>
        </w:rPr>
        <w:t>Our 2025 Plan provides that, in the event of a corporate transaction that constitutes a change of control of our company under the terms of the plan,</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awards will be subject to the agreement evidencing the corporate transaction, which need not treat all outstanding awards in an identical manner, and may include one or more of the following: (1) the continuation of the outstanding awards, (2) the assumption of the outstanding awards by the surviving corporation or its parent, (3) the substitution by the surviving corporation or its parent of new options or equity awards for the outstanding awards, (4) the full or partial acceleration of exercisability or vesting or lapse of our right to repurchase or other terms of forfeiture and accelerated expiration of the award, (5) the settlement of the full value of the outstanding awards (whether or not then vested or exercisable) in cash, cash equivalents, or securities of the successor entity with a fair market value equal to the required amount, as determined in accordance with the 2025 Plan, which payments may be deferred until the date or dates the award would have become exercisable or vested, or (6) the cancellation of outstanding awards for no consideration.</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the event of a corporate transaction in which awards are not assumed, converted, replaced, or substituted, then notwithstanding any other provision in our 2025 Plan, each outstanding time-based award held by an employee shall accelerate vesting as to an additional 12 months of vesting.</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event of a corporate transaction in which awards are assumed, converted, replaced, or substituted, then notwithstanding any other provision in our 2025 Plan, in the event an employee is subject to a termination without cause (as defined in our 2025 Plan) or resigns due to a constructive termination (as defined in our 2025 Plan), in each case within 12 months following the corporate transaction, then, subject to a release requirement, each outstanding time-based award held by such employee shall accelerate vesting as to an additional 12 months of vesting.</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a corporate transaction, the vesting of all awards granted to our non-employee directors will accelerate and such awards will become exercisable, to the extent applicable, and vested in full immediately prior to the consummation of the change of control. In the event the successor refuses to assume, convert, replace, or substitute awards as provided above pursuant to a corporate transaction, our compensation committee will notify each participant that such award will, if exercisable, be exercisable for a period of time determined by the committee and expire after such period.</w:t>
      </w:r>
    </w:p>
    <w:p>
      <w:pPr>
        <w:spacing w:after="0" w:line="96"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i w:val="1"/>
          <w:iCs w:val="1"/>
          <w:color w:val="auto"/>
        </w:rPr>
        <w:t xml:space="preserve">Adjustment. </w:t>
      </w:r>
      <w:r>
        <w:rPr>
          <w:rFonts w:ascii="Arial" w:cs="Arial" w:eastAsia="Arial" w:hAnsi="Arial"/>
          <w:sz w:val="14"/>
          <w:szCs w:val="14"/>
          <w:color w:val="auto"/>
        </w:rPr>
        <w:t>In the event of a change in the number or class of outstanding shares of our common stock by reason of a stock dividend, extraordinary dividend or distribution</w:t>
      </w:r>
      <w:r>
        <w:rPr>
          <w:rFonts w:ascii="Arial" w:cs="Arial" w:eastAsia="Arial" w:hAnsi="Arial"/>
          <w:sz w:val="14"/>
          <w:szCs w:val="14"/>
          <w:i w:val="1"/>
          <w:iCs w:val="1"/>
          <w:color w:val="auto"/>
        </w:rPr>
        <w:t xml:space="preserve"> </w:t>
      </w:r>
      <w:r>
        <w:rPr>
          <w:rFonts w:ascii="Arial" w:cs="Arial" w:eastAsia="Arial" w:hAnsi="Arial"/>
          <w:sz w:val="14"/>
          <w:szCs w:val="14"/>
          <w:color w:val="auto"/>
        </w:rPr>
        <w:t>(other than a regular cash dividend), recapitalization, stock split, reverse stock split, subdivision, combination, consolidation reclassification, spin-off, or similar change in our capital structure, proportional adjustments will be made to (1) the number and class of shares reserved for issuance under our 2025 Plan, (2) the exercise prices, number, and class of shares subject to outstanding options or SARs, (3) the number and class of shares subject to other outstanding awards, and (4) the maximum number of shares that may be issued as ISOs under the 2025 Plan, subject to any required action by the board or our stockholders and compliance with applicable laws.</w:t>
      </w:r>
    </w:p>
    <w:p>
      <w:pPr>
        <w:spacing w:after="0" w:line="98"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4"/>
          <w:szCs w:val="14"/>
          <w:i w:val="1"/>
          <w:iCs w:val="1"/>
          <w:color w:val="auto"/>
        </w:rPr>
        <w:t>Exchange, Repricing, and Buyout of Awards</w:t>
      </w:r>
      <w:r>
        <w:rPr>
          <w:rFonts w:ascii="Arial" w:cs="Arial" w:eastAsia="Arial" w:hAnsi="Arial"/>
          <w:sz w:val="14"/>
          <w:szCs w:val="14"/>
          <w:color w:val="auto"/>
        </w:rPr>
        <w:t>. The administrator may, without prior stockholder approval, (1) reduce the exercise price of outstanding options or SARs without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of any participant and (2) pay cash or issue new awards in exchange for the surrender and cancellation of any, or all, outstanding awards, subject to the consent of any affected participant to the extent required by the terms of the 2025 Plan.</w:t>
      </w:r>
    </w:p>
    <w:p>
      <w:pPr>
        <w:spacing w:after="0" w:line="91"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4"/>
          <w:szCs w:val="14"/>
          <w:i w:val="1"/>
          <w:iCs w:val="1"/>
          <w:color w:val="auto"/>
        </w:rPr>
        <w:t>Director Compensation Limits</w:t>
      </w:r>
      <w:r>
        <w:rPr>
          <w:rFonts w:ascii="Arial" w:cs="Arial" w:eastAsia="Arial" w:hAnsi="Arial"/>
          <w:sz w:val="14"/>
          <w:szCs w:val="14"/>
          <w:color w:val="auto"/>
        </w:rPr>
        <w:t>. No non-employee director may receive awards under our 2025 Plan with a grant date value that when combined with cash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received for his or her service as a director, exceeds $1,000,000 in a calendar year, including in the calendar year of his or her initial service as a non-employee director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212</w:t>
      </w:r>
    </w:p>
    <w:p>
      <w:pPr>
        <w:sectPr>
          <w:pgSz w:w="11900" w:h="16838" w:orient="portrait"/>
          <w:cols w:equalWidth="0" w:num="1">
            <w:col w:w="11280"/>
          </w:cols>
          <w:pgMar w:left="300" w:top="209" w:right="319" w:bottom="1440" w:gutter="0" w:footer="0" w:header="0"/>
        </w:sectPr>
      </w:pPr>
    </w:p>
    <w:bookmarkStart w:id="228" w:name="page229"/>
    <w:bookmarkEnd w:id="2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4"/>
          <w:szCs w:val="14"/>
          <w:i w:val="1"/>
          <w:iCs w:val="1"/>
          <w:color w:val="auto"/>
        </w:rPr>
        <w:t>Clawback; Transferability</w:t>
      </w:r>
      <w:r>
        <w:rPr>
          <w:rFonts w:ascii="Arial" w:cs="Arial" w:eastAsia="Arial" w:hAnsi="Arial"/>
          <w:sz w:val="14"/>
          <w:szCs w:val="14"/>
          <w:color w:val="auto"/>
        </w:rPr>
        <w:t>. All awards will be subject to clawback or recoupment pursuant to any compensation clawback or recoupment policy adopted by our board of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or required by law, to the extent set forth in such policy or applicable agreement. Except in limited circumstances, awards granted under our 2025 Plan may generally not be transferred in any manner other than by will or by the laws of descent and distribution.</w:t>
      </w:r>
    </w:p>
    <w:p>
      <w:pPr>
        <w:spacing w:after="0" w:line="91" w:lineRule="exact"/>
        <w:rPr>
          <w:sz w:val="20"/>
          <w:szCs w:val="20"/>
          <w:color w:val="auto"/>
        </w:rPr>
      </w:pPr>
    </w:p>
    <w:p>
      <w:pPr>
        <w:jc w:val="both"/>
        <w:ind w:firstLine="343"/>
        <w:spacing w:after="0" w:line="286" w:lineRule="auto"/>
        <w:rPr>
          <w:sz w:val="20"/>
          <w:szCs w:val="20"/>
          <w:color w:val="auto"/>
        </w:rPr>
      </w:pPr>
      <w:r>
        <w:rPr>
          <w:rFonts w:ascii="Arial" w:cs="Arial" w:eastAsia="Arial" w:hAnsi="Arial"/>
          <w:sz w:val="14"/>
          <w:szCs w:val="14"/>
          <w:i w:val="1"/>
          <w:iCs w:val="1"/>
          <w:color w:val="auto"/>
        </w:rPr>
        <w:t>Sub-plans</w:t>
      </w:r>
      <w:r>
        <w:rPr>
          <w:rFonts w:ascii="Arial" w:cs="Arial" w:eastAsia="Arial" w:hAnsi="Arial"/>
          <w:sz w:val="14"/>
          <w:szCs w:val="14"/>
          <w:color w:val="auto"/>
        </w:rPr>
        <w:t>. Subject to the terms of the 2025 Plan, the administrator may establish a sub-plan under the 2025 Plan and/or modify the terms of awards granted to participants</w:t>
      </w:r>
      <w:r>
        <w:rPr>
          <w:rFonts w:ascii="Arial" w:cs="Arial" w:eastAsia="Arial" w:hAnsi="Arial"/>
          <w:sz w:val="14"/>
          <w:szCs w:val="14"/>
          <w:i w:val="1"/>
          <w:iCs w:val="1"/>
          <w:color w:val="auto"/>
        </w:rPr>
        <w:t xml:space="preserve"> </w:t>
      </w:r>
      <w:r>
        <w:rPr>
          <w:rFonts w:ascii="Arial" w:cs="Arial" w:eastAsia="Arial" w:hAnsi="Arial"/>
          <w:sz w:val="14"/>
          <w:szCs w:val="14"/>
          <w:color w:val="auto"/>
        </w:rPr>
        <w:t>outside of the United States to comply with any laws or regulations applicable to any such jurisdiction.</w:t>
      </w:r>
    </w:p>
    <w:p>
      <w:pPr>
        <w:spacing w:after="0" w:line="79"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4"/>
          <w:szCs w:val="14"/>
          <w:i w:val="1"/>
          <w:iCs w:val="1"/>
          <w:color w:val="auto"/>
        </w:rPr>
        <w:t xml:space="preserve">Amendment; Termination. </w:t>
      </w:r>
      <w:r>
        <w:rPr>
          <w:rFonts w:ascii="Arial" w:cs="Arial" w:eastAsia="Arial" w:hAnsi="Arial"/>
          <w:sz w:val="14"/>
          <w:szCs w:val="14"/>
          <w:color w:val="auto"/>
        </w:rPr>
        <w:t>Our board of directors or compensation committee may amend our 2025 Plan at any time, subject to stockholder approval as may be required. Our</w:t>
      </w:r>
      <w:r>
        <w:rPr>
          <w:rFonts w:ascii="Arial" w:cs="Arial" w:eastAsia="Arial" w:hAnsi="Arial"/>
          <w:sz w:val="14"/>
          <w:szCs w:val="14"/>
          <w:i w:val="1"/>
          <w:iCs w:val="1"/>
          <w:color w:val="auto"/>
        </w:rPr>
        <w:t xml:space="preserve"> </w:t>
      </w:r>
      <w:r>
        <w:rPr>
          <w:rFonts w:ascii="Arial" w:cs="Arial" w:eastAsia="Arial" w:hAnsi="Arial"/>
          <w:sz w:val="14"/>
          <w:szCs w:val="14"/>
          <w:color w:val="auto"/>
        </w:rPr>
        <w:t>2025 Plan will terminate ten years from the date our board of directors adopts the plan, unless it is terminated earlier by our board of directors. No termination or amendment of the 2025 Plan may adversely affect any then-outstanding award without the consent of the affected participant, except as is necessary to comply with applicable laws or as otherwise provided by the terms of the 2025 Plan.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Employee Stock Purchase Plan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September 2025, our board of directors and our stockholders approved our 2025 ESPP, which will become effective upon the date the registration statement of which this prospectus forms a part becomes effective to enable eligible employees to purchase shares of our common stock with accumulated payroll deductions.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2025 ESPP includes two components: a “423 Component” and a “Non-423 Component.” We intend the 423 Component to qualify as options issued under an “employee stock purchase plan” as that term is defined in Section 423(b) of the Code. Except as otherwise provided in the 2025 ESPP or determined by our board of directors or the compensation committee, the Non-423 Component (if any) will operate and be administered in the same manner as the 423 Component.</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Share Reserve</w:t>
      </w:r>
      <w:r>
        <w:rPr>
          <w:rFonts w:ascii="Arial" w:cs="Arial" w:eastAsia="Arial" w:hAnsi="Arial"/>
          <w:sz w:val="14"/>
          <w:szCs w:val="14"/>
          <w:color w:val="auto"/>
        </w:rPr>
        <w:t>. We have initially reserved 4,500,000 shares of our common stock for issuance and sale under our 2025 ESPP. The number of shares reserved for issuance and sale</w:t>
      </w:r>
      <w:r>
        <w:rPr>
          <w:rFonts w:ascii="Arial" w:cs="Arial" w:eastAsia="Arial" w:hAnsi="Arial"/>
          <w:sz w:val="14"/>
          <w:szCs w:val="14"/>
          <w:i w:val="1"/>
          <w:iCs w:val="1"/>
          <w:color w:val="auto"/>
        </w:rPr>
        <w:t xml:space="preserve"> </w:t>
      </w:r>
      <w:r>
        <w:rPr>
          <w:rFonts w:ascii="Arial" w:cs="Arial" w:eastAsia="Arial" w:hAnsi="Arial"/>
          <w:sz w:val="14"/>
          <w:szCs w:val="14"/>
          <w:color w:val="auto"/>
        </w:rPr>
        <w:t>under our 2025 ESPP will increase automatically on February 1 of each of 2026 through 2035 by the number of shares equal to 1% of the aggregate number of outstanding shares of all classes of our common stock as of the immediately preceding January 31, or a lesser number as may be determined by our board of directors (the “2025 ESPP Evergreen Provision”). The 2025 ESPP Evergreen Provision is calculated using the number of legally outstanding shares of common stock and includes shares, such as unvested shares pursuant to early exercised stock options, that are not considered outstanding for accounting purposes. Subject to stock splits, recapitalizations, or similar events, no more than 45,000,000 shares of our common stock may be issued over the term of our 2025 ESPP.</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Our 2025 ESPP will be administered by our compensation committee or by our board of directors acting in place of our compensation committee, subject to the terms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conditions of our 2025 ESPP, referred to herein as the “administrator.” Among other things, the administrator will have the authority to determine eligibility for participation in our 2025 ESPP (to the extent permitted by applicable law), designate separate offerings under the plan (and determine the length of such offerings), and construe, interpret, and apply the terms of the plan.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Employees eligible to participate in any offering pursuant to our 2025 ESPP generally include any employee that is employed by us or certain of our designated subsidiaries</w:t>
      </w:r>
      <w:r>
        <w:rPr>
          <w:rFonts w:ascii="Arial" w:cs="Arial" w:eastAsia="Arial" w:hAnsi="Arial"/>
          <w:sz w:val="14"/>
          <w:szCs w:val="14"/>
          <w:i w:val="1"/>
          <w:iCs w:val="1"/>
          <w:color w:val="auto"/>
        </w:rPr>
        <w:t xml:space="preserve"> </w:t>
      </w:r>
      <w:r>
        <w:rPr>
          <w:rFonts w:ascii="Arial" w:cs="Arial" w:eastAsia="Arial" w:hAnsi="Arial"/>
          <w:sz w:val="14"/>
          <w:szCs w:val="14"/>
          <w:color w:val="auto"/>
        </w:rPr>
        <w:t>at the beginning of the offering period. However, the administrator may exclude employees who have been employed for less than two years, are customarily employed for 20 hours or less per week, are customarily employed for five months or less in a calendar year, certain highly compensated employees as determined in accordance with applicable tax laws and certain employees who are citizens or residents of a foreign jurisdiction if such participation is prohibited under applicable local laws or would violate the requirements of Section 423 of the Code (with respect to an offering under a 423 Component). In addition,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213</w:t>
      </w:r>
    </w:p>
    <w:p>
      <w:pPr>
        <w:sectPr>
          <w:pgSz w:w="11900" w:h="16838" w:orient="portrait"/>
          <w:cols w:equalWidth="0" w:num="1">
            <w:col w:w="11280"/>
          </w:cols>
          <w:pgMar w:left="300" w:top="209" w:right="319" w:bottom="1440" w:gutter="0" w:footer="0" w:header="0"/>
        </w:sectPr>
      </w:pPr>
    </w:p>
    <w:bookmarkStart w:id="229" w:name="page230"/>
    <w:bookmarkEnd w:id="2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employee who owns (or is deemed to own because of attribution rules) 5% or more of the total combined voting power or value of all classes of our capital stock, or the capital stock of one of our qualifying subsidiaries, or who will own such amount because of participation in our 2025 ESPP, will not be eligible to participate in our 2025 ESPP. The administrator may impose additional restrictions on eligibility from time to time.</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Offerings. </w:t>
      </w:r>
      <w:r>
        <w:rPr>
          <w:rFonts w:ascii="Arial" w:cs="Arial" w:eastAsia="Arial" w:hAnsi="Arial"/>
          <w:sz w:val="14"/>
          <w:szCs w:val="14"/>
          <w:color w:val="auto"/>
        </w:rPr>
        <w:t>Under our 2025 ESPP, eligible employees will be offered the option to purchase shares of our common stock at a discount over a series of offering periods through</w:t>
      </w:r>
      <w:r>
        <w:rPr>
          <w:rFonts w:ascii="Arial" w:cs="Arial" w:eastAsia="Arial" w:hAnsi="Arial"/>
          <w:sz w:val="14"/>
          <w:szCs w:val="14"/>
          <w:i w:val="1"/>
          <w:iCs w:val="1"/>
          <w:color w:val="auto"/>
        </w:rPr>
        <w:t xml:space="preserve"> </w:t>
      </w:r>
      <w:r>
        <w:rPr>
          <w:rFonts w:ascii="Arial" w:cs="Arial" w:eastAsia="Arial" w:hAnsi="Arial"/>
          <w:sz w:val="14"/>
          <w:szCs w:val="14"/>
          <w:color w:val="auto"/>
        </w:rPr>
        <w:t>accumulated payroll deductions over the period. Each offering period may itself consist of one or more purchase periods. No offering period may be longer than 27 months. The purchase price for shares purchased under our 2025 ESPP during any given purchase period will be 85% of the lesser of the fair market value of our common stock on (1) the first trading day of the applicable offering period or (2) the last trading day of the applicable purchase period.</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No participant may purchase more than 2,500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91"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4"/>
          <w:szCs w:val="14"/>
          <w:i w:val="1"/>
          <w:iCs w:val="1"/>
          <w:color w:val="auto"/>
        </w:rPr>
        <w:t xml:space="preserve">Adjustments Upon Recapitalization. </w:t>
      </w:r>
      <w:r>
        <w:rPr>
          <w:rFonts w:ascii="Arial" w:cs="Arial" w:eastAsia="Arial" w:hAnsi="Arial"/>
          <w:sz w:val="14"/>
          <w:szCs w:val="14"/>
          <w:color w:val="auto"/>
        </w:rPr>
        <w:t>If the number or class of outstanding shares of our common stock is changed by stock dividend, recapitalization, stock split, reverse stock</w:t>
      </w:r>
      <w:r>
        <w:rPr>
          <w:rFonts w:ascii="Arial" w:cs="Arial" w:eastAsia="Arial" w:hAnsi="Arial"/>
          <w:sz w:val="14"/>
          <w:szCs w:val="14"/>
          <w:i w:val="1"/>
          <w:iCs w:val="1"/>
          <w:color w:val="auto"/>
        </w:rPr>
        <w:t xml:space="preserve"> </w:t>
      </w:r>
      <w:r>
        <w:rPr>
          <w:rFonts w:ascii="Arial" w:cs="Arial" w:eastAsia="Arial" w:hAnsi="Arial"/>
          <w:sz w:val="14"/>
          <w:szCs w:val="14"/>
          <w:color w:val="auto"/>
        </w:rPr>
        <w:t>split, subdivision, combination, reclassification or similar change in our capital structure without consideration, then the administrator will proportionately adjust the number or class of shares of our common stock that are available under our 2025 ESPP, the purchase price and number or class of shares any participant has elected to purchase as well as the maximum number of shares which may be purchased by participants.</w:t>
      </w:r>
    </w:p>
    <w:p>
      <w:pPr>
        <w:spacing w:after="0" w:line="96"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4"/>
          <w:szCs w:val="14"/>
          <w:i w:val="1"/>
          <w:iCs w:val="1"/>
          <w:color w:val="auto"/>
        </w:rPr>
        <w:t xml:space="preserve">Change of Control. </w:t>
      </w:r>
      <w:r>
        <w:rPr>
          <w:rFonts w:ascii="Arial" w:cs="Arial" w:eastAsia="Arial" w:hAnsi="Arial"/>
          <w:sz w:val="14"/>
          <w:szCs w:val="14"/>
          <w:color w:val="auto"/>
        </w:rPr>
        <w:t>If we experience a corporate transaction that constitutes a change of control of our company as determined under the terms of our 2025 ESPP, any offering</w:t>
      </w:r>
      <w:r>
        <w:rPr>
          <w:rFonts w:ascii="Arial" w:cs="Arial" w:eastAsia="Arial" w:hAnsi="Arial"/>
          <w:sz w:val="14"/>
          <w:szCs w:val="14"/>
          <w:i w:val="1"/>
          <w:iCs w:val="1"/>
          <w:color w:val="auto"/>
        </w:rPr>
        <w:t xml:space="preserve"> </w:t>
      </w:r>
      <w:r>
        <w:rPr>
          <w:rFonts w:ascii="Arial" w:cs="Arial" w:eastAsia="Arial" w:hAnsi="Arial"/>
          <w:sz w:val="14"/>
          <w:szCs w:val="14"/>
          <w:color w:val="auto"/>
        </w:rPr>
        <w:t>period then in effect will be shortened and terminated on a final purchase date established by the administrator. The final purchase date will occur on or prior to the effective date of the corporate transaction, and our 2025 ESPP will terminate on the closing of the corporate transaction.</w:t>
      </w:r>
    </w:p>
    <w:p>
      <w:pPr>
        <w:spacing w:after="0" w:line="91" w:lineRule="exact"/>
        <w:rPr>
          <w:sz w:val="20"/>
          <w:szCs w:val="20"/>
          <w:color w:val="auto"/>
        </w:rPr>
      </w:pPr>
    </w:p>
    <w:p>
      <w:pPr>
        <w:jc w:val="both"/>
        <w:ind w:firstLine="343"/>
        <w:spacing w:after="0" w:line="286"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Participants may generally not assign, transfer, pledge, or otherwise dispose of any rights regarding an election to purchase shares pursuant to our 2025 ESPP</w:t>
      </w:r>
      <w:r>
        <w:rPr>
          <w:rFonts w:ascii="Arial" w:cs="Arial" w:eastAsia="Arial" w:hAnsi="Arial"/>
          <w:sz w:val="14"/>
          <w:szCs w:val="14"/>
          <w:i w:val="1"/>
          <w:iCs w:val="1"/>
          <w:color w:val="auto"/>
        </w:rPr>
        <w:t xml:space="preserve"> </w:t>
      </w:r>
      <w:r>
        <w:rPr>
          <w:rFonts w:ascii="Arial" w:cs="Arial" w:eastAsia="Arial" w:hAnsi="Arial"/>
          <w:sz w:val="14"/>
          <w:szCs w:val="14"/>
          <w:color w:val="auto"/>
        </w:rPr>
        <w:t>other than by will or the laws of descent or distribution.</w:t>
      </w:r>
    </w:p>
    <w:p>
      <w:pPr>
        <w:spacing w:after="0" w:line="79" w:lineRule="exact"/>
        <w:rPr>
          <w:sz w:val="20"/>
          <w:szCs w:val="20"/>
          <w:color w:val="auto"/>
        </w:rPr>
      </w:pPr>
    </w:p>
    <w:p>
      <w:pPr>
        <w:jc w:val="both"/>
        <w:ind w:firstLine="343"/>
        <w:spacing w:after="0" w:line="268" w:lineRule="auto"/>
        <w:rPr>
          <w:sz w:val="20"/>
          <w:szCs w:val="20"/>
          <w:color w:val="auto"/>
        </w:rPr>
      </w:pPr>
      <w:r>
        <w:rPr>
          <w:rFonts w:ascii="Arial" w:cs="Arial" w:eastAsia="Arial" w:hAnsi="Arial"/>
          <w:sz w:val="14"/>
          <w:szCs w:val="14"/>
          <w:i w:val="1"/>
          <w:iCs w:val="1"/>
          <w:color w:val="auto"/>
        </w:rPr>
        <w:t xml:space="preserve">Amendment; Termination. </w:t>
      </w:r>
      <w:r>
        <w:rPr>
          <w:rFonts w:ascii="Arial" w:cs="Arial" w:eastAsia="Arial" w:hAnsi="Arial"/>
          <w:sz w:val="14"/>
          <w:szCs w:val="14"/>
          <w:color w:val="auto"/>
        </w:rPr>
        <w:t>The administrator may amend, suspend, or terminate our 2025 ESPP at any time without stockholder consent, except as required by law. Unless</w:t>
      </w:r>
      <w:r>
        <w:rPr>
          <w:rFonts w:ascii="Arial" w:cs="Arial" w:eastAsia="Arial" w:hAnsi="Arial"/>
          <w:sz w:val="14"/>
          <w:szCs w:val="14"/>
          <w:i w:val="1"/>
          <w:iCs w:val="1"/>
          <w:color w:val="auto"/>
        </w:rPr>
        <w:t xml:space="preserve"> </w:t>
      </w:r>
      <w:r>
        <w:rPr>
          <w:rFonts w:ascii="Arial" w:cs="Arial" w:eastAsia="Arial" w:hAnsi="Arial"/>
          <w:sz w:val="14"/>
          <w:szCs w:val="14"/>
          <w:color w:val="auto"/>
        </w:rPr>
        <w:t>earlier terminated, our 2025 ESPP will terminate upon the earlier to occur of the issuance of all shares of our common stock reserved for issuance under our 2025 ESPP, or the tenth anniversary of the effective date.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Recovery Policy</w:t>
      </w:r>
    </w:p>
    <w:p>
      <w:pPr>
        <w:spacing w:after="0" w:line="133" w:lineRule="exact"/>
        <w:rPr>
          <w:sz w:val="20"/>
          <w:szCs w:val="20"/>
          <w:color w:val="auto"/>
        </w:rPr>
      </w:pPr>
    </w:p>
    <w:p>
      <w:pPr>
        <w:jc w:val="both"/>
        <w:ind w:right="20"/>
        <w:spacing w:after="0" w:line="256" w:lineRule="auto"/>
        <w:rPr>
          <w:sz w:val="20"/>
          <w:szCs w:val="20"/>
          <w:color w:val="auto"/>
        </w:rPr>
      </w:pPr>
      <w:r>
        <w:rPr>
          <w:rFonts w:ascii="Arial" w:cs="Arial" w:eastAsia="Arial" w:hAnsi="Arial"/>
          <w:sz w:val="14"/>
          <w:szCs w:val="14"/>
          <w:color w:val="auto"/>
        </w:rPr>
        <w:t>In September 2025, we adopted a Compensation Recovery Policy (“Compensation Recovery Policy”). The Compensation Recovery Policy is in accordance with the final rules regarding recovery of erroneously awarded executive officer compensation in connection with an accounting restatement, as adopted by the SEC in October 2022, and consistent with the corresponding listing standards (together, the “Clawback Rules”). Pursuant to the Compensation Recovery Policy, and subject to certain limited exceptions in the Clawback Rules, in the event we are required to restate our financial statements, we are required to recoup erroneously awarded incentive-based compensation (as described in the Clawback Rules, including both cash and equity compensation) paid to any current or former executive officer (as described in the Clawback Rules) during the three completed fiscal years immediately prior to the date the accounting restatement was required. The amount recoverable is the amount of any incentive-based compensation received by the executive officer based on the financial statements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214</w:t>
      </w:r>
    </w:p>
    <w:p>
      <w:pPr>
        <w:sectPr>
          <w:pgSz w:w="11900" w:h="16838" w:orient="portrait"/>
          <w:cols w:equalWidth="0" w:num="1">
            <w:col w:w="11280"/>
          </w:cols>
          <w:pgMar w:left="300" w:top="209" w:right="319" w:bottom="1440" w:gutter="0" w:footer="0" w:header="0"/>
        </w:sectPr>
      </w:pPr>
    </w:p>
    <w:bookmarkStart w:id="230" w:name="page231"/>
    <w:bookmarkEnd w:id="2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the restatement that exceeds the amount that such executive officer would have received had the incentive-based compensation been determined based on the financial restatement.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Equity Award Grant Practices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grant equity awards on a discretionary basis in connection with certain events such as the commencement or anniversary of employment, promotion, high performance, or the closing of an acquisition. We do not grant awards in anticipation of the release of material nonpublic information, and we do not time the release of material nonpublic information for the purpose of affecting the value of any equity awards or executive compensation.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Limitations on Liability and Indemnification Matters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restated certificate of incorporation that will become effective immediately prior to the completion of this offering contains provisions that will limit the liability of our directors and officers for monetary damages to the fullest extent permitted by the DGCL. Consequently, our directors and officers will not be personally liable to us or our stockholders for monetary damages for any breach of fiduciary duties as directors or officers, except liability for:</w:t>
      </w:r>
    </w:p>
    <w:p>
      <w:pPr>
        <w:spacing w:after="0" w:line="91" w:lineRule="exact"/>
        <w:rPr>
          <w:sz w:val="20"/>
          <w:szCs w:val="20"/>
          <w:color w:val="auto"/>
        </w:rPr>
      </w:pPr>
    </w:p>
    <w:p>
      <w:pPr>
        <w:ind w:left="500" w:hanging="244"/>
        <w:spacing w:after="0"/>
        <w:tabs>
          <w:tab w:leader="none" w:pos="5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any breach of the director’s or officer’s duty of loyalty to us or our stockholders;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unlawful payments of dividends or unlawful stock repurchases or redemptions as provided in Section 174 of the DGCL;</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any transaction from which the director or officer derived an improper personal benefit;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with respect to officers, any action by or in the right of the corporation.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restated certificate of incorporation and our restated bylaws that will become effective immediately prior to the completion of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these provisions in our restated certificate of incorporation, restated bylaws, and indemnification agreements are necessary to attract and retain qualified persons such as directors, officers, and key employees. We also maintain directors’ and officers’ liability insurance.</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limitation of liability and indemnification provisions in our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215</w:t>
      </w:r>
    </w:p>
    <w:p>
      <w:pPr>
        <w:sectPr>
          <w:pgSz w:w="11900" w:h="16838" w:orient="portrait"/>
          <w:cols w:equalWidth="0" w:num="1">
            <w:col w:w="11280"/>
          </w:cols>
          <w:pgMar w:left="300" w:top="209" w:right="319" w:bottom="1440" w:gutter="0" w:footer="0" w:header="0"/>
        </w:sectPr>
      </w:pPr>
    </w:p>
    <w:bookmarkStart w:id="231" w:name="page232"/>
    <w:bookmarkEnd w:id="2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settlement and damage awards against directors and officers as required by these indemnification provisions.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216</w:t>
      </w:r>
    </w:p>
    <w:p>
      <w:pPr>
        <w:sectPr>
          <w:pgSz w:w="11900" w:h="16838" w:orient="portrait"/>
          <w:cols w:equalWidth="0" w:num="1">
            <w:col w:w="11280"/>
          </w:cols>
          <w:pgMar w:left="300" w:top="209" w:right="319" w:bottom="1440" w:gutter="0" w:footer="0" w:header="0"/>
        </w:sectPr>
      </w:pPr>
    </w:p>
    <w:bookmarkStart w:id="232" w:name="page233"/>
    <w:bookmarkEnd w:id="2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compensation arrangements discussed in the sections titled “Management” and “Executive Compensation,” the following is a description of each transaction since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February 1, 2022 and each currently proposed transaction in which:</w:t>
      </w:r>
    </w:p>
    <w:p>
      <w:pPr>
        <w:spacing w:after="0" w:line="119" w:lineRule="exact"/>
        <w:rPr>
          <w:sz w:val="20"/>
          <w:szCs w:val="20"/>
          <w:color w:val="auto"/>
        </w:rPr>
      </w:pPr>
    </w:p>
    <w:p>
      <w:pPr>
        <w:ind w:left="500" w:hanging="244"/>
        <w:spacing w:after="0"/>
        <w:tabs>
          <w:tab w:leader="none" w:pos="5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we have been or are to be a participant;</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amount involved exceeded or will exceed $120,000; and</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of our directors, executive officers, or holders of more than 5% of our outstanding capital stock, or any immediate family member of, or person sharing the household with, any of these individuals, had or will have a direct or indirect material interest.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Exchange Offer</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October 2022, we conducted an exchange offer (the “2022 Exchange Offer”) for an aggregate of 4,906,190 outstanding and unsettled RSUs granted under the 2017 Plan (the “Canceled RSUs”) valued at $4.93 per share for an approximate aggregate dollar value of $24.2 million held by certain of our employees and other service providers who resided in the United States, and canceled and exchanged them for an aggregate of 6,132,824 RSUs with a service-based vesting condition and a liquidity-based vesting condition, where the RSUs represent a number equal to 125% of the number of Canceled RSUs (“Exchange RSUs”) valued at $ 4.93 per share for an approximate aggregate dollar value of $30.2 million. Certain of the Exchange RSUs for which the service-based vesting condition was satisfied on the date of the exchange will fully vest upon a liquidity event, while other Exchange RSUs vest according to the applicable vesting schedule, which correspond to the applicable service requirement for each holder of Exchange RSUs. David Fortunato, our Chief Executive Officer and President; Lauren Lin, our Chief Legal Officer, Chief Compliance Officer, and Secretary; and Kenneth A. Goldman, a member of our board of directors, participated in the 2022 Exchange Offer. Mr. Fortunato exchanged 383,519 Canceled RSUs for 479,399 Exchange RSUs; Ms. Lin exchanged 20,945 Canceled RSUs for 26,182 Exchange RSUs; and Mr. Goldman exchanged 27,778 Canceled RSUs for 34,723 Exchange RSUs.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Tender Offer</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August 2024, we initiated the 2024 Tender Offer, and in September 2024, we repurchased an aggregate of 1,996,765 shares of our outstanding common stock at a purchase price of $11.76 per share for an aggregate purchase price of approximately $23.5 million. Certain of our executive officers participated in the 2024 Tender Offer.</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following table summarizes the shares of our common stock sold by our executive officers in the 2024 Tender Offer. The amounts set forth in the column titled “Total Purchase Price” represent the gross sale proceeds realized by the seller, before any reduction for transaction costs, tax withholding, or amounts remitted to us in respect of the net exercise of employee stock options: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 of Common Stock</w:t>
            </w:r>
          </w:p>
        </w:tc>
        <w:tc>
          <w:tcPr>
            <w:tcW w:w="240" w:type="dxa"/>
            <w:vAlign w:val="bottom"/>
          </w:tcPr>
          <w:p>
            <w:pPr>
              <w:spacing w:after="0"/>
              <w:rPr>
                <w:sz w:val="10"/>
                <w:szCs w:val="10"/>
                <w:color w:val="auto"/>
              </w:rPr>
            </w:pPr>
          </w:p>
        </w:tc>
        <w:tc>
          <w:tcPr>
            <w:tcW w:w="1320" w:type="dxa"/>
            <w:vAlign w:val="bottom"/>
          </w:tcPr>
          <w:p>
            <w:pPr>
              <w:jc w:val="right"/>
              <w:ind w:right="57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3"/>
        </w:trPr>
        <w:tc>
          <w:tcPr>
            <w:tcW w:w="80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15"/>
              <w:spacing w:after="0"/>
              <w:rPr>
                <w:sz w:val="20"/>
                <w:szCs w:val="20"/>
                <w:color w:val="auto"/>
              </w:rPr>
            </w:pPr>
            <w:r>
              <w:rPr>
                <w:rFonts w:ascii="Arial" w:cs="Arial" w:eastAsia="Arial" w:hAnsi="Arial"/>
                <w:sz w:val="11"/>
                <w:szCs w:val="11"/>
                <w:b w:val="1"/>
                <w:bCs w:val="1"/>
                <w:color w:val="auto"/>
              </w:rPr>
              <w:t>Purchase Price</w:t>
            </w:r>
          </w:p>
        </w:tc>
        <w:tc>
          <w:tcPr>
            <w:tcW w:w="0" w:type="dxa"/>
            <w:vAlign w:val="bottom"/>
          </w:tcPr>
          <w:p>
            <w:pPr>
              <w:spacing w:after="0"/>
              <w:rPr>
                <w:sz w:val="1"/>
                <w:szCs w:val="1"/>
                <w:color w:val="auto"/>
              </w:rPr>
            </w:pPr>
          </w:p>
        </w:tc>
      </w:tr>
      <w:tr>
        <w:trPr>
          <w:trHeight w:val="16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Alan Imberman</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85,034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79"/>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Kal Iyer</w:t>
            </w:r>
          </w:p>
        </w:tc>
        <w:tc>
          <w:tcPr>
            <w:tcW w:w="1580" w:type="dxa"/>
            <w:vAlign w:val="bottom"/>
          </w:tcPr>
          <w:p>
            <w:pPr>
              <w:jc w:val="right"/>
              <w:spacing w:after="0"/>
              <w:rPr>
                <w:sz w:val="20"/>
                <w:szCs w:val="20"/>
                <w:color w:val="auto"/>
              </w:rPr>
            </w:pPr>
            <w:r>
              <w:rPr>
                <w:rFonts w:ascii="Arial" w:cs="Arial" w:eastAsia="Arial" w:hAnsi="Arial"/>
                <w:sz w:val="14"/>
                <w:szCs w:val="14"/>
                <w:color w:val="auto"/>
              </w:rPr>
              <w:t>85,034</w:t>
            </w:r>
          </w:p>
        </w:tc>
        <w:tc>
          <w:tcPr>
            <w:tcW w:w="8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7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Lauren Lin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598,208</w:t>
            </w:r>
          </w:p>
        </w:tc>
        <w:tc>
          <w:tcPr>
            <w:tcW w:w="0" w:type="dxa"/>
            <w:vAlign w:val="bottom"/>
          </w:tcPr>
          <w:p>
            <w:pPr>
              <w:spacing w:after="0"/>
              <w:rPr>
                <w:sz w:val="1"/>
                <w:szCs w:val="1"/>
                <w:color w:val="auto"/>
              </w:rPr>
            </w:pPr>
          </w:p>
        </w:tc>
      </w:tr>
      <w:tr>
        <w:trPr>
          <w:trHeight w:val="185"/>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Julien Wetterwald</w:t>
            </w:r>
          </w:p>
        </w:tc>
        <w:tc>
          <w:tcPr>
            <w:tcW w:w="1580" w:type="dxa"/>
            <w:vAlign w:val="bottom"/>
          </w:tcPr>
          <w:p>
            <w:pPr>
              <w:jc w:val="right"/>
              <w:spacing w:after="0"/>
              <w:rPr>
                <w:sz w:val="20"/>
                <w:szCs w:val="20"/>
                <w:color w:val="auto"/>
              </w:rPr>
            </w:pPr>
            <w:r>
              <w:rPr>
                <w:rFonts w:ascii="Arial" w:cs="Arial" w:eastAsia="Arial" w:hAnsi="Arial"/>
                <w:sz w:val="14"/>
                <w:szCs w:val="14"/>
                <w:color w:val="auto"/>
              </w:rPr>
              <w:t>85,034</w:t>
            </w:r>
          </w:p>
        </w:tc>
        <w:tc>
          <w:tcPr>
            <w:tcW w:w="8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Transactions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August 2023, we amended the Bridge Loan, originally entered into in January 2022 between Andrew Rachleff, a member of our board of directors, and us, pursuant to which we could borrow from Mr. Rachleff from time to time. The amendment extended the maturity date to September 2025, amended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217</w:t>
      </w:r>
    </w:p>
    <w:p>
      <w:pPr>
        <w:sectPr>
          <w:pgSz w:w="11900" w:h="16838" w:orient="portrait"/>
          <w:cols w:equalWidth="0" w:num="1">
            <w:col w:w="11280"/>
          </w:cols>
          <w:pgMar w:left="300" w:top="209" w:right="319" w:bottom="1440" w:gutter="0" w:footer="0" w:header="0"/>
        </w:sectPr>
      </w:pPr>
    </w:p>
    <w:bookmarkStart w:id="233" w:name="page234"/>
    <w:bookmarkEnd w:id="2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interest rate for the period from April 2024 to September 2025 to 12.5%, increased the threshold for an Equity Financing (as defined in the Bridge Loan) to constitute a repayment acceleration event from $50 million to $100 million and assigned the loan from Mr. Rachleff to the Rachleff Family Revocable Trust UTD 5/19/92. The loan was repaid in full and all obligations under the Bridge Loan were satisfied in November 2024. For additional information regarding the Bridge Loan, see the section titled “Management’s Discussion and Analysis of Financial Condition and Results of Operations—Comparison of Fiscal Years Ended January 31, 2024 and 2025—Borrowings—Bridge Loan.”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Apeksha Garga, the spouse of Mr. Fortunato, our Chief Executive Officer and President, was employed by us in a non-executive officer role as Vice President of Design and Marketing from August 2016 to November 2023. During fiscal 2023 and fiscal 2024, Ms. Garga’s annual base salary was $387,583 and $308,352, respectively, in addition to equity compensation and a bonus payment for fiscal 2024. For each fiscal period, Ms. Garga’s compensation was based on reference to external market practice of similar positions or internal pay equity when compared to the compensation paid to employees in similar positions who were not related to our Chief Executive Officer and President. Ms. Garga was also eligible for equity awards on the same general terms and conditions as applicable to employees in similar positions who were not related to our Chief Executive Officer and President.</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July 2024, in connection with our acquisition of Unified National Mortgage LLC, which we renamed Wealthfront Home Lending, LLC (“Wealthfront Home Lending”), for an aggregate purchase price of $357,513, we entered into a series of agreements with Mr. Fortunato, our Chief Executive Officer and President, Wealthfront Home Lending, and Wealthfront Holdings LLC (“Wealthfront Holdings”), the purchasing entity of Wealthfront Home Lending. Pursuant to these agreements, Mr. Fortunato acquired 95.1% of the ownership interests of Wealthfront Holdings, with Wealthfront Corporation holding the remaining 4.9% of the ownership interests. Pursuant to these management and financing agreements, Wealthfront Corporation has the ability to direct the significant activities of Wealthfront Home Lending, and absorbs and funds all benefits and losses of Wealthfront Home Lending.</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Certain of our executive officers, directors, and holders of more than 5% of our capital stock, and immediate family members of, or persons sharing households with, such individuals, have accounts on our platform and use our products and services in the ordinary course. Similar to our other clients, we receive fees in connection with such use.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Investors’ Rights Agreement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party to an amended and restated investors’ rights agreement (the “IRA”), which provides, among other things, that certain holders of our capital stock, including Mr. Rachleff, a member of our board of directors, Tiger Global Private Investment Partners X, L.P., funds affiliated with DAG Ventures Management IV, LLC, funds affiliated with Index Venture Growth Associates II Limited, and funds affiliated with Ribbit Capital GP II, Ltd., which are beneficial owners of more than 5% of our outstanding capital stock, have the right to demand that we file a registration statement or request that their shares of our capital stock be included on a registration statement that we are otherwise filing. See the section titled “Description of Capital Stock—Registration Rights” for additional information regarding these registration rights.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Agreements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entered into, and intend to continue to enter into, separate indemnification agreements with each of our executive officers and directors, including those affiliated with certain of our 5% stockholders.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See the section titled “Executive Compensation—Limitations on Liability and Indemnification Matters” for additional information regarding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218</w:t>
      </w:r>
    </w:p>
    <w:p>
      <w:pPr>
        <w:sectPr>
          <w:pgSz w:w="11900" w:h="16838" w:orient="portrait"/>
          <w:cols w:equalWidth="0" w:num="1">
            <w:col w:w="11280"/>
          </w:cols>
          <w:pgMar w:left="300" w:top="209" w:right="319" w:bottom="1440" w:gutter="0" w:footer="0" w:header="0"/>
        </w:sectPr>
      </w:pPr>
    </w:p>
    <w:bookmarkStart w:id="234" w:name="page235"/>
    <w:bookmarkEnd w:id="2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Policies and Procedures for Related Party Transactions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Upon completion of this offering, our policy regarding transactions between us and related persons will provide that a related person is defined as a director, executive officer, nominee for director, or greater than 5% beneficial owner of our securities, in each case since the beginning of the most recently completed year, and any of their immediate family members. Our audit committee charter that will be in effect immediately prior to the completion of this offering will provide that our audit committee shall review and approve or disapprove any related party transactions. In approving or rejecting any such transaction,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219</w:t>
      </w:r>
    </w:p>
    <w:p>
      <w:pPr>
        <w:sectPr>
          <w:pgSz w:w="11900" w:h="16838" w:orient="portrait"/>
          <w:cols w:equalWidth="0" w:num="1">
            <w:col w:w="11280"/>
          </w:cols>
          <w:pgMar w:left="300" w:top="209" w:right="319" w:bottom="1440" w:gutter="0" w:footer="0" w:header="0"/>
        </w:sectPr>
      </w:pPr>
    </w:p>
    <w:bookmarkStart w:id="235" w:name="page236"/>
    <w:bookmarkEnd w:id="2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AND SELLING STOCKHOLDERS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sets forth certain information with respect to the beneficial ownership of our common stock as of December 1, 2025 and as adjusted to reflect the sale of our common stock in this offering assuming no exercise of the underwriters’ option to purchase additional shares, for:</w:t>
      </w:r>
    </w:p>
    <w:p>
      <w:pPr>
        <w:spacing w:after="0" w:line="79" w:lineRule="exact"/>
        <w:rPr>
          <w:sz w:val="20"/>
          <w:szCs w:val="20"/>
          <w:color w:val="auto"/>
        </w:rPr>
      </w:pPr>
    </w:p>
    <w:p>
      <w:pPr>
        <w:ind w:left="500" w:hanging="244"/>
        <w:spacing w:after="0"/>
        <w:tabs>
          <w:tab w:leader="none" w:pos="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all of our current directors and executive officers as a group;</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each of the selling stockholders;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each person known by us to be the beneficial owner of more than 5% of the outstanding shares of our common stock.</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Applicable percentage ownership of our common stock before this offering is based on 113,271,719 shares of our common stock outstanding as of December 1, 2025. For purposes of the table below, we have assumed the (i) occurrence of the Capital Stock Conversion, the Option Exercise, the RSU Net Settlement, and the SAFE Settlement and (ii) issuance of 21,468,038 shares of our common stock (assuming an initial public offering price of $13.00 per share, which is the midpoint of the offering price range set forth on the cover page of this prospectus). The exact number of shares of our common stock that will be withheld from a stockholder in connection with the RSU Net Settlement may differ based on the stockholder’s personal tax rates.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December 1, 2025, and RSUs that are expected to vest and settle within 60 days of December 1, 2025. We did not deem these shares outstanding, however, for the purpose of computing the percentage ownership of any other person. Unless otherwise indicated, the address of each beneficial owner in the table below is c/o Wealthfront Corporation, 261 Hamilton Avenue, Palo Alto, California 94301.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1"/>
                <w:szCs w:val="11"/>
                <w:b w:val="1"/>
                <w:bCs w:val="1"/>
                <w:color w:val="auto"/>
              </w:rPr>
              <w:t>Shares Beneficially Owned Before this Offering</w:t>
            </w:r>
          </w:p>
        </w:tc>
        <w:tc>
          <w:tcPr>
            <w:tcW w:w="10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Number of Shares Being</w:t>
            </w:r>
          </w:p>
        </w:tc>
        <w:tc>
          <w:tcPr>
            <w:tcW w:w="304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1"/>
                <w:szCs w:val="11"/>
                <w:b w:val="1"/>
                <w:bCs w:val="1"/>
                <w:color w:val="auto"/>
              </w:rPr>
              <w:t>Shares Beneficially Owned After this Offering</w:t>
            </w:r>
          </w:p>
        </w:tc>
      </w:tr>
      <w:tr>
        <w:trPr>
          <w:trHeight w:val="148"/>
        </w:trPr>
        <w:tc>
          <w:tcPr>
            <w:tcW w:w="364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 of Beneficial Owner</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Shares</w:t>
            </w:r>
          </w:p>
        </w:tc>
        <w:tc>
          <w:tcPr>
            <w:tcW w:w="1520" w:type="dxa"/>
            <w:vAlign w:val="bottom"/>
          </w:tcPr>
          <w:p>
            <w:pPr>
              <w:jc w:val="right"/>
              <w:ind w:right="631"/>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Offered</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Shares</w:t>
            </w:r>
          </w:p>
        </w:tc>
        <w:tc>
          <w:tcPr>
            <w:tcW w:w="154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r>
      <w:tr>
        <w:trPr>
          <w:trHeight w:val="169"/>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Named Executive Officers and Directors:</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r>
      <w:tr>
        <w:trPr>
          <w:trHeight w:val="179"/>
        </w:trPr>
        <w:tc>
          <w:tcPr>
            <w:tcW w:w="364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David Fortunato</w:t>
            </w:r>
            <w:r>
              <w:rPr>
                <w:rFonts w:ascii="Arial" w:cs="Arial" w:eastAsia="Arial" w:hAnsi="Arial"/>
                <w:sz w:val="18"/>
                <w:szCs w:val="18"/>
                <w:color w:val="auto"/>
                <w:vertAlign w:val="superscript"/>
              </w:rPr>
              <w:t>(1)</w:t>
            </w:r>
          </w:p>
        </w:tc>
        <w:tc>
          <w:tcPr>
            <w:tcW w:w="1420" w:type="dxa"/>
            <w:vAlign w:val="bottom"/>
          </w:tcPr>
          <w:p>
            <w:pPr>
              <w:jc w:val="right"/>
              <w:spacing w:after="0"/>
              <w:rPr>
                <w:sz w:val="20"/>
                <w:szCs w:val="20"/>
                <w:color w:val="auto"/>
              </w:rPr>
            </w:pPr>
            <w:r>
              <w:rPr>
                <w:rFonts w:ascii="Arial" w:cs="Arial" w:eastAsia="Arial" w:hAnsi="Arial"/>
                <w:sz w:val="14"/>
                <w:szCs w:val="14"/>
                <w:color w:val="auto"/>
              </w:rPr>
              <w:t>9,886,237</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8.04 %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860,570</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9,025,667</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5.92 %</w:t>
            </w:r>
          </w:p>
        </w:tc>
      </w:tr>
      <w:tr>
        <w:trPr>
          <w:trHeight w:val="179"/>
        </w:trPr>
        <w:tc>
          <w:tcPr>
            <w:tcW w:w="364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Kal Iyer</w:t>
            </w:r>
            <w:r>
              <w:rPr>
                <w:rFonts w:ascii="Arial" w:cs="Arial" w:eastAsia="Arial" w:hAnsi="Arial"/>
                <w:sz w:val="18"/>
                <w:szCs w:val="18"/>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1,820,374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167,722</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1,652,652</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1.12 %</w:t>
            </w:r>
          </w:p>
        </w:tc>
      </w:tr>
      <w:tr>
        <w:trPr>
          <w:trHeight w:val="179"/>
        </w:trPr>
        <w:tc>
          <w:tcPr>
            <w:tcW w:w="364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Julien Wetterwald</w:t>
            </w:r>
            <w:r>
              <w:rPr>
                <w:rFonts w:ascii="Arial" w:cs="Arial" w:eastAsia="Arial" w:hAnsi="Arial"/>
                <w:sz w:val="18"/>
                <w:szCs w:val="18"/>
                <w:color w:val="auto"/>
                <w:vertAlign w:val="superscript"/>
              </w:rPr>
              <w:t>(3)</w:t>
            </w:r>
          </w:p>
        </w:tc>
        <w:tc>
          <w:tcPr>
            <w:tcW w:w="1420" w:type="dxa"/>
            <w:vAlign w:val="bottom"/>
          </w:tcPr>
          <w:p>
            <w:pPr>
              <w:jc w:val="right"/>
              <w:spacing w:after="0"/>
              <w:rPr>
                <w:sz w:val="20"/>
                <w:szCs w:val="20"/>
                <w:color w:val="auto"/>
              </w:rPr>
            </w:pPr>
            <w:r>
              <w:rPr>
                <w:rFonts w:ascii="Arial" w:cs="Arial" w:eastAsia="Arial" w:hAnsi="Arial"/>
                <w:sz w:val="14"/>
                <w:szCs w:val="14"/>
                <w:color w:val="auto"/>
              </w:rPr>
              <w:t>1,620,052</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1.41 %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120,000</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1,500,052</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1.02 %</w:t>
            </w:r>
          </w:p>
        </w:tc>
      </w:tr>
      <w:tr>
        <w:trPr>
          <w:trHeight w:val="179"/>
        </w:trPr>
        <w:tc>
          <w:tcPr>
            <w:tcW w:w="364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Andrew S. Rachleff</w:t>
            </w:r>
            <w:r>
              <w:rPr>
                <w:rFonts w:ascii="Arial" w:cs="Arial" w:eastAsia="Arial" w:hAnsi="Arial"/>
                <w:sz w:val="18"/>
                <w:szCs w:val="18"/>
                <w:color w:val="auto"/>
                <w:vertAlign w:val="superscript"/>
              </w:rPr>
              <w:t>(4)</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17,230,654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15.21 %</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17,230,654</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11.73 %</w:t>
            </w:r>
          </w:p>
        </w:tc>
      </w:tr>
      <w:tr>
        <w:trPr>
          <w:trHeight w:val="179"/>
        </w:trPr>
        <w:tc>
          <w:tcPr>
            <w:tcW w:w="364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Jaleh Bisharat</w:t>
            </w:r>
            <w:r>
              <w:rPr>
                <w:rFonts w:ascii="Arial" w:cs="Arial" w:eastAsia="Arial" w:hAnsi="Arial"/>
                <w:sz w:val="18"/>
                <w:szCs w:val="18"/>
                <w:color w:val="auto"/>
                <w:vertAlign w:val="superscript"/>
              </w:rPr>
              <w:t>(5)</w:t>
            </w:r>
          </w:p>
        </w:tc>
        <w:tc>
          <w:tcPr>
            <w:tcW w:w="1420" w:type="dxa"/>
            <w:vAlign w:val="bottom"/>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290,000</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64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Kenneth A. Goldman</w:t>
            </w:r>
            <w:r>
              <w:rPr>
                <w:rFonts w:ascii="Arial" w:cs="Arial" w:eastAsia="Arial" w:hAnsi="Arial"/>
                <w:sz w:val="18"/>
                <w:szCs w:val="18"/>
                <w:color w:val="auto"/>
                <w:vertAlign w:val="superscript"/>
              </w:rPr>
              <w:t>(6)</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459,451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43,444</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416,007</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64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Jason Kilar</w:t>
            </w:r>
            <w:r>
              <w:rPr>
                <w:rFonts w:ascii="Arial" w:cs="Arial" w:eastAsia="Arial" w:hAnsi="Arial"/>
                <w:sz w:val="18"/>
                <w:szCs w:val="18"/>
                <w:color w:val="auto"/>
                <w:vertAlign w:val="superscript"/>
              </w:rPr>
              <w:t>(7)</w:t>
            </w:r>
          </w:p>
        </w:tc>
        <w:tc>
          <w:tcPr>
            <w:tcW w:w="1420" w:type="dxa"/>
            <w:vAlign w:val="bottom"/>
          </w:tcPr>
          <w:p>
            <w:pPr>
              <w:jc w:val="right"/>
              <w:spacing w:after="0"/>
              <w:rPr>
                <w:sz w:val="20"/>
                <w:szCs w:val="20"/>
                <w:color w:val="auto"/>
              </w:rPr>
            </w:pPr>
            <w:r>
              <w:rPr>
                <w:rFonts w:ascii="Arial" w:cs="Arial" w:eastAsia="Arial" w:hAnsi="Arial"/>
                <w:sz w:val="14"/>
                <w:szCs w:val="14"/>
                <w:color w:val="auto"/>
              </w:rPr>
              <w:t>582,525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582,525</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Schmidt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r>
      <w:tr>
        <w:trPr>
          <w:trHeight w:val="179"/>
        </w:trPr>
        <w:tc>
          <w:tcPr>
            <w:tcW w:w="364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Michelangelo Volpi</w:t>
            </w:r>
            <w:r>
              <w:rPr>
                <w:rFonts w:ascii="Arial" w:cs="Arial" w:eastAsia="Arial" w:hAnsi="Arial"/>
                <w:sz w:val="18"/>
                <w:szCs w:val="18"/>
                <w:color w:val="auto"/>
                <w:vertAlign w:val="superscript"/>
              </w:rPr>
              <w:t>(8)</w:t>
            </w:r>
          </w:p>
        </w:tc>
        <w:tc>
          <w:tcPr>
            <w:tcW w:w="1420" w:type="dxa"/>
            <w:vAlign w:val="bottom"/>
          </w:tcPr>
          <w:p>
            <w:pPr>
              <w:jc w:val="right"/>
              <w:spacing w:after="0"/>
              <w:rPr>
                <w:sz w:val="20"/>
                <w:szCs w:val="20"/>
                <w:color w:val="auto"/>
              </w:rPr>
            </w:pPr>
            <w:r>
              <w:rPr>
                <w:rFonts w:ascii="Arial" w:cs="Arial" w:eastAsia="Arial" w:hAnsi="Arial"/>
                <w:sz w:val="14"/>
                <w:szCs w:val="14"/>
                <w:color w:val="auto"/>
              </w:rPr>
              <w:t>12,910,503</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11.40 %</w:t>
            </w:r>
          </w:p>
        </w:tc>
        <w:tc>
          <w:tcPr>
            <w:tcW w:w="1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12,910,503</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8.79 %</w:t>
            </w:r>
          </w:p>
        </w:tc>
      </w:tr>
      <w:tr>
        <w:trPr>
          <w:trHeight w:val="179"/>
        </w:trPr>
        <w:tc>
          <w:tcPr>
            <w:tcW w:w="364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Michelle Wilson</w:t>
            </w:r>
            <w:r>
              <w:rPr>
                <w:rFonts w:ascii="Arial" w:cs="Arial" w:eastAsia="Arial" w:hAnsi="Arial"/>
                <w:sz w:val="18"/>
                <w:szCs w:val="18"/>
                <w:color w:val="auto"/>
                <w:vertAlign w:val="superscript"/>
              </w:rPr>
              <w:t>(9)</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220</w:t>
      </w:r>
    </w:p>
    <w:p>
      <w:pPr>
        <w:sectPr>
          <w:pgSz w:w="11900" w:h="16838" w:orient="portrait"/>
          <w:cols w:equalWidth="0" w:num="1">
            <w:col w:w="11280"/>
          </w:cols>
          <w:pgMar w:left="300" w:top="209" w:right="319" w:bottom="1440" w:gutter="0" w:footer="0" w:header="0"/>
        </w:sectPr>
      </w:pPr>
    </w:p>
    <w:bookmarkStart w:id="236" w:name="page237"/>
    <w:bookmarkEnd w:id="2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1"/>
                <w:szCs w:val="11"/>
                <w:b w:val="1"/>
                <w:bCs w:val="1"/>
                <w:color w:val="auto"/>
              </w:rPr>
              <w:t>Shares Beneficially Owned Before this Offering</w:t>
            </w:r>
          </w:p>
        </w:tc>
        <w:tc>
          <w:tcPr>
            <w:tcW w:w="100" w:type="dxa"/>
            <w:vAlign w:val="bottom"/>
          </w:tcPr>
          <w:p>
            <w:pPr>
              <w:spacing w:after="0"/>
              <w:rPr>
                <w:sz w:val="13"/>
                <w:szCs w:val="13"/>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 Shares Being</w:t>
            </w:r>
          </w:p>
        </w:tc>
        <w:tc>
          <w:tcPr>
            <w:tcW w:w="302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1"/>
                <w:szCs w:val="11"/>
                <w:b w:val="1"/>
                <w:bCs w:val="1"/>
                <w:color w:val="auto"/>
              </w:rPr>
              <w:t>Shares Beneficially Owned After this Offering</w:t>
            </w:r>
          </w:p>
        </w:tc>
        <w:tc>
          <w:tcPr>
            <w:tcW w:w="0" w:type="dxa"/>
            <w:vAlign w:val="bottom"/>
          </w:tcPr>
          <w:p>
            <w:pPr>
              <w:spacing w:after="0"/>
              <w:rPr>
                <w:sz w:val="1"/>
                <w:szCs w:val="1"/>
                <w:color w:val="auto"/>
              </w:rPr>
            </w:pPr>
          </w:p>
        </w:tc>
      </w:tr>
      <w:tr>
        <w:trPr>
          <w:trHeight w:val="148"/>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Beneficial Owner</w:t>
            </w:r>
          </w:p>
        </w:tc>
        <w:tc>
          <w:tcPr>
            <w:tcW w:w="160" w:type="dxa"/>
            <w:vAlign w:val="bottom"/>
          </w:tcPr>
          <w:p>
            <w:pPr>
              <w:spacing w:after="0"/>
              <w:rPr>
                <w:sz w:val="12"/>
                <w:szCs w:val="12"/>
                <w:color w:val="auto"/>
              </w:rPr>
            </w:pPr>
          </w:p>
        </w:tc>
        <w:tc>
          <w:tcPr>
            <w:tcW w:w="140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40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Offered</w:t>
            </w:r>
          </w:p>
        </w:tc>
        <w:tc>
          <w:tcPr>
            <w:tcW w:w="80" w:type="dxa"/>
            <w:vAlign w:val="bottom"/>
          </w:tcPr>
          <w:p>
            <w:pPr>
              <w:spacing w:after="0"/>
              <w:rPr>
                <w:sz w:val="12"/>
                <w:szCs w:val="12"/>
                <w:color w:val="auto"/>
              </w:rPr>
            </w:pPr>
          </w:p>
        </w:tc>
        <w:tc>
          <w:tcPr>
            <w:tcW w:w="142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7"/>
        </w:trPr>
        <w:tc>
          <w:tcPr>
            <w:tcW w:w="3520" w:type="dxa"/>
            <w:vAlign w:val="bottom"/>
          </w:tcPr>
          <w:p>
            <w:pPr>
              <w:ind w:left="20"/>
              <w:spacing w:after="0" w:line="127" w:lineRule="exact"/>
              <w:rPr>
                <w:sz w:val="20"/>
                <w:szCs w:val="20"/>
                <w:color w:val="auto"/>
              </w:rPr>
            </w:pPr>
            <w:r>
              <w:rPr>
                <w:rFonts w:ascii="Arial" w:cs="Arial" w:eastAsia="Arial" w:hAnsi="Arial"/>
                <w:sz w:val="14"/>
                <w:szCs w:val="14"/>
                <w:color w:val="auto"/>
              </w:rPr>
              <w:t>All executive officers and directors as a group (12</w:t>
            </w:r>
          </w:p>
        </w:tc>
        <w:tc>
          <w:tcPr>
            <w:tcW w:w="16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46,677,878</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36.19 %</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color w:val="auto"/>
              </w:rPr>
              <w:t>1,331,965</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45,345,913</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29.07 %</w:t>
            </w:r>
          </w:p>
        </w:tc>
        <w:tc>
          <w:tcPr>
            <w:tcW w:w="0" w:type="dxa"/>
            <w:vAlign w:val="bottom"/>
          </w:tcPr>
          <w:p>
            <w:pPr>
              <w:spacing w:after="0"/>
              <w:rPr>
                <w:sz w:val="1"/>
                <w:szCs w:val="1"/>
                <w:color w:val="auto"/>
              </w:rPr>
            </w:pPr>
          </w:p>
        </w:tc>
      </w:tr>
      <w:tr>
        <w:trPr>
          <w:trHeight w:val="189"/>
        </w:trPr>
        <w:tc>
          <w:tcPr>
            <w:tcW w:w="36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persons)</w:t>
            </w:r>
            <w:r>
              <w:rPr>
                <w:rFonts w:ascii="Arial" w:cs="Arial" w:eastAsia="Arial" w:hAnsi="Arial"/>
                <w:sz w:val="18"/>
                <w:szCs w:val="18"/>
                <w:color w:val="auto"/>
                <w:vertAlign w:val="superscript"/>
              </w:rPr>
              <w:t>(10)</w:t>
            </w: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5% or Greater Stockholders:</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Entities affiliated with Tiger Global</w:t>
            </w:r>
            <w:r>
              <w:rPr>
                <w:rFonts w:ascii="Arial" w:cs="Arial" w:eastAsia="Arial" w:hAnsi="Arial"/>
                <w:sz w:val="18"/>
                <w:szCs w:val="18"/>
                <w:color w:val="auto"/>
                <w:vertAlign w:val="superscript"/>
              </w:rPr>
              <w:t>(11)</w:t>
            </w:r>
          </w:p>
        </w:tc>
        <w:tc>
          <w:tcPr>
            <w:tcW w:w="1400" w:type="dxa"/>
            <w:vAlign w:val="bottom"/>
          </w:tcPr>
          <w:p>
            <w:pPr>
              <w:jc w:val="right"/>
              <w:spacing w:after="0"/>
              <w:rPr>
                <w:sz w:val="20"/>
                <w:szCs w:val="20"/>
                <w:color w:val="auto"/>
              </w:rPr>
            </w:pPr>
            <w:r>
              <w:rPr>
                <w:rFonts w:ascii="Arial" w:cs="Arial" w:eastAsia="Arial" w:hAnsi="Arial"/>
                <w:sz w:val="14"/>
                <w:szCs w:val="14"/>
                <w:color w:val="auto"/>
              </w:rPr>
              <w:t>22,161,789</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19.57 %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7,004,912</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15,156,877</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10.32 %</w:t>
            </w:r>
          </w:p>
        </w:tc>
        <w:tc>
          <w:tcPr>
            <w:tcW w:w="0" w:type="dxa"/>
            <w:vAlign w:val="bottom"/>
          </w:tcPr>
          <w:p>
            <w:pPr>
              <w:spacing w:after="0"/>
              <w:rPr>
                <w:sz w:val="1"/>
                <w:szCs w:val="1"/>
                <w:color w:val="auto"/>
              </w:rPr>
            </w:pPr>
          </w:p>
        </w:tc>
      </w:tr>
      <w:tr>
        <w:trPr>
          <w:trHeight w:val="179"/>
        </w:trPr>
        <w:tc>
          <w:tcPr>
            <w:tcW w:w="36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Entities affiliated with DAG Ventures</w:t>
            </w:r>
            <w:r>
              <w:rPr>
                <w:rFonts w:ascii="Arial" w:cs="Arial" w:eastAsia="Arial" w:hAnsi="Arial"/>
                <w:sz w:val="18"/>
                <w:szCs w:val="18"/>
                <w:color w:val="auto"/>
                <w:vertAlign w:val="superscript"/>
              </w:rPr>
              <w:t>(12)</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13,813,474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12.19 %</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13,813,474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9.40 %</w:t>
            </w:r>
          </w:p>
        </w:tc>
        <w:tc>
          <w:tcPr>
            <w:tcW w:w="0" w:type="dxa"/>
            <w:vAlign w:val="bottom"/>
          </w:tcPr>
          <w:p>
            <w:pPr>
              <w:spacing w:after="0"/>
              <w:rPr>
                <w:sz w:val="1"/>
                <w:szCs w:val="1"/>
                <w:color w:val="auto"/>
              </w:rPr>
            </w:pPr>
          </w:p>
        </w:tc>
      </w:tr>
      <w:tr>
        <w:trPr>
          <w:trHeight w:val="179"/>
        </w:trPr>
        <w:tc>
          <w:tcPr>
            <w:tcW w:w="368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Entities affiliated with Index Ventures</w:t>
            </w:r>
            <w:r>
              <w:rPr>
                <w:rFonts w:ascii="Arial" w:cs="Arial" w:eastAsia="Arial" w:hAnsi="Arial"/>
                <w:sz w:val="18"/>
                <w:szCs w:val="18"/>
                <w:color w:val="auto"/>
                <w:vertAlign w:val="superscript"/>
              </w:rPr>
              <w:t>(13)</w:t>
            </w:r>
          </w:p>
        </w:tc>
        <w:tc>
          <w:tcPr>
            <w:tcW w:w="1400" w:type="dxa"/>
            <w:vAlign w:val="bottom"/>
          </w:tcPr>
          <w:p>
            <w:pPr>
              <w:jc w:val="right"/>
              <w:spacing w:after="0"/>
              <w:rPr>
                <w:sz w:val="20"/>
                <w:szCs w:val="20"/>
                <w:color w:val="auto"/>
              </w:rPr>
            </w:pPr>
            <w:r>
              <w:rPr>
                <w:rFonts w:ascii="Arial" w:cs="Arial" w:eastAsia="Arial" w:hAnsi="Arial"/>
                <w:sz w:val="14"/>
                <w:szCs w:val="14"/>
                <w:color w:val="auto"/>
              </w:rPr>
              <w:t>12,910,503</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11.40 %</w:t>
            </w:r>
          </w:p>
        </w:tc>
        <w:tc>
          <w:tcPr>
            <w:tcW w:w="1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12,910,503</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8.79 %</w:t>
            </w:r>
          </w:p>
        </w:tc>
        <w:tc>
          <w:tcPr>
            <w:tcW w:w="0" w:type="dxa"/>
            <w:vAlign w:val="bottom"/>
          </w:tcPr>
          <w:p>
            <w:pPr>
              <w:spacing w:after="0"/>
              <w:rPr>
                <w:sz w:val="1"/>
                <w:szCs w:val="1"/>
                <w:color w:val="auto"/>
              </w:rPr>
            </w:pPr>
          </w:p>
        </w:tc>
      </w:tr>
      <w:tr>
        <w:trPr>
          <w:trHeight w:val="179"/>
        </w:trPr>
        <w:tc>
          <w:tcPr>
            <w:tcW w:w="36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Entities affiliated with Ribbit Capital</w:t>
            </w:r>
            <w:r>
              <w:rPr>
                <w:rFonts w:ascii="Arial" w:cs="Arial" w:eastAsia="Arial" w:hAnsi="Arial"/>
                <w:sz w:val="18"/>
                <w:szCs w:val="18"/>
                <w:color w:val="auto"/>
                <w:vertAlign w:val="superscript"/>
              </w:rPr>
              <w:t>(14)</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9,848,159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8.69 %</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9,848,159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6.70 %</w:t>
            </w:r>
          </w:p>
        </w:tc>
        <w:tc>
          <w:tcPr>
            <w:tcW w:w="0" w:type="dxa"/>
            <w:vAlign w:val="bottom"/>
          </w:tcPr>
          <w:p>
            <w:pPr>
              <w:spacing w:after="0"/>
              <w:rPr>
                <w:sz w:val="1"/>
                <w:szCs w:val="1"/>
                <w:color w:val="auto"/>
              </w:rPr>
            </w:pPr>
          </w:p>
        </w:tc>
      </w:tr>
      <w:tr>
        <w:trPr>
          <w:trHeight w:val="179"/>
        </w:trPr>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Selling Stockholders: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Daniel Carroll</w:t>
            </w:r>
            <w:r>
              <w:rPr>
                <w:rFonts w:ascii="Arial" w:cs="Arial" w:eastAsia="Arial" w:hAnsi="Arial"/>
                <w:sz w:val="18"/>
                <w:szCs w:val="18"/>
                <w:color w:val="auto"/>
                <w:vertAlign w:val="superscript"/>
              </w:rPr>
              <w:t>(15)</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5,757,557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541,084</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5,216,473</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3.53 %</w:t>
            </w:r>
          </w:p>
        </w:tc>
        <w:tc>
          <w:tcPr>
            <w:tcW w:w="0" w:type="dxa"/>
            <w:vAlign w:val="bottom"/>
          </w:tcPr>
          <w:p>
            <w:pPr>
              <w:spacing w:after="0"/>
              <w:rPr>
                <w:sz w:val="1"/>
                <w:szCs w:val="1"/>
                <w:color w:val="auto"/>
              </w:rPr>
            </w:pPr>
          </w:p>
        </w:tc>
      </w:tr>
      <w:tr>
        <w:trPr>
          <w:trHeight w:val="179"/>
        </w:trPr>
        <w:tc>
          <w:tcPr>
            <w:tcW w:w="368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Houman Fardin</w:t>
            </w:r>
            <w:r>
              <w:rPr>
                <w:rFonts w:ascii="Arial" w:cs="Arial" w:eastAsia="Arial" w:hAnsi="Arial"/>
                <w:sz w:val="18"/>
                <w:szCs w:val="18"/>
                <w:color w:val="auto"/>
                <w:vertAlign w:val="superscript"/>
              </w:rPr>
              <w:t>(16)</w:t>
            </w:r>
          </w:p>
        </w:tc>
        <w:tc>
          <w:tcPr>
            <w:tcW w:w="1400" w:type="dxa"/>
            <w:vAlign w:val="bottom"/>
          </w:tcPr>
          <w:p>
            <w:pPr>
              <w:jc w:val="right"/>
              <w:spacing w:after="0"/>
              <w:rPr>
                <w:sz w:val="20"/>
                <w:szCs w:val="20"/>
                <w:color w:val="auto"/>
              </w:rPr>
            </w:pPr>
            <w:r>
              <w:rPr>
                <w:rFonts w:ascii="Arial" w:cs="Arial" w:eastAsia="Arial" w:hAnsi="Arial"/>
                <w:sz w:val="14"/>
                <w:szCs w:val="14"/>
                <w:color w:val="auto"/>
              </w:rPr>
              <w:t>1,210,864</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1.06 %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205,956</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1,004,908</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36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less</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1,117,890</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193,149</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924,741</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than 20,000 shares of common stock</w:t>
            </w:r>
            <w:r>
              <w:rPr>
                <w:rFonts w:ascii="Arial" w:cs="Arial" w:eastAsia="Arial" w:hAnsi="Arial"/>
                <w:sz w:val="18"/>
                <w:szCs w:val="18"/>
                <w:color w:val="auto"/>
                <w:vertAlign w:val="superscript"/>
              </w:rPr>
              <w:t>(17)</w:t>
            </w:r>
          </w:p>
        </w:tc>
        <w:tc>
          <w:tcPr>
            <w:tcW w:w="1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1,127,442</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color w:val="auto"/>
              </w:rPr>
              <w:t>199,505</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927,937</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20,001 and 35,000 shares of common stock</w:t>
            </w:r>
            <w:r>
              <w:rPr>
                <w:rFonts w:ascii="Arial" w:cs="Arial" w:eastAsia="Arial" w:hAnsi="Arial"/>
                <w:sz w:val="18"/>
                <w:szCs w:val="18"/>
                <w:color w:val="auto"/>
                <w:vertAlign w:val="superscript"/>
              </w:rPr>
              <w:t>(18)</w:t>
            </w: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1,080,726</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180,861</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899,865</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35,001 and 46,500 shares of common stock</w:t>
            </w:r>
            <w:r>
              <w:rPr>
                <w:rFonts w:ascii="Arial" w:cs="Arial" w:eastAsia="Arial" w:hAnsi="Arial"/>
                <w:sz w:val="18"/>
                <w:szCs w:val="18"/>
                <w:color w:val="auto"/>
                <w:vertAlign w:val="superscript"/>
              </w:rPr>
              <w:t>(19)</w:t>
            </w:r>
          </w:p>
        </w:tc>
        <w:tc>
          <w:tcPr>
            <w:tcW w:w="1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1,095,103</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color w:val="auto"/>
              </w:rPr>
              <w:t>196,571</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898,532</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46,501 and 55,000 shares of common stock</w:t>
            </w:r>
            <w:r>
              <w:rPr>
                <w:rFonts w:ascii="Arial" w:cs="Arial" w:eastAsia="Arial" w:hAnsi="Arial"/>
                <w:sz w:val="18"/>
                <w:szCs w:val="18"/>
                <w:color w:val="auto"/>
                <w:vertAlign w:val="superscript"/>
              </w:rPr>
              <w:t>(20)</w:t>
            </w: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974,925</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153,459</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821,466</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55,001 and 67,000 shares of common stock</w:t>
            </w:r>
            <w:r>
              <w:rPr>
                <w:rFonts w:ascii="Arial" w:cs="Arial" w:eastAsia="Arial" w:hAnsi="Arial"/>
                <w:sz w:val="18"/>
                <w:szCs w:val="18"/>
                <w:color w:val="auto"/>
                <w:vertAlign w:val="superscript"/>
              </w:rPr>
              <w:t>(21)</w:t>
            </w:r>
          </w:p>
        </w:tc>
        <w:tc>
          <w:tcPr>
            <w:tcW w:w="1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1,056,401</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color w:val="auto"/>
              </w:rPr>
              <w:t>166,657</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889,744</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67,001 and 74,000 shares of common stock</w:t>
            </w:r>
            <w:r>
              <w:rPr>
                <w:rFonts w:ascii="Arial" w:cs="Arial" w:eastAsia="Arial" w:hAnsi="Arial"/>
                <w:sz w:val="18"/>
                <w:szCs w:val="18"/>
                <w:color w:val="auto"/>
                <w:vertAlign w:val="superscript"/>
              </w:rPr>
              <w:t>(22)</w:t>
            </w: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1,028,952</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162,828</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866,124</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74,001 and 85,000 shares of common stock</w:t>
            </w:r>
            <w:r>
              <w:rPr>
                <w:rFonts w:ascii="Arial" w:cs="Arial" w:eastAsia="Arial" w:hAnsi="Arial"/>
                <w:sz w:val="18"/>
                <w:szCs w:val="18"/>
                <w:color w:val="auto"/>
                <w:vertAlign w:val="superscript"/>
              </w:rPr>
              <w:t>(23)</w:t>
            </w:r>
          </w:p>
        </w:tc>
        <w:tc>
          <w:tcPr>
            <w:tcW w:w="1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1,090,363</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color w:val="auto"/>
              </w:rPr>
              <w:t>187,935</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902,428</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85,001 and 100,000 shares of common stock</w:t>
            </w:r>
            <w:r>
              <w:rPr>
                <w:rFonts w:ascii="Arial" w:cs="Arial" w:eastAsia="Arial" w:hAnsi="Arial"/>
                <w:sz w:val="18"/>
                <w:szCs w:val="18"/>
                <w:color w:val="auto"/>
                <w:vertAlign w:val="superscript"/>
              </w:rPr>
              <w:t>(24)</w:t>
            </w: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1,079,637</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128,526</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951,111</w:t>
            </w:r>
          </w:p>
        </w:tc>
        <w:tc>
          <w:tcPr>
            <w:tcW w:w="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100,001 and 122,000 shares of common stock</w:t>
            </w:r>
            <w:r>
              <w:rPr>
                <w:rFonts w:ascii="Arial" w:cs="Arial" w:eastAsia="Arial" w:hAnsi="Arial"/>
                <w:sz w:val="18"/>
                <w:szCs w:val="18"/>
                <w:color w:val="auto"/>
                <w:vertAlign w:val="superscript"/>
              </w:rPr>
              <w:t>(25)</w:t>
            </w:r>
          </w:p>
        </w:tc>
        <w:tc>
          <w:tcPr>
            <w:tcW w:w="1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221</w:t>
      </w:r>
    </w:p>
    <w:p>
      <w:pPr>
        <w:sectPr>
          <w:pgSz w:w="11900" w:h="16838" w:orient="portrait"/>
          <w:cols w:equalWidth="0" w:num="1">
            <w:col w:w="11280"/>
          </w:cols>
          <w:pgMar w:left="300" w:top="209" w:right="319" w:bottom="1440" w:gutter="0" w:footer="0" w:header="0"/>
        </w:sectPr>
      </w:pPr>
    </w:p>
    <w:bookmarkStart w:id="237" w:name="page238"/>
    <w:bookmarkEnd w:id="2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1"/>
                <w:szCs w:val="11"/>
                <w:b w:val="1"/>
                <w:bCs w:val="1"/>
                <w:color w:val="auto"/>
              </w:rPr>
              <w:t>Shares Beneficially Owned Before this Offering</w:t>
            </w:r>
          </w:p>
        </w:tc>
        <w:tc>
          <w:tcPr>
            <w:tcW w:w="80" w:type="dxa"/>
            <w:vAlign w:val="bottom"/>
          </w:tcPr>
          <w:p>
            <w:pPr>
              <w:spacing w:after="0"/>
              <w:rPr>
                <w:sz w:val="13"/>
                <w:szCs w:val="13"/>
                <w:color w:val="auto"/>
              </w:rPr>
            </w:pP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 Shares Being</w:t>
            </w:r>
          </w:p>
        </w:tc>
        <w:tc>
          <w:tcPr>
            <w:tcW w:w="296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1"/>
                <w:szCs w:val="11"/>
                <w:b w:val="1"/>
                <w:bCs w:val="1"/>
                <w:color w:val="auto"/>
              </w:rPr>
              <w:t>Shares Beneficially Owned After this Offering</w:t>
            </w:r>
          </w:p>
        </w:tc>
        <w:tc>
          <w:tcPr>
            <w:tcW w:w="0" w:type="dxa"/>
            <w:vAlign w:val="bottom"/>
          </w:tcPr>
          <w:p>
            <w:pPr>
              <w:spacing w:after="0"/>
              <w:rPr>
                <w:sz w:val="1"/>
                <w:szCs w:val="1"/>
                <w:color w:val="auto"/>
              </w:rPr>
            </w:pPr>
          </w:p>
        </w:tc>
      </w:tr>
      <w:tr>
        <w:trPr>
          <w:trHeight w:val="14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Beneficial Owner</w:t>
            </w:r>
          </w:p>
        </w:tc>
        <w:tc>
          <w:tcPr>
            <w:tcW w:w="140" w:type="dxa"/>
            <w:vAlign w:val="bottom"/>
          </w:tcPr>
          <w:p>
            <w:pPr>
              <w:spacing w:after="0"/>
              <w:rPr>
                <w:sz w:val="12"/>
                <w:szCs w:val="12"/>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142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ind w:right="464"/>
              <w:spacing w:after="0"/>
              <w:rPr>
                <w:sz w:val="20"/>
                <w:szCs w:val="20"/>
                <w:color w:val="auto"/>
              </w:rPr>
            </w:pPr>
            <w:r>
              <w:rPr>
                <w:rFonts w:ascii="Arial" w:cs="Arial" w:eastAsia="Arial" w:hAnsi="Arial"/>
                <w:sz w:val="11"/>
                <w:szCs w:val="11"/>
                <w:b w:val="1"/>
                <w:bCs w:val="1"/>
                <w:color w:val="auto"/>
              </w:rPr>
              <w:t>Offered</w:t>
            </w:r>
          </w:p>
        </w:tc>
        <w:tc>
          <w:tcPr>
            <w:tcW w:w="80" w:type="dxa"/>
            <w:vAlign w:val="bottom"/>
          </w:tcPr>
          <w:p>
            <w:pPr>
              <w:spacing w:after="0"/>
              <w:rPr>
                <w:sz w:val="12"/>
                <w:szCs w:val="12"/>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142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7" w:lineRule="exact"/>
              <w:rPr>
                <w:sz w:val="20"/>
                <w:szCs w:val="20"/>
                <w:color w:val="auto"/>
              </w:rPr>
            </w:pPr>
            <w:r>
              <w:rPr>
                <w:rFonts w:ascii="Arial" w:cs="Arial" w:eastAsia="Arial" w:hAnsi="Arial"/>
                <w:sz w:val="14"/>
                <w:szCs w:val="14"/>
                <w:color w:val="auto"/>
              </w:rPr>
              <w:t>Other selling stockholders that beneficially own between</w:t>
            </w:r>
          </w:p>
        </w:tc>
        <w:tc>
          <w:tcPr>
            <w:tcW w:w="14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893,491</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125,262</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768,229</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122,001 and 136,000 shares of common stock</w:t>
            </w:r>
            <w:r>
              <w:rPr>
                <w:rFonts w:ascii="Arial" w:cs="Arial" w:eastAsia="Arial" w:hAnsi="Arial"/>
                <w:sz w:val="18"/>
                <w:szCs w:val="18"/>
                <w:color w:val="auto"/>
                <w:vertAlign w:val="superscript"/>
              </w:rPr>
              <w:t>(26)</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1,018,573</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112,690</w:t>
            </w:r>
          </w:p>
        </w:tc>
        <w:tc>
          <w:tcPr>
            <w:tcW w:w="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905,883</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136,001 and 165,000 shares of common stock</w:t>
            </w:r>
            <w:r>
              <w:rPr>
                <w:rFonts w:ascii="Arial" w:cs="Arial" w:eastAsia="Arial" w:hAnsi="Arial"/>
                <w:sz w:val="18"/>
                <w:szCs w:val="18"/>
                <w:color w:val="auto"/>
                <w:vertAlign w:val="superscript"/>
              </w:rPr>
              <w:t>(27)</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1,064,016</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177,749</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886,267</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165,001 and 183,500 shares of common stock</w:t>
            </w:r>
            <w:r>
              <w:rPr>
                <w:rFonts w:ascii="Arial" w:cs="Arial" w:eastAsia="Arial" w:hAnsi="Arial"/>
                <w:sz w:val="18"/>
                <w:szCs w:val="18"/>
                <w:color w:val="auto"/>
                <w:vertAlign w:val="superscript"/>
              </w:rPr>
              <w:t>(28)</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1,128,315</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177,253</w:t>
            </w:r>
          </w:p>
        </w:tc>
        <w:tc>
          <w:tcPr>
            <w:tcW w:w="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951,062</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183,501 and 195,000 shares of common stock</w:t>
            </w:r>
            <w:r>
              <w:rPr>
                <w:rFonts w:ascii="Arial" w:cs="Arial" w:eastAsia="Arial" w:hAnsi="Arial"/>
                <w:sz w:val="18"/>
                <w:szCs w:val="18"/>
                <w:color w:val="auto"/>
                <w:vertAlign w:val="superscript"/>
              </w:rPr>
              <w:t>(29)</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1,066,221</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137,425</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928,796</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195,001 and 240,000 shares of common stock</w:t>
            </w:r>
            <w:r>
              <w:rPr>
                <w:rFonts w:ascii="Arial" w:cs="Arial" w:eastAsia="Arial" w:hAnsi="Arial"/>
                <w:sz w:val="18"/>
                <w:szCs w:val="18"/>
                <w:color w:val="auto"/>
                <w:vertAlign w:val="superscript"/>
              </w:rPr>
              <w:t>(30)</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978,331</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151,068</w:t>
            </w:r>
          </w:p>
        </w:tc>
        <w:tc>
          <w:tcPr>
            <w:tcW w:w="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827,263</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240,001 and 251,000 shares of common stock</w:t>
            </w:r>
            <w:r>
              <w:rPr>
                <w:rFonts w:ascii="Arial" w:cs="Arial" w:eastAsia="Arial" w:hAnsi="Arial"/>
                <w:sz w:val="18"/>
                <w:szCs w:val="18"/>
                <w:color w:val="auto"/>
                <w:vertAlign w:val="superscript"/>
              </w:rPr>
              <w:t>(31)</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1,058,112</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179,990</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878,122</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251,001 and 278,000 shares of common stock</w:t>
            </w:r>
            <w:r>
              <w:rPr>
                <w:rFonts w:ascii="Arial" w:cs="Arial" w:eastAsia="Arial" w:hAnsi="Arial"/>
                <w:sz w:val="18"/>
                <w:szCs w:val="18"/>
                <w:color w:val="auto"/>
                <w:vertAlign w:val="superscript"/>
              </w:rPr>
              <w:t>(32)</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962,527</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144,108</w:t>
            </w:r>
          </w:p>
        </w:tc>
        <w:tc>
          <w:tcPr>
            <w:tcW w:w="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818,419</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278,001 and 360,000 shares of common stock</w:t>
            </w:r>
            <w:r>
              <w:rPr>
                <w:rFonts w:ascii="Arial" w:cs="Arial" w:eastAsia="Arial" w:hAnsi="Arial"/>
                <w:sz w:val="18"/>
                <w:szCs w:val="18"/>
                <w:color w:val="auto"/>
                <w:vertAlign w:val="superscript"/>
              </w:rPr>
              <w:t>(33)</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753,287</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146,749</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606,538</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360,001 and 407,000 shares of common stock</w:t>
            </w:r>
            <w:r>
              <w:rPr>
                <w:rFonts w:ascii="Arial" w:cs="Arial" w:eastAsia="Arial" w:hAnsi="Arial"/>
                <w:sz w:val="18"/>
                <w:szCs w:val="18"/>
                <w:color w:val="auto"/>
                <w:vertAlign w:val="superscript"/>
              </w:rPr>
              <w:t>(34)</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814,343</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714,343</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407,001 and 450,000 shares of common stock</w:t>
            </w:r>
            <w:r>
              <w:rPr>
                <w:rFonts w:ascii="Arial" w:cs="Arial" w:eastAsia="Arial" w:hAnsi="Arial"/>
                <w:sz w:val="18"/>
                <w:szCs w:val="18"/>
                <w:color w:val="auto"/>
                <w:vertAlign w:val="superscript"/>
              </w:rPr>
              <w:t>(35)</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902,478</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120,000</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782,478</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450,001 and 459,000 shares of common stock</w:t>
            </w:r>
            <w:r>
              <w:rPr>
                <w:rFonts w:ascii="Arial" w:cs="Arial" w:eastAsia="Arial" w:hAnsi="Arial"/>
                <w:sz w:val="18"/>
                <w:szCs w:val="18"/>
                <w:color w:val="auto"/>
                <w:vertAlign w:val="superscript"/>
              </w:rPr>
              <w:t>(36)</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964,441</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170,000</w:t>
            </w:r>
          </w:p>
        </w:tc>
        <w:tc>
          <w:tcPr>
            <w:tcW w:w="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794,441</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459,001 and 510,000 shares of common stock</w:t>
            </w:r>
            <w:r>
              <w:rPr>
                <w:rFonts w:ascii="Arial" w:cs="Arial" w:eastAsia="Arial" w:hAnsi="Arial"/>
                <w:sz w:val="18"/>
                <w:szCs w:val="18"/>
                <w:color w:val="auto"/>
                <w:vertAlign w:val="superscript"/>
              </w:rPr>
              <w:t>(37)</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1,035,292</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200,882</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834,410</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510,001 and 525,000 shares of common stock</w:t>
            </w:r>
            <w:r>
              <w:rPr>
                <w:rFonts w:ascii="Arial" w:cs="Arial" w:eastAsia="Arial" w:hAnsi="Arial"/>
                <w:sz w:val="18"/>
                <w:szCs w:val="18"/>
                <w:color w:val="auto"/>
                <w:vertAlign w:val="superscript"/>
              </w:rPr>
              <w:t>(38)</w:t>
            </w:r>
          </w:p>
        </w:tc>
        <w:tc>
          <w:tcPr>
            <w:tcW w:w="14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222</w:t>
      </w:r>
    </w:p>
    <w:p>
      <w:pPr>
        <w:sectPr>
          <w:pgSz w:w="11900" w:h="16838" w:orient="portrait"/>
          <w:cols w:equalWidth="0" w:num="1">
            <w:col w:w="11280"/>
          </w:cols>
          <w:pgMar w:left="300" w:top="209" w:right="319" w:bottom="1440" w:gutter="0" w:footer="0" w:header="0"/>
        </w:sectPr>
      </w:pPr>
    </w:p>
    <w:bookmarkStart w:id="238" w:name="page239"/>
    <w:bookmarkEnd w:id="2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1"/>
                <w:szCs w:val="11"/>
                <w:b w:val="1"/>
                <w:bCs w:val="1"/>
                <w:color w:val="auto"/>
              </w:rPr>
              <w:t>Shares Beneficially Owned Before this Offering</w:t>
            </w:r>
          </w:p>
        </w:tc>
        <w:tc>
          <w:tcPr>
            <w:tcW w:w="80" w:type="dxa"/>
            <w:vAlign w:val="bottom"/>
          </w:tcPr>
          <w:p>
            <w:pPr>
              <w:spacing w:after="0"/>
              <w:rPr>
                <w:sz w:val="13"/>
                <w:szCs w:val="13"/>
                <w:color w:val="auto"/>
              </w:rPr>
            </w:pP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 Shares Being</w:t>
            </w:r>
          </w:p>
        </w:tc>
        <w:tc>
          <w:tcPr>
            <w:tcW w:w="29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1"/>
                <w:szCs w:val="11"/>
                <w:b w:val="1"/>
                <w:bCs w:val="1"/>
                <w:color w:val="auto"/>
              </w:rPr>
              <w:t>Shares Beneficially Owned After this Offering</w:t>
            </w:r>
          </w:p>
        </w:tc>
        <w:tc>
          <w:tcPr>
            <w:tcW w:w="0" w:type="dxa"/>
            <w:vAlign w:val="bottom"/>
          </w:tcPr>
          <w:p>
            <w:pPr>
              <w:spacing w:after="0"/>
              <w:rPr>
                <w:sz w:val="1"/>
                <w:szCs w:val="1"/>
                <w:color w:val="auto"/>
              </w:rPr>
            </w:pPr>
          </w:p>
        </w:tc>
      </w:tr>
      <w:tr>
        <w:trPr>
          <w:trHeight w:val="14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Beneficial Owner</w:t>
            </w:r>
          </w:p>
        </w:tc>
        <w:tc>
          <w:tcPr>
            <w:tcW w:w="1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464"/>
              <w:spacing w:after="0"/>
              <w:rPr>
                <w:sz w:val="20"/>
                <w:szCs w:val="20"/>
                <w:color w:val="auto"/>
              </w:rPr>
            </w:pPr>
            <w:r>
              <w:rPr>
                <w:rFonts w:ascii="Arial" w:cs="Arial" w:eastAsia="Arial" w:hAnsi="Arial"/>
                <w:sz w:val="11"/>
                <w:szCs w:val="11"/>
                <w:b w:val="1"/>
                <w:bCs w:val="1"/>
                <w:color w:val="auto"/>
              </w:rPr>
              <w:t>Offered</w:t>
            </w:r>
          </w:p>
        </w:tc>
        <w:tc>
          <w:tcPr>
            <w:tcW w:w="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ind w:left="20"/>
              <w:spacing w:after="0" w:line="127" w:lineRule="exact"/>
              <w:rPr>
                <w:sz w:val="20"/>
                <w:szCs w:val="20"/>
                <w:color w:val="auto"/>
              </w:rPr>
            </w:pPr>
            <w:r>
              <w:rPr>
                <w:rFonts w:ascii="Arial" w:cs="Arial" w:eastAsia="Arial" w:hAnsi="Arial"/>
                <w:sz w:val="14"/>
                <w:szCs w:val="14"/>
                <w:color w:val="auto"/>
              </w:rPr>
              <w:t>Other selling stockholders that beneficially own between</w:t>
            </w:r>
          </w:p>
        </w:tc>
        <w:tc>
          <w:tcPr>
            <w:tcW w:w="1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1,082,340</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957,340</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525,001 and 600,000 shares of common stock</w:t>
            </w:r>
            <w:r>
              <w:rPr>
                <w:rFonts w:ascii="Arial" w:cs="Arial" w:eastAsia="Arial" w:hAnsi="Arial"/>
                <w:sz w:val="18"/>
                <w:szCs w:val="18"/>
                <w:color w:val="auto"/>
                <w:vertAlign w:val="superscript"/>
              </w:rPr>
              <w:t>(39)</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644,610</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65,000</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579,610</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600,001 and 720,000 shares of common stock</w:t>
            </w:r>
            <w:r>
              <w:rPr>
                <w:rFonts w:ascii="Arial" w:cs="Arial" w:eastAsia="Arial" w:hAnsi="Arial"/>
                <w:sz w:val="18"/>
                <w:szCs w:val="18"/>
                <w:color w:val="auto"/>
                <w:vertAlign w:val="superscript"/>
              </w:rPr>
              <w:t>(40)</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722,003</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201,375</w:t>
            </w:r>
          </w:p>
        </w:tc>
        <w:tc>
          <w:tcPr>
            <w:tcW w:w="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520,628</w:t>
            </w:r>
          </w:p>
        </w:tc>
        <w:tc>
          <w:tcPr>
            <w:tcW w:w="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720,001 and 790,000 shares of common stock</w:t>
            </w:r>
            <w:r>
              <w:rPr>
                <w:rFonts w:ascii="Arial" w:cs="Arial" w:eastAsia="Arial" w:hAnsi="Arial"/>
                <w:sz w:val="18"/>
                <w:szCs w:val="18"/>
                <w:color w:val="auto"/>
                <w:vertAlign w:val="superscript"/>
              </w:rPr>
              <w:t>(41)</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Other selling stockholders that beneficially own between</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796,938</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159,387</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637,551</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790,001 and 900,000 shares of common stock</w:t>
            </w:r>
            <w:r>
              <w:rPr>
                <w:rFonts w:ascii="Arial" w:cs="Arial" w:eastAsia="Arial" w:hAnsi="Arial"/>
                <w:sz w:val="18"/>
                <w:szCs w:val="18"/>
                <w:color w:val="auto"/>
                <w:vertAlign w:val="superscript"/>
              </w:rPr>
              <w:t>(42)</w:t>
            </w:r>
          </w:p>
        </w:tc>
        <w:tc>
          <w:tcPr>
            <w:tcW w:w="14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260" w:hanging="256"/>
        <w:spacing w:after="0"/>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the shares of our common stock.</w:t>
      </w:r>
    </w:p>
    <w:p>
      <w:pPr>
        <w:spacing w:after="0" w:line="112" w:lineRule="exact"/>
        <w:rPr>
          <w:sz w:val="20"/>
          <w:szCs w:val="20"/>
          <w:color w:val="auto"/>
        </w:rPr>
      </w:pPr>
    </w:p>
    <w:p>
      <w:pPr>
        <w:jc w:val="both"/>
        <w:ind w:left="260" w:hanging="256"/>
        <w:spacing w:after="0" w:line="246" w:lineRule="auto"/>
        <w:tabs>
          <w:tab w:leader="none" w:pos="256"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(i) 140,370 shares of our common stock, (ii) 6,342,720 shares underlying options to purchase common stock, which are vested and exercisable within 60 days of December 1, 2025, which total includes 5,567,472 shares of common stock underlying options directly beneficially owned by Mr. Fortunato and 775,248 shares of common stock underlying options beneficially owned by Mr. Fortunato’s spouse, and (iii) 3,403,147 shares of common stock underlying RSUs, which may vest and be settled for shares within 60 days of December 1, 2025, which total includes 3,224,228 shares of common stock underlying RSUs directly beneficially owned by Mr. Fortunato and 178,919 shares of common stock underlying RSUs beneficially owned by Mr. Fortunato’s spouse.</w:t>
      </w:r>
    </w:p>
    <w:p>
      <w:pPr>
        <w:spacing w:after="0" w:line="2" w:lineRule="exact"/>
        <w:rPr>
          <w:rFonts w:ascii="Arial" w:cs="Arial" w:eastAsia="Arial" w:hAnsi="Arial"/>
          <w:sz w:val="13"/>
          <w:szCs w:val="13"/>
          <w:color w:val="auto"/>
        </w:rPr>
      </w:pPr>
    </w:p>
    <w:p>
      <w:pPr>
        <w:ind w:left="260" w:hanging="256"/>
        <w:spacing w:after="0" w:line="244" w:lineRule="auto"/>
        <w:tabs>
          <w:tab w:leader="none" w:pos="256"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(i) 1,148,966 shares underlying options to purchase common stock, which are vested and exercisable within 60 days of December 1, 2025, and (ii) 671,408 shares of common stock underlying RSUs, which may vest and be settled for shares within 60 days of December 1, 2025.</w:t>
      </w:r>
    </w:p>
    <w:p>
      <w:pPr>
        <w:ind w:left="260" w:hanging="256"/>
        <w:spacing w:after="0" w:line="244" w:lineRule="auto"/>
        <w:tabs>
          <w:tab w:leader="none" w:pos="256"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(i) 233,076 shares of our common stock, (ii) 589,001 shares underlying options to purchase common stock, which are vested and exercisable within 60 days of December 1, 2025, and (iii) 797,975 shares of common stock underlying RSUs, which may vest and be settled for shares within 60 days of December 1, 2025.</w:t>
      </w:r>
    </w:p>
    <w:p>
      <w:pPr>
        <w:jc w:val="both"/>
        <w:ind w:left="260" w:hanging="256"/>
        <w:spacing w:after="0" w:line="243" w:lineRule="auto"/>
        <w:tabs>
          <w:tab w:leader="none" w:pos="256"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(i) 403,225 shares of our common stock directly held by The Jake Alexander Rachleff 2015 Irrevocable Trust u/a/d 5/15/2015 (the “JAR Trust”), (ii) 403,225 shares of our common stock directly held by The Shelby Elizabeth Rachleff 2015 Irrevocable Trust u/a/d 5/15/2015 (the “SER Trust”), and (iii) 16,424,204 shares of our common stock directly held by the Rachleff Family Revocable Trust UTD 5/19/92 (the “Family Trust”). Mr. Rachleff and his spouse serve as co-trustees of the JAR Trust, the SER Trust, and the Family Trust and may be deemed to exercise voting and investment discretion over securities held by them.</w:t>
      </w:r>
    </w:p>
    <w:p>
      <w:pPr>
        <w:ind w:left="260" w:hanging="256"/>
        <w:spacing w:after="0"/>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300,000 shares underlying options to purchase common stock, which are vested and exercisable within 60 days of December 1, 2025.</w:t>
      </w:r>
    </w:p>
    <w:p>
      <w:pPr>
        <w:spacing w:after="0" w:line="1" w:lineRule="exact"/>
        <w:rPr>
          <w:rFonts w:ascii="Arial" w:cs="Arial" w:eastAsia="Arial" w:hAnsi="Arial"/>
          <w:sz w:val="13"/>
          <w:szCs w:val="13"/>
          <w:color w:val="auto"/>
        </w:rPr>
      </w:pPr>
    </w:p>
    <w:p>
      <w:pPr>
        <w:jc w:val="both"/>
        <w:ind w:left="260" w:hanging="256"/>
        <w:spacing w:after="0"/>
        <w:tabs>
          <w:tab w:leader="none" w:pos="256"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(i) 53,732 shares of our common stock directly held by the Goldman-Valeriote Family Trust (the “G-V Trust”), (ii) 25,000 shares of our common stock directly held by MNM Holdings, LLC (“MNM”), (iii) 300,000 shares underlying options to purchase common stock, which are vested and exercisable within 60 days of December 1, 2025, and (iv) 80,719 shares of common stock underlying RSUs, which may vest and be settled for shares within 60 days of December 1, 2025. Mr. Goldman serves as trustee of the G-V Trust and as manager of MNM and as such may be deemed to exercise voting and investment discretion over securities held by them.</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(i) 300,000 shares of our common stock and (ii) 282,525 shares of common stock underlying RSUs, which may vest and be settled for shares within 60 days of December 1, 2025.</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entirely of shares of our common stock directly held by the Index Investors (as defined below) as more specifically described in footnote (13) below.</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4,251 shares of common stock underlying RSUs, which may vest and be settled for shares within 60 days of December 1, 2025.</w:t>
      </w:r>
    </w:p>
    <w:p>
      <w:pPr>
        <w:spacing w:after="0" w:line="4" w:lineRule="exact"/>
        <w:rPr>
          <w:rFonts w:ascii="Arial" w:cs="Arial" w:eastAsia="Arial" w:hAnsi="Arial"/>
          <w:sz w:val="13"/>
          <w:szCs w:val="13"/>
          <w:color w:val="auto"/>
        </w:rPr>
      </w:pPr>
    </w:p>
    <w:p>
      <w:pPr>
        <w:ind w:left="260" w:hanging="256"/>
        <w:spacing w:after="0" w:line="249" w:lineRule="auto"/>
        <w:tabs>
          <w:tab w:leader="none" w:pos="253"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Represents the total of all securities beneficially owned by our directors and officers, consisting of an aggregate (i) 30,972,746 shares of our common stock, (ii) 9,796,698 shares underlying options to purchase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223</w:t>
      </w:r>
    </w:p>
    <w:p>
      <w:pPr>
        <w:sectPr>
          <w:pgSz w:w="11900" w:h="16838" w:orient="portrait"/>
          <w:cols w:equalWidth="0" w:num="1">
            <w:col w:w="11280"/>
          </w:cols>
          <w:pgMar w:left="300" w:top="209" w:right="319" w:bottom="1440" w:gutter="0" w:footer="0" w:header="0"/>
        </w:sectPr>
      </w:pPr>
    </w:p>
    <w:bookmarkStart w:id="239" w:name="page240"/>
    <w:bookmarkEnd w:id="2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
        <w:spacing w:after="0" w:line="251" w:lineRule="auto"/>
        <w:rPr>
          <w:sz w:val="20"/>
          <w:szCs w:val="20"/>
          <w:color w:val="auto"/>
        </w:rPr>
      </w:pPr>
      <w:r>
        <w:rPr>
          <w:rFonts w:ascii="Arial" w:cs="Arial" w:eastAsia="Arial" w:hAnsi="Arial"/>
          <w:sz w:val="13"/>
          <w:szCs w:val="13"/>
          <w:color w:val="auto"/>
        </w:rPr>
        <w:t>which are vested and exercisable within 60 days of December 1, 2025, and (iii) 5,908,434 shares of common stock underlying RSUs, which may vest and be settled for shares within 60 days of December 1, 2025.</w:t>
      </w:r>
    </w:p>
    <w:p>
      <w:pPr>
        <w:spacing w:after="0" w:line="1" w:lineRule="exact"/>
        <w:rPr>
          <w:sz w:val="20"/>
          <w:szCs w:val="20"/>
          <w:color w:val="auto"/>
        </w:rPr>
      </w:pPr>
    </w:p>
    <w:p>
      <w:pPr>
        <w:jc w:val="both"/>
        <w:ind w:left="260" w:hanging="256"/>
        <w:spacing w:after="0" w:line="241" w:lineRule="auto"/>
        <w:tabs>
          <w:tab w:leader="none" w:pos="244"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22,161,789 shares of our common stock held by Tiger Global Private Investment Partners X, L.P. (“Tiger Global X”) and affiliated persons. Tiger Global Management, LLC (“Tiger Global Management”) serves as investment manager for Tiger Global X, and Tiger Global Management is controlled by Chase Coleman. Each of Tiger Global Management and Chase Coleman may be deemed to exercise voting and investment discretion with respect to securities held by Tiger Global X and its affiliated persons. The address for each of the aforementioned parties is c/o Tiger Global Management, LLC, 9 West 57th Street, 35th Floor, New York, New York 10019.</w:t>
      </w:r>
    </w:p>
    <w:p>
      <w:pPr>
        <w:spacing w:after="0" w:line="2" w:lineRule="exact"/>
        <w:rPr>
          <w:rFonts w:ascii="Arial" w:cs="Arial" w:eastAsia="Arial" w:hAnsi="Arial"/>
          <w:sz w:val="13"/>
          <w:szCs w:val="13"/>
          <w:color w:val="auto"/>
        </w:rPr>
      </w:pPr>
    </w:p>
    <w:p>
      <w:pPr>
        <w:jc w:val="both"/>
        <w:ind w:left="260" w:hanging="256"/>
        <w:spacing w:after="0" w:line="243" w:lineRule="auto"/>
        <w:tabs>
          <w:tab w:leader="none" w:pos="25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1,167,469 shares of our common stock held by DAG Ventures IV, L.P. (“DAG IV”), (ii) 1,598,899 shares of common stock held by DAG Ventures IV-A, LLC (“DAG IV-A”), and (iii) 11,047,106 shares of common stock held by DAG Ventures IV-QP, L.P. (“DAG IV-QP”). DAG Ventures Management IV, LLC (“DAG IV LLC”) serves as the general partner of DAG IV and DAG IV-QP and as the manager of DAG IV-A. As such, DAG IV LLC may be deemed to exercise voting and investment discretion over securities held by DAG IV, DAG IV-A, and DAG IV-QP. R. Thomas Goodrich and John J. Cadeddu are the managers of DAG IV LLC and in such capacity directly or indirectly exercise voting and investment discretion over each of the aforementioned entities. The address for each of the aforementioned parties is 251 Lytton Avenue, Suite 200, Palo Alto, California 94301.</w:t>
      </w:r>
    </w:p>
    <w:p>
      <w:pPr>
        <w:jc w:val="both"/>
        <w:ind w:left="260" w:hanging="256"/>
        <w:spacing w:after="0" w:line="263" w:lineRule="auto"/>
        <w:tabs>
          <w:tab w:leader="none" w:pos="253" w:val="left"/>
        </w:tabs>
        <w:numPr>
          <w:ilvl w:val="0"/>
          <w:numId w:val="115"/>
        </w:numPr>
        <w:rPr>
          <w:rFonts w:ascii="Arial" w:cs="Arial" w:eastAsia="Arial" w:hAnsi="Arial"/>
          <w:sz w:val="12"/>
          <w:szCs w:val="12"/>
          <w:color w:val="auto"/>
        </w:rPr>
      </w:pPr>
      <w:r>
        <w:rPr>
          <w:rFonts w:ascii="Arial" w:cs="Arial" w:eastAsia="Arial" w:hAnsi="Arial"/>
          <w:sz w:val="12"/>
          <w:szCs w:val="12"/>
          <w:color w:val="auto"/>
        </w:rPr>
        <w:t>Consists of (i) 3,357,339 shares of our common stock directly held by Index Ventures Growth II (Jersey), L.P. (“Index II Jersey”), (ii) 49,609 shares of common stock directly held by Index Ventures Growth II Parallel Entrepreneur Fund (Jersey) L.P. (“Index II PEF”), (iii) 9,157,362 shares of common stock directly held by Index Ventures VI (Jersey), L.P. (“Index VI Jersey”), (iv) 184,830 shares of common stock directly held by Index Ventures VI Parallel Entrepreneur Fund (Jersey) L.P. (“Index VI PEF”), and (v) 161,363 shares of common stock directly held by Yucca (Jersey) SLP (“Yucca” and, together with Index II Jersey, Index II PEF, Index VI Jersey, Index VI PEF, and Yucca, the “Index Investors”). Index Venture Growth Associates II Limited (“IVGA II”) is the managing general partner of Index II Jersey and Index II PEF and may be deemed to exercise voting and investment discretion over securities held by such funds. Index Venture Associates VI Limited (“IVA VI” and, together with IVGA II, the “Index Associates”) is the managing general partner of Index VI Jersey and Index VI PEF and may be deemed to exercise voting and investment discretion over securities held by such funds. Yucca is the administrator of the Index co-investment vehicles that are contractually required to mirror the relevant Index funds’ investment, and IVGA II and IVA VI may each be deemed to exercise voting and investment discretion over their respective allocation of shares held by Yucca. David Hall, Nigel Greenwood, Philip Balderson, and Brendan Boyle are the members of the board of directors of each of the Index Associates, and voting and investment decisions with respect to securities over which the Index Associates may be deemed to have voting and dispositive power are made by such directors collectively. Mr. Volpi, a member of our board of directors, is a partner with the Index Ventures group, which may serve in an advisory capacity to the Index Associates. The address of each of the aforementioned parties is 5th Floor, 44 Esplanade, St. Helier, Jersey JE1 3FG, Channel Islands.</w:t>
      </w:r>
    </w:p>
    <w:p>
      <w:pPr>
        <w:spacing w:after="0" w:line="4" w:lineRule="exact"/>
        <w:rPr>
          <w:rFonts w:ascii="Arial" w:cs="Arial" w:eastAsia="Arial" w:hAnsi="Arial"/>
          <w:sz w:val="12"/>
          <w:szCs w:val="12"/>
          <w:color w:val="auto"/>
        </w:rPr>
      </w:pPr>
    </w:p>
    <w:p>
      <w:pPr>
        <w:jc w:val="both"/>
        <w:ind w:left="260" w:hanging="256"/>
        <w:spacing w:after="0" w:line="243" w:lineRule="auto"/>
        <w:tabs>
          <w:tab w:leader="none" w:pos="25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4,368,892 shares of our common stock held of record by Ribbit Capital II, L.P. (“Ribbit II”), for itself and as nominee for Ribbit Founder Fund II, L.P, and (ii) 5,479,267 shares of our common stock held of record by RTZ Ribbit Opportunity, L.P. (“RTZ”). The general partner of Ribbit II is Ribbit Capital GP II, L.P. (“Ribbit II GP, L.P.”), and the general partner of Ribbit II GP, L.P. is Ribbit Capital GP II, Ltd. (“Ribbit II GP, Ltd.”). The general partner of RTZ is RTZ Ribbit Opportunity GP, LLC (“RTZ LLC”). Meyer Malka serves as director of Ribbit II GP, Ltd. and managing member of RTZ LLC. As such, Mr. Malka may be deemed to exercise voting and investment discretion, directly or indirectly, over each of the aforementioned entities. The address of each of the aforementioned parties is 364 University Avenue, Palo Alto, California 94301.</w:t>
      </w:r>
    </w:p>
    <w:p>
      <w:pPr>
        <w:jc w:val="both"/>
        <w:ind w:left="260" w:hanging="256"/>
        <w:spacing w:after="0" w:line="252" w:lineRule="auto"/>
        <w:tabs>
          <w:tab w:leader="none" w:pos="25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w:t>
      </w:r>
      <w:r>
        <w:rPr>
          <w:rFonts w:ascii="Arial" w:cs="Arial" w:eastAsia="Arial" w:hAnsi="Arial"/>
          <w:sz w:val="14"/>
          <w:szCs w:val="14"/>
          <w:color w:val="auto"/>
        </w:rPr>
        <w:t>onsists of (i) 3,620,119 shares of our common stock; (ii) 1,093,774 shares underlying options to purchase common stock which are vested and exercisable within 60 days of</w:t>
      </w:r>
      <w:r>
        <w:rPr>
          <w:rFonts w:ascii="Arial" w:cs="Arial" w:eastAsia="Arial" w:hAnsi="Arial"/>
          <w:sz w:val="13"/>
          <w:szCs w:val="13"/>
          <w:color w:val="auto"/>
        </w:rPr>
        <w:t xml:space="preserve"> </w:t>
      </w:r>
      <w:r>
        <w:rPr>
          <w:rFonts w:ascii="Arial" w:cs="Arial" w:eastAsia="Arial" w:hAnsi="Arial"/>
          <w:sz w:val="14"/>
          <w:szCs w:val="14"/>
          <w:color w:val="auto"/>
        </w:rPr>
        <w:t>December 1, 2025 and (iii) 1,043,664 shares of common stock underlying RSUs which may vest and be settled for shares within 60 days of December 1, 2025. As discussed above herein, Mr. Carroll is our co-founder and currently serves as our Chief Strategy Officer.</w:t>
      </w:r>
    </w:p>
    <w:p>
      <w:pPr>
        <w:jc w:val="both"/>
        <w:ind w:left="260" w:hanging="256"/>
        <w:spacing w:after="0"/>
        <w:tabs>
          <w:tab w:leader="none" w:pos="25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91,623 shares of our common stock; (ii) 715,451 shares underlying options to purchase common stock which are vested and exercisable within 60 days of December 1, 2025 and (iii) 403,790 shares of common stock underlying RSUs which may vest and be settled for shares within 60 days of December 1, 2025. Mr. Fardin serves as our VP, Business Development and Operations.</w:t>
      </w:r>
    </w:p>
    <w:p>
      <w:pPr>
        <w:jc w:val="both"/>
        <w:ind w:left="260" w:hanging="256"/>
        <w:spacing w:after="0" w:line="251" w:lineRule="auto"/>
        <w:tabs>
          <w:tab w:leader="none" w:pos="25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278,541 shares of our common stock; (ii) 308,435 shares underlying options to purchase common stock which are vested and exercisable within 60 days of December 1, 2025; and (iii) 530,914 underlying RSUs which may vest and be settled for shares within 60 days of December 1, 2025.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224</w:t>
      </w:r>
    </w:p>
    <w:p>
      <w:pPr>
        <w:sectPr>
          <w:pgSz w:w="11900" w:h="16838" w:orient="portrait"/>
          <w:cols w:equalWidth="0" w:num="1">
            <w:col w:w="11280"/>
          </w:cols>
          <w:pgMar w:left="300" w:top="209" w:right="319" w:bottom="1440" w:gutter="0" w:footer="0" w:header="0"/>
        </w:sectPr>
      </w:pPr>
    </w:p>
    <w:bookmarkStart w:id="240" w:name="page241"/>
    <w:bookmarkEnd w:id="2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60" w:hanging="256"/>
        <w:spacing w:after="0" w:line="248"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240,401 shares of our common stock; (ii) 424,391 shares underlying options to purchase common stock which are vested and exercisable within 60 days of December 1, 2025; and (iii) 462,650 underlying RSUs which may vest and be settled for shares within 60 days of December 1, 2025.</w:t>
      </w:r>
    </w:p>
    <w:p>
      <w:pPr>
        <w:jc w:val="both"/>
        <w:ind w:left="260" w:hanging="256"/>
        <w:spacing w:after="0" w:line="241"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331,846 shares of our common stock; (ii) 322,537 shares underlying options to purchase common stock which are vested and exercisable within 60 days of December 1, 2025; and (iii) 426,343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5"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201,525 shares of our common stock; (ii) 473,856 shares underlying options to purchase common stock which are vested and exercisable within 60 days of December 1, 2025; and (iii) 419,722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1"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290,468 shares of our common stock; (ii) 382,914 shares underlying options to purchase common stock which are vested and exercisable within 60 days of December 1, 2025; and (iii) 301,543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1"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364,316 shares of our common stock; (ii) 201,013 shares underlying options to purchase common stock which are vested and exercisable within 60 days of December 1, 2025; and (iii) 491,072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3"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268,476 shares of our common stock; (ii) 360,474 shares underlying options to purchase common stock which are vested and exercisable within 60 days of December 1, 2025; and (iii) 400,002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1"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253,000 shares of our common stock; (ii) 531,446 shares underlying options to purchase common stock which are vested and exercisable within 60 days of December 1, 2025; and (iii) 305,917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1"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521,958 shares of our common stock; (ii) 172,864 shares underlying options to purchase common stock which are vested and exercisable within 60 days of December 1, 2025; and (iii) 384,815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5"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107,248 shares of our common stock; (ii) 440,665 shares underlying options to purchase common stock which are vested and exercisable within 60 days of December 1, 2025; and (iii) 345,578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1"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100,128 shares of our common stock; (ii) 302,420 shares underlying options to purchase common stock which are vested and exercisable within 60 days of December 1, 2025; and (iii) 616,025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3"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144,961 shares of our common stock; (ii) 494,612 shares underlying options to purchase common stock which are vested and exercisable within 60 days of December 1, 2025; and (iii) 424,443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8"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293,659 shares of our common stock; (ii) 577,848 shares underlying options to purchase common stock which are vested and exercisable within 60 days of December 1, 2025; and (iii) 256,808 underlying RSUs which may vest and be settled for shares within 60 days of December 1,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225</w:t>
      </w:r>
    </w:p>
    <w:p>
      <w:pPr>
        <w:sectPr>
          <w:pgSz w:w="11900" w:h="16838" w:orient="portrait"/>
          <w:cols w:equalWidth="0" w:num="1">
            <w:col w:w="11280"/>
          </w:cols>
          <w:pgMar w:left="300" w:top="209" w:right="319" w:bottom="1440" w:gutter="0" w:footer="0" w:header="0"/>
        </w:sectPr>
      </w:pPr>
    </w:p>
    <w:bookmarkStart w:id="241" w:name="page242"/>
    <w:bookmarkEnd w:id="2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60" w:hanging="256"/>
        <w:spacing w:after="0" w:line="248"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335,318 shares of our common stock; (ii) 290,426 shares underlying options to purchase common stock which are vested and exercisable within 60 days of December 1, 2025; and (iii) 440,477 underlying RSUs which may vest and be settled for shares within 60 days of December 1, 2025.</w:t>
      </w:r>
    </w:p>
    <w:p>
      <w:pPr>
        <w:jc w:val="both"/>
        <w:ind w:left="260" w:hanging="256"/>
        <w:spacing w:after="0" w:line="241"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25,672 shares of our common stock; (ii) 463,536 shares underlying options to purchase common stock which are vested and exercisable within 60 days of December 1, 2025; and (iii) 489,123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5"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470,928 shares of our common stock; (ii) 366,787 shares underlying options to purchase common stock which are vested and exercisable within 60 days of December 1, 2025; and (iii) 220,397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1"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40,731 shares of our common stock; (ii) 761,497 shares underlying options to purchase common stock which are vested and exercisable within 60 days of December 1, 2025; and (iii) 160,299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1"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11,548 shares of our common stock; (ii) 560,768 shares underlying options to purchase common stock which are vested and exercisable within 60 days of December 1, 2025; and (iii) 180,971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3"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38,666 shares of our common stock; (ii) 340,795 shares underlying options to purchase common stock which are vested and exercisable within 60 days of December 1, 2025; and (iii) 434,882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62" w:lineRule="auto"/>
        <w:tabs>
          <w:tab w:leader="none" w:pos="253" w:val="left"/>
        </w:tabs>
        <w:numPr>
          <w:ilvl w:val="0"/>
          <w:numId w:val="117"/>
        </w:numPr>
        <w:rPr>
          <w:rFonts w:ascii="Arial" w:cs="Arial" w:eastAsia="Arial" w:hAnsi="Arial"/>
          <w:sz w:val="12"/>
          <w:szCs w:val="12"/>
          <w:color w:val="auto"/>
        </w:rPr>
      </w:pPr>
      <w:r>
        <w:rPr>
          <w:rFonts w:ascii="Arial" w:cs="Arial" w:eastAsia="Arial" w:hAnsi="Arial"/>
          <w:sz w:val="12"/>
          <w:szCs w:val="12"/>
          <w:color w:val="auto"/>
        </w:rPr>
        <w:t>Consists of securityholders not otherwise listed in this table who collectively beneficially own less than 1% of our common stock prior to the offering. The securities consist of (i) 374,019 shares of our common stock; (ii) 144,260 shares underlying options to purchase common stock which are vested and exercisable within 60 days of December 1, 2025; (iii) 283,812 underlying RSUs which may vest and be settled for shares within 60 days of December 1, 2025; and (iv) 100,387 shares underlying warrants which are vested and exercisable within 60 days of December 1, 2025.</w:t>
      </w:r>
    </w:p>
    <w:p>
      <w:pPr>
        <w:jc w:val="both"/>
        <w:ind w:left="260" w:hanging="256"/>
        <w:spacing w:after="0" w:line="241"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235,205 shares of our common stock; (ii) 478,566 shares underlying options to purchase common stock which are vested and exercisable within 60 days of December 1, 2025; and (iii) 250,670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5"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48,100 shares of our common stock; (ii) 650,380 shares underlying options to purchase common stock which are vested and exercisable within 60 days of December 1, 2025; and (iii) 336,812 underlying RSUs which may vest and be settled for shares within 60 days of December 1, 2025.</w:t>
      </w:r>
    </w:p>
    <w:p>
      <w:pPr>
        <w:spacing w:after="0" w:line="1" w:lineRule="exact"/>
        <w:rPr>
          <w:rFonts w:ascii="Arial" w:cs="Arial" w:eastAsia="Arial" w:hAnsi="Arial"/>
          <w:sz w:val="13"/>
          <w:szCs w:val="13"/>
          <w:color w:val="auto"/>
        </w:rPr>
      </w:pPr>
    </w:p>
    <w:p>
      <w:pPr>
        <w:jc w:val="both"/>
        <w:ind w:left="260" w:hanging="256"/>
        <w:spacing w:after="0" w:line="241"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176,800 shares of our common stock; (ii) 642,572 shares underlying options to purchase common stock which are vested and exercisable within 60 days of December 1, 2025; and (iii) 262,968 underlying RSUs which may vest and be settled for shares within 60 days of December 1, 2025.</w:t>
      </w:r>
    </w:p>
    <w:p>
      <w:pPr>
        <w:spacing w:after="0" w:line="1" w:lineRule="exact"/>
        <w:rPr>
          <w:rFonts w:ascii="Arial" w:cs="Arial" w:eastAsia="Arial" w:hAnsi="Arial"/>
          <w:sz w:val="13"/>
          <w:szCs w:val="13"/>
          <w:color w:val="auto"/>
        </w:rPr>
      </w:pPr>
    </w:p>
    <w:p>
      <w:pPr>
        <w:ind w:left="260" w:hanging="256"/>
        <w:spacing w:after="0" w:line="244"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644,610 shares of our common stock.</w:t>
      </w:r>
    </w:p>
    <w:p>
      <w:pPr>
        <w:jc w:val="both"/>
        <w:ind w:left="260" w:hanging="256"/>
        <w:spacing w:after="0" w:line="241"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315,000 shares underlying options to purchase common stock which are vested and exercisable within 60 days of December 1, 2025; and (ii) 407,003 underlying RSUs which may vest and be settled for shares within 60 days of December 1, 2025.</w:t>
      </w:r>
    </w:p>
    <w:p>
      <w:pPr>
        <w:spacing w:after="0" w:line="1" w:lineRule="exact"/>
        <w:rPr>
          <w:rFonts w:ascii="Arial" w:cs="Arial" w:eastAsia="Arial" w:hAnsi="Arial"/>
          <w:sz w:val="13"/>
          <w:szCs w:val="13"/>
          <w:color w:val="auto"/>
        </w:rPr>
      </w:pPr>
    </w:p>
    <w:p>
      <w:pPr>
        <w:ind w:left="260" w:hanging="256"/>
        <w:spacing w:after="0" w:line="249"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(i) 4,382 shares of our common stock; (ii) 529,123 shares underlying options to purchase common stock which are vested and exercisable within 60 days of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226</w:t>
      </w:r>
    </w:p>
    <w:p>
      <w:pPr>
        <w:sectPr>
          <w:pgSz w:w="11900" w:h="16838" w:orient="portrait"/>
          <w:cols w:equalWidth="0" w:num="1">
            <w:col w:w="11280"/>
          </w:cols>
          <w:pgMar w:left="300" w:top="209" w:right="319" w:bottom="1440" w:gutter="0" w:footer="0" w:header="0"/>
        </w:sectPr>
      </w:pPr>
    </w:p>
    <w:bookmarkStart w:id="242" w:name="page243"/>
    <w:bookmarkEnd w:id="2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December 1, 2025; and (iii) 263,433 underlying RSUs which may vest and be settled for shares within 60 days of December 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227</w:t>
      </w:r>
    </w:p>
    <w:p>
      <w:pPr>
        <w:sectPr>
          <w:pgSz w:w="11900" w:h="16838" w:orient="portrait"/>
          <w:cols w:equalWidth="0" w:num="1">
            <w:col w:w="10159"/>
          </w:cols>
          <w:pgMar w:left="300" w:top="209" w:right="1440" w:bottom="1440" w:gutter="0" w:footer="0" w:header="0"/>
        </w:sectPr>
      </w:pPr>
    </w:p>
    <w:bookmarkStart w:id="243" w:name="page244"/>
    <w:bookmarkEnd w:id="2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description summarizes the most important terms of our capital stock, as they will be in effect following this offering. Because it is only a summary, it does not contain all the information that may be important to you. We have adopted a restated certificate of incorporation and restated bylaws that will become effective immediately prior to the completion of this offering, and this description summarizes provisions that are included in these documents. For a complete description, you should refer to our restated certificate of incorporation, restated bylaws, and our IRA, which are included as exhibits to the registration statement of which this prospectus forms a part, and to the applicable provisions of Delaware law.</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Upon the completion of this offering, our authorized capital stock will consist of 2,000,000,000 shares of our common stock, $0.0001 par value per share, and 100,000,000 shares of undesignated preferred stock, $0.0001 par value per share.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Assuming the occurrence of the Capital Stock Conversion, the Option Exercise, the RSU Net Settlement, and the SAFE Settlement as of July 31, 2025, there were outstanding:</w:t>
      </w:r>
    </w:p>
    <w:p>
      <w:pPr>
        <w:spacing w:after="0" w:line="133" w:lineRule="exact"/>
        <w:rPr>
          <w:sz w:val="20"/>
          <w:szCs w:val="20"/>
          <w:color w:val="auto"/>
        </w:rPr>
      </w:pPr>
    </w:p>
    <w:p>
      <w:pPr>
        <w:ind w:left="500" w:hanging="244"/>
        <w:spacing w:after="0"/>
        <w:tabs>
          <w:tab w:leader="none" w:pos="5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124,798,460 shares of our common stock, held by 1,117 stockholders of record;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26,389,165 shares of our common stock issuable upon the exercise of stock options;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24,408,994 shares of our common stock issuable upon the vesting and settlement of RSUs outstanding; and</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1,953,463 shares of our common stock issuable upon the exercise of warrants to purchase 1,953,463 shares of common stock, which have a weighted-average exercise price of $2.73 per share.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 Rights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Subject to preferences that may apply to any shares of preferred stock outstanding at the time, the holders of shares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Holders of shares of our common stock are entitled to one vote for each share of common stock held on all matters submitted to a vote of stockholders. We have not provided for cumulative voting for the election of directors in our restated certificate of incorporation.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not entitled to preemptive rights and is not subject to redemption or sinking fund provisions.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 to Receive Liquidation Distributions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228</w:t>
      </w:r>
    </w:p>
    <w:p>
      <w:pPr>
        <w:sectPr>
          <w:pgSz w:w="11900" w:h="16838" w:orient="portrait"/>
          <w:cols w:equalWidth="0" w:num="1">
            <w:col w:w="11280"/>
          </w:cols>
          <w:pgMar w:left="300" w:top="209" w:right="319" w:bottom="1440" w:gutter="0" w:footer="0" w:header="0"/>
        </w:sectPr>
      </w:pPr>
    </w:p>
    <w:bookmarkStart w:id="244" w:name="page245"/>
    <w:bookmarkEnd w:id="2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and the preferential rights of and the payment of liquidation preferences, if any, on any outstanding shares of preferred stock.</w:t>
      </w:r>
    </w:p>
    <w:p>
      <w:pPr>
        <w:spacing w:after="0" w:line="133"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Preferred Stock</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Pursuant to the provisions of our currently in effect restated certificate of incorporation, each currently outstanding share of redeemable convertible preferred stock will automatically be converted into one share of common stock in connection with the closing of this offering. Following this offering, no shares of redeemable convertible preferred stock will be outstanding.</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The number of authorized shares of our preferred stock may be increased or decreased (but not below the number of shares thereof then outstanding) by the vote of the holders of our capital stock entitled to vote thereon, without a separate vote of the holders of the preferred stock, irrespective of the provisions of Section 242(b)(2) of the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July 31, 2025, we had outstanding options to purchase an aggregate of 6,065,675 shares of our common stock under our 2008 Plan, with a weighted-average exercise price of $2.31 per share.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July 31, 2025, we had outstanding options to purchase an aggregate of 22,178,730 shares of our common stock under our 2017 Plan, with a weighted-average exercise price of $1.79 per share.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 Option Exercise, 1,855,240 shares of our common stock will be cash exercised, with a weighted-average exercise price of $2.06 per share.</w:t>
      </w:r>
    </w:p>
    <w:p>
      <w:pPr>
        <w:spacing w:after="0" w:line="133"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RSUs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July 31, 2025, we had outstanding RSUs that may be settled for an aggregate of 34,242,383 shares of our common stock under our 2017 Plan. Subsequent to July 31, 2025, we granted RSUs that may be settled for an aggregate of 2,153,262 shares of our common stock under our 2017 Plan.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July 31, 2025, we had outstanding Non-Plan RSUs that may be settled for an aggregate of 475,329 shares of our common stock. Subsequent to July 31, 2025, we granted Non-Plan RSUs that may be settled for an aggregate of 454,334 shares of our common stock.</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connection with the RSU Net Settlement, we expect to issue 10,308,718 shares of our common stock, after withholding an aggregate of 8,434,405 shares of common stock, to satisfy associated estimated tax withholding and remittance obligations (assuming an initial public offering price of $13.00 per share, which is the midpoint of the offering price range set forth on the cover page of this prospectus, and an assumed 45% tax withholding rate). In addition, we expect that the satisfaction of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229</w:t>
      </w:r>
    </w:p>
    <w:p>
      <w:pPr>
        <w:sectPr>
          <w:pgSz w:w="11900" w:h="16838" w:orient="portrait"/>
          <w:cols w:equalWidth="0" w:num="1">
            <w:col w:w="11280"/>
          </w:cols>
          <w:pgMar w:left="300" w:top="209" w:right="319" w:bottom="1440" w:gutter="0" w:footer="0" w:header="0"/>
        </w:sectPr>
      </w:pPr>
    </w:p>
    <w:bookmarkStart w:id="245" w:name="page246"/>
    <w:bookmarkEnd w:id="2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based vesting condition of certain RSUs through the expected date of this offering as set forth on the cover page of this prospectus will result in a net issuance of 944,769 shares of our common stock in connection with this offering, after withholding an aggregate of 772,994 shares of common stock to satisfy the associated estimated tax withholding and remittance obligations (based on an assumed initial public offering price of $13.00 per share, which is the midpoint of the offering price range set forth on the cover page of this prospectus, and an assumed 45% tax withholding rate).</w:t>
      </w:r>
    </w:p>
    <w:p>
      <w:pPr>
        <w:spacing w:after="0" w:line="9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Warrants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of July 31, 2025, we had outstanding common stock warrants to purchase 1,953,463 shares of our common stock, with a weighted-average exercise price of $2.73 per share.</w:t>
      </w:r>
    </w:p>
    <w:p>
      <w:pPr>
        <w:spacing w:after="0" w:line="133"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SAFEs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of July 31, 2025, we had outstanding SAFEs that will be settled for an aggregate of 437,415 shares of our common stock immediately prior to completion of this offering.</w:t>
      </w:r>
    </w:p>
    <w:p>
      <w:pPr>
        <w:spacing w:after="0" w:line="133"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Registration Rights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Following the completion of this offering, certain holders of shares of our common stock or their permitted transferees will be entitled to rights with respect to the registration of their shares under the Securities Act. These rights are provided under the terms of our IRA, which was entered into in connection with our redeemable convertible preferred stock financings, and include demand registration rights, Form S-3 registration rights and piggyback registration rights. In any registration made pursuant to our IRA, all fees, costs and expenses of underwritten registrations will be borne by us and all selling expenses, including estimated underwriting discounts, selling commissions, stock transfer taxes, and fees and disbursements of counsel for any holder will be borne by the holders of the shares being registered.</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registration rights terminate (i) five years following the completion of this offering or (ii) with respect to any particular stockholder, at the time that such stockholder can sell all of its registrable securities (as defined in our IRA) without any restriction on volume or manner of sale in any three-month period pursuant to Rule 144 of the Securities Act or any successor rule thereto.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Demand Registration Rights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Following the expiration of the Lock-up Period, holders of 83,283,544 shares of our common stock, including holders of shares of common stock issuable upon conversion of our outstanding warrants, will be entitled to demand registration rights. Under the terms of our IRA, we will be required, upon the request of holders representing at least 40% of the then-outstanding shares that are entitled to registration rights under our IRA, to file a registration statement under the Securities Act to register, as soon as practicable and in any event within 20 days after receipt of the request, all or a portion of these shares for public resale, if the aggregate price to the public of the shares offered is at least $5.0 million, net of underwriting discounts and commissions. We are required to effect only two registrations pursuant to this provision of the IRA. We may postpone the filing of a registration statement no more than once during any 12-month period for a period of not more than 120 days if our board of directors determines that the filing would be seriously detrimental to us. We are not required to effect a demand registration under certain additional circumstances specified in our IRA.</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Form S-3 Registration Rights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Following the completion of this offering, holders of 83,535,294 shares of our common stock, including holders of shares of common stock issuable upon conversion of our outstanding warrants, will be entitled to Form S-3 registration rights. The holders representing at least 40% of the then-outstanding shares having registration rights can request that we register all or part of their shares on Form S-3 if we are eligible to file a registration statement on Form S-3 and if the aggregate price to the public of the shares offered is at least $3.0 million. Under the terms of our IRA, we will be required to file a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230</w:t>
      </w:r>
    </w:p>
    <w:p>
      <w:pPr>
        <w:sectPr>
          <w:pgSz w:w="11900" w:h="16838" w:orient="portrait"/>
          <w:cols w:equalWidth="0" w:num="1">
            <w:col w:w="11280"/>
          </w:cols>
          <w:pgMar w:left="300" w:top="209" w:right="319" w:bottom="1440" w:gutter="0" w:footer="0" w:header="0"/>
        </w:sectPr>
      </w:pPr>
    </w:p>
    <w:bookmarkStart w:id="246" w:name="page247"/>
    <w:bookmarkEnd w:id="2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statement on Form S-3 to register such shares as soon as practicable and in any event within 20 days after receipt of the request. The holders may only require us to effect at most one registration statement on Form S-3 in any 12-month period. We may postpone the filing of a registration statement on Form S-3 no more than once during any 12-month period for a period of not more than 120 days if our board of directors determines that the filing would be seriously detrimental to us.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Piggyback Registration Rights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If we register any of our securities for public sale, holders of 83,535,294 shares of our common stock, including holders of shares of common stock issuable upon conversion of our outstanding warrants,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our common stock, or a registration that does not permit secondary sales. The underwriters of any underwritten offering will have the right to limit the number of shares registered by these holders if they determine that marketing factors require limitation, in which case the number of shares to be registered will be apportioned, first, to us and, second, pro rata among these holders, according to the total amount of securities entitled to be included by each holder. However, the number of shares to be registered by these holders cannot be reduced (i) unless all other securities (other than securities to be sold by us) are first excluded from the offering or</w:t>
      </w:r>
    </w:p>
    <w:p>
      <w:pPr>
        <w:spacing w:after="0" w:line="3" w:lineRule="exact"/>
        <w:rPr>
          <w:sz w:val="20"/>
          <w:szCs w:val="20"/>
          <w:color w:val="auto"/>
        </w:rPr>
      </w:pPr>
    </w:p>
    <w:p>
      <w:pPr>
        <w:ind w:left="200" w:hanging="196"/>
        <w:spacing w:after="0"/>
        <w:tabs>
          <w:tab w:leader="none" w:pos="2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below 30% of the total shares covered by the registration statement, other than in the initial public offering.</w:t>
      </w:r>
    </w:p>
    <w:p>
      <w:pPr>
        <w:spacing w:after="0" w:line="119" w:lineRule="exact"/>
        <w:rPr>
          <w:rFonts w:ascii="Arial" w:cs="Arial" w:eastAsia="Arial" w:hAnsi="Arial"/>
          <w:sz w:val="14"/>
          <w:szCs w:val="14"/>
          <w:color w:val="auto"/>
        </w:rPr>
      </w:pPr>
    </w:p>
    <w:p>
      <w:pPr>
        <w:ind w:left="4800"/>
        <w:spacing w:after="0"/>
        <w:rPr>
          <w:rFonts w:ascii="Arial" w:cs="Arial" w:eastAsia="Arial" w:hAnsi="Arial"/>
          <w:sz w:val="14"/>
          <w:szCs w:val="14"/>
          <w:color w:val="auto"/>
        </w:rPr>
      </w:pPr>
      <w:r>
        <w:rPr>
          <w:rFonts w:ascii="Arial" w:cs="Arial" w:eastAsia="Arial" w:hAnsi="Arial"/>
          <w:sz w:val="14"/>
          <w:szCs w:val="14"/>
          <w:b w:val="1"/>
          <w:bCs w:val="1"/>
          <w:color w:val="auto"/>
        </w:rPr>
        <w:t>Anti-Takeover Provisions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provisions of the DGCL, our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Delaware Law</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the provisions of Section 203 of the DGCL regulating corporate takeovers. In general, Section 203 prohibits a publicly held Delaware corporation from engaging in a “business combination” with an “interested stockholder” for a three -year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6" w:lineRule="exact"/>
        <w:rPr>
          <w:sz w:val="20"/>
          <w:szCs w:val="20"/>
          <w:color w:val="auto"/>
        </w:rPr>
      </w:pPr>
    </w:p>
    <w:p>
      <w:pPr>
        <w:ind w:left="500" w:hanging="244"/>
        <w:spacing w:after="0" w:line="286" w:lineRule="auto"/>
        <w:tabs>
          <w:tab w:leader="none" w:pos="49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before the stockholder became interested, our board of directors approved either the business combination or the transaction, which resulted in the stockholder becoming an interested stockholder;</w:t>
      </w:r>
    </w:p>
    <w:p>
      <w:pPr>
        <w:spacing w:after="0" w:line="78" w:lineRule="exact"/>
        <w:rPr>
          <w:rFonts w:ascii="Arial" w:cs="Arial" w:eastAsia="Arial" w:hAnsi="Arial"/>
          <w:sz w:val="14"/>
          <w:szCs w:val="14"/>
          <w:color w:val="auto"/>
        </w:rPr>
      </w:pPr>
    </w:p>
    <w:p>
      <w:pPr>
        <w:jc w:val="both"/>
        <w:ind w:left="500" w:hanging="244"/>
        <w:spacing w:after="0" w:line="268" w:lineRule="auto"/>
        <w:tabs>
          <w:tab w:leader="none" w:pos="49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91"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at or after the time the stockholder became interested, the business combination was approved by our board and authorized at an annual or special meeting of the stockholders by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231</w:t>
      </w:r>
    </w:p>
    <w:p>
      <w:pPr>
        <w:sectPr>
          <w:pgSz w:w="11900" w:h="16838" w:orient="portrait"/>
          <w:cols w:equalWidth="0" w:num="1">
            <w:col w:w="11280"/>
          </w:cols>
          <w:pgMar w:left="300" w:top="209" w:right="319" w:bottom="1440" w:gutter="0" w:footer="0" w:header="0"/>
        </w:sectPr>
      </w:pPr>
    </w:p>
    <w:bookmarkStart w:id="247" w:name="page248"/>
    <w:bookmarkEnd w:id="2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affirmative vote of at least two-thirds of the outstanding voting stock, which is not owned by the interested stockholder.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Section 203 defines a business combination to include:</w:t>
      </w:r>
    </w:p>
    <w:p>
      <w:pPr>
        <w:spacing w:after="0" w:line="133" w:lineRule="exact"/>
        <w:rPr>
          <w:sz w:val="20"/>
          <w:szCs w:val="20"/>
          <w:color w:val="auto"/>
        </w:rPr>
      </w:pPr>
    </w:p>
    <w:p>
      <w:pPr>
        <w:ind w:left="500" w:hanging="244"/>
        <w:spacing w:after="0"/>
        <w:tabs>
          <w:tab w:leader="none" w:pos="5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any merger or consolidation involving the corporation and the interested stockholder;</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any sale, transfer, lease, pledge, or other disposition involving the interested stockholder of 10% or more of the assets of the corporation;</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subject to exceptions, any transaction that results in the issuance of transfer by the corporation of any stock of the corporation to the interested stockholder;</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receipt by the interested stockholder of the benefit of any loans, advances, guarantees, pledges, or other financial benefits provided by or through the corporation.</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Restated Certificate of Incorporation and Restated Bylaw Provisions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Our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79" w:lineRule="exact"/>
        <w:rPr>
          <w:sz w:val="20"/>
          <w:szCs w:val="20"/>
          <w:color w:val="auto"/>
        </w:rPr>
      </w:pPr>
    </w:p>
    <w:p>
      <w:pPr>
        <w:jc w:val="both"/>
        <w:ind w:left="500" w:hanging="244"/>
        <w:spacing w:after="0" w:line="262" w:lineRule="auto"/>
        <w:tabs>
          <w:tab w:leader="none" w:pos="496"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 xml:space="preserve">Board of Directors Vacancies. </w:t>
      </w:r>
      <w:r>
        <w:rPr>
          <w:rFonts w:ascii="Arial" w:cs="Arial" w:eastAsia="Arial" w:hAnsi="Arial"/>
          <w:sz w:val="14"/>
          <w:szCs w:val="14"/>
          <w:color w:val="auto"/>
        </w:rPr>
        <w:t>Our restated certificate of incorporation and our restated bylaws will authorize generally only our board of directors to fill vacant directorships</w:t>
      </w:r>
      <w:r>
        <w:rPr>
          <w:rFonts w:ascii="Arial" w:cs="Arial" w:eastAsia="Arial" w:hAnsi="Arial"/>
          <w:sz w:val="14"/>
          <w:szCs w:val="14"/>
          <w:i w:val="1"/>
          <w:iCs w:val="1"/>
          <w:color w:val="auto"/>
        </w:rPr>
        <w:t xml:space="preserve"> </w:t>
      </w:r>
      <w:r>
        <w:rPr>
          <w:rFonts w:ascii="Arial" w:cs="Arial" w:eastAsia="Arial" w:hAnsi="Arial"/>
          <w:sz w:val="14"/>
          <w:szCs w:val="14"/>
          <w:color w:val="auto"/>
        </w:rPr>
        <w:t>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95" w:lineRule="exact"/>
        <w:rPr>
          <w:rFonts w:ascii="Arial" w:cs="Arial" w:eastAsia="Arial" w:hAnsi="Arial"/>
          <w:sz w:val="14"/>
          <w:szCs w:val="14"/>
          <w:color w:val="auto"/>
        </w:rPr>
      </w:pPr>
    </w:p>
    <w:p>
      <w:pPr>
        <w:jc w:val="both"/>
        <w:ind w:left="500" w:hanging="244"/>
        <w:spacing w:after="0" w:line="268" w:lineRule="auto"/>
        <w:tabs>
          <w:tab w:leader="none" w:pos="496"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 xml:space="preserve">Classified Board. </w:t>
      </w:r>
      <w:r>
        <w:rPr>
          <w:rFonts w:ascii="Arial" w:cs="Arial" w:eastAsia="Arial" w:hAnsi="Arial"/>
          <w:sz w:val="14"/>
          <w:szCs w:val="14"/>
          <w:color w:val="auto"/>
        </w:rPr>
        <w:t>Our restated certificate of incorporation and our restated bylaws will provide that our board of directors is classified into three classes of directors. The</w:t>
      </w:r>
      <w:r>
        <w:rPr>
          <w:rFonts w:ascii="Arial" w:cs="Arial" w:eastAsia="Arial" w:hAnsi="Arial"/>
          <w:sz w:val="14"/>
          <w:szCs w:val="14"/>
          <w:i w:val="1"/>
          <w:iCs w:val="1"/>
          <w:color w:val="auto"/>
        </w:rPr>
        <w:t xml:space="preserve"> </w:t>
      </w:r>
      <w:r>
        <w:rPr>
          <w:rFonts w:ascii="Arial" w:cs="Arial" w:eastAsia="Arial" w:hAnsi="Arial"/>
          <w:sz w:val="14"/>
          <w:szCs w:val="14"/>
          <w:color w:val="auto"/>
        </w:rPr>
        <w:t>existence of a classified board of directors could delay a successful tender offeror from obtaining majority control of our board of directors, and the prospect of that delay might deter a potential offeror. For additional information, see the section titled “Management—Classified Board of Directors.”</w:t>
      </w:r>
    </w:p>
    <w:p>
      <w:pPr>
        <w:spacing w:after="0" w:line="91"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 xml:space="preserve">Directors Removed Only for Cause. </w:t>
      </w:r>
      <w:r>
        <w:rPr>
          <w:rFonts w:ascii="Arial" w:cs="Arial" w:eastAsia="Arial" w:hAnsi="Arial"/>
          <w:sz w:val="14"/>
          <w:szCs w:val="14"/>
          <w:color w:val="auto"/>
        </w:rPr>
        <w:t>Our restated certificate of incorporation will provide that stockholders may remove directors only for cause and only by the affirmative vote</w:t>
      </w:r>
      <w:r>
        <w:rPr>
          <w:rFonts w:ascii="Arial" w:cs="Arial" w:eastAsia="Arial" w:hAnsi="Arial"/>
          <w:sz w:val="14"/>
          <w:szCs w:val="14"/>
          <w:i w:val="1"/>
          <w:iCs w:val="1"/>
          <w:color w:val="auto"/>
        </w:rPr>
        <w:t xml:space="preserve"> </w:t>
      </w:r>
      <w:r>
        <w:rPr>
          <w:rFonts w:ascii="Arial" w:cs="Arial" w:eastAsia="Arial" w:hAnsi="Arial"/>
          <w:sz w:val="14"/>
          <w:szCs w:val="14"/>
          <w:color w:val="auto"/>
        </w:rPr>
        <w:t>of the holders of at least two-thirds of the voting power of the then-outstanding capital stock.</w:t>
      </w:r>
    </w:p>
    <w:p>
      <w:pPr>
        <w:spacing w:after="0" w:line="78" w:lineRule="exact"/>
        <w:rPr>
          <w:rFonts w:ascii="Arial" w:cs="Arial" w:eastAsia="Arial" w:hAnsi="Arial"/>
          <w:sz w:val="14"/>
          <w:szCs w:val="14"/>
          <w:color w:val="auto"/>
        </w:rPr>
      </w:pPr>
    </w:p>
    <w:p>
      <w:pPr>
        <w:jc w:val="both"/>
        <w:ind w:left="500" w:hanging="244"/>
        <w:spacing w:after="0" w:line="259" w:lineRule="auto"/>
        <w:tabs>
          <w:tab w:leader="none" w:pos="496"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Supermajority Requirements for Amendments of Our Restated Certificate of Incorporation and Restated Bylaws</w:t>
      </w:r>
      <w:r>
        <w:rPr>
          <w:rFonts w:ascii="Arial" w:cs="Arial" w:eastAsia="Arial" w:hAnsi="Arial"/>
          <w:sz w:val="14"/>
          <w:szCs w:val="14"/>
          <w:color w:val="auto"/>
        </w:rPr>
        <w:t>. Our restated certificate of incorporation will further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that the affirmative vote of holders of at least two-thirds of the voting power of all of the then outstanding shares of capital stock will be required to amend certain provisions of our restated certificate of incorporation, including provisions relating to the classified board, the size of our board of directors, removal of directors, special meetings, actions by written consent, and designation of our preferred stock. The affirmative vote of holders of at least two-thirds of the voting power of all of the then outstanding shares of capital stock will be required to amend or repeal our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232</w:t>
      </w:r>
    </w:p>
    <w:p>
      <w:pPr>
        <w:sectPr>
          <w:pgSz w:w="11900" w:h="16838" w:orient="portrait"/>
          <w:cols w:equalWidth="0" w:num="1">
            <w:col w:w="11280"/>
          </w:cols>
          <w:pgMar w:left="300" w:top="209" w:right="319" w:bottom="1440" w:gutter="0" w:footer="0" w:header="0"/>
        </w:sectPr>
      </w:pPr>
    </w:p>
    <w:bookmarkStart w:id="248" w:name="page249"/>
    <w:bookmarkEnd w:id="2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00"/>
        <w:spacing w:after="0" w:line="262" w:lineRule="auto"/>
        <w:rPr>
          <w:sz w:val="20"/>
          <w:szCs w:val="20"/>
          <w:color w:val="auto"/>
        </w:rPr>
      </w:pPr>
      <w:r>
        <w:rPr>
          <w:rFonts w:ascii="Arial" w:cs="Arial" w:eastAsia="Arial" w:hAnsi="Arial"/>
          <w:sz w:val="14"/>
          <w:szCs w:val="14"/>
          <w:color w:val="auto"/>
        </w:rPr>
        <w:t>bylaws, although our restated bylaws may be amended by a simple majority vote of our board of directors. Additionally, in the case of any proposed adoption, amendment, or repeal of any provisions of the restated bylaws that is approved by our board of directors and submitted to the stockholders for adoption, if two-thirds of our board of directors has approved such adoption, amendment, or repeal of any provisions of our restated bylaws, then only the affirmative vote of a majority of the voting power of all of the then outstanding shares of capital stock shall be required to adopt, amend, or repeal any provision of our restated bylaws.</w:t>
      </w:r>
    </w:p>
    <w:p>
      <w:pPr>
        <w:spacing w:after="0" w:line="96" w:lineRule="exact"/>
        <w:rPr>
          <w:sz w:val="20"/>
          <w:szCs w:val="20"/>
          <w:color w:val="auto"/>
        </w:rPr>
      </w:pPr>
    </w:p>
    <w:p>
      <w:pPr>
        <w:jc w:val="both"/>
        <w:ind w:left="500" w:hanging="244"/>
        <w:spacing w:after="0" w:line="257" w:lineRule="auto"/>
        <w:tabs>
          <w:tab w:leader="none" w:pos="496"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Stockholder Action; Special Meetings of Stockholders. </w:t>
      </w:r>
      <w:r>
        <w:rPr>
          <w:rFonts w:ascii="Arial" w:cs="Arial" w:eastAsia="Arial" w:hAnsi="Arial"/>
          <w:sz w:val="14"/>
          <w:szCs w:val="14"/>
          <w:color w:val="auto"/>
        </w:rPr>
        <w:t>Our restated certificate of incorporation will provide that our stockholders may not take action by written consent, but</w:t>
      </w:r>
      <w:r>
        <w:rPr>
          <w:rFonts w:ascii="Arial" w:cs="Arial" w:eastAsia="Arial" w:hAnsi="Arial"/>
          <w:sz w:val="14"/>
          <w:szCs w:val="14"/>
          <w:i w:val="1"/>
          <w:iCs w:val="1"/>
          <w:color w:val="auto"/>
        </w:rPr>
        <w:t xml:space="preserve"> </w:t>
      </w:r>
      <w:r>
        <w:rPr>
          <w:rFonts w:ascii="Arial" w:cs="Arial" w:eastAsia="Arial" w:hAnsi="Arial"/>
          <w:sz w:val="14"/>
          <w:szCs w:val="14"/>
          <w:color w:val="auto"/>
        </w:rPr>
        <w:t>may only take action at annual or special meetings of our stockholders. As a result, holders of our capital stock would not be able to amend our restated bylaws or remove directors without holding a meeting of our stockholders called in accordance with our restated bylaws. Our restated certificate of incorporation and our restated bylaws will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00" w:lineRule="exact"/>
        <w:rPr>
          <w:rFonts w:ascii="Arial" w:cs="Arial" w:eastAsia="Arial" w:hAnsi="Arial"/>
          <w:sz w:val="14"/>
          <w:szCs w:val="14"/>
          <w:color w:val="auto"/>
        </w:rPr>
      </w:pPr>
    </w:p>
    <w:p>
      <w:pPr>
        <w:jc w:val="both"/>
        <w:ind w:left="500" w:hanging="244"/>
        <w:spacing w:after="0" w:line="259" w:lineRule="auto"/>
        <w:tabs>
          <w:tab w:leader="none" w:pos="496"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Advance Notice Requirements for Stockholder Proposals and Director Nominations. </w:t>
      </w:r>
      <w:r>
        <w:rPr>
          <w:rFonts w:ascii="Arial" w:cs="Arial" w:eastAsia="Arial" w:hAnsi="Arial"/>
          <w:sz w:val="14"/>
          <w:szCs w:val="14"/>
          <w:color w:val="auto"/>
        </w:rPr>
        <w:t>Our restated bylaws will provide advance notice procedures for stockholders seeking to</w:t>
      </w:r>
      <w:r>
        <w:rPr>
          <w:rFonts w:ascii="Arial" w:cs="Arial" w:eastAsia="Arial" w:hAnsi="Arial"/>
          <w:sz w:val="14"/>
          <w:szCs w:val="14"/>
          <w:i w:val="1"/>
          <w:iCs w:val="1"/>
          <w:color w:val="auto"/>
        </w:rPr>
        <w:t xml:space="preserve"> </w:t>
      </w:r>
      <w:r>
        <w:rPr>
          <w:rFonts w:ascii="Arial" w:cs="Arial" w:eastAsia="Arial" w:hAnsi="Arial"/>
          <w:sz w:val="14"/>
          <w:szCs w:val="14"/>
          <w:color w:val="auto"/>
        </w:rPr>
        <w:t>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9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No Cumulative Voting. </w:t>
      </w:r>
      <w:r>
        <w:rPr>
          <w:rFonts w:ascii="Arial" w:cs="Arial" w:eastAsia="Arial" w:hAnsi="Arial"/>
          <w:sz w:val="14"/>
          <w:szCs w:val="14"/>
          <w:color w:val="auto"/>
        </w:rPr>
        <w:t>The DGCL provides that stockholders are not entitled to the right to cumulate votes in the election of directors unless a corporation’s certificate of</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incorporation provides otherwise. Our restated certificate of incorporation and restated bylaws will not provide for cumulative voting.</w:t>
      </w:r>
    </w:p>
    <w:p>
      <w:pPr>
        <w:spacing w:after="0" w:line="78" w:lineRule="exact"/>
        <w:rPr>
          <w:rFonts w:ascii="Arial" w:cs="Arial" w:eastAsia="Arial" w:hAnsi="Arial"/>
          <w:sz w:val="14"/>
          <w:szCs w:val="14"/>
          <w:color w:val="auto"/>
        </w:rPr>
      </w:pPr>
    </w:p>
    <w:p>
      <w:pPr>
        <w:jc w:val="both"/>
        <w:ind w:left="500" w:hanging="244"/>
        <w:spacing w:after="0" w:line="262" w:lineRule="auto"/>
        <w:tabs>
          <w:tab w:leader="none" w:pos="496"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Issuance of Undesignated Preferred Stock. </w:t>
      </w:r>
      <w:r>
        <w:rPr>
          <w:rFonts w:ascii="Arial" w:cs="Arial" w:eastAsia="Arial" w:hAnsi="Arial"/>
          <w:sz w:val="14"/>
          <w:szCs w:val="14"/>
          <w:color w:val="auto"/>
        </w:rPr>
        <w:t>We anticipate that after the filing of our restated certificate of incorporation, our board of directors will have the authority,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further action by the stockholders, to issue up to 100,000,000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95" w:lineRule="exact"/>
        <w:rPr>
          <w:rFonts w:ascii="Arial" w:cs="Arial" w:eastAsia="Arial" w:hAnsi="Arial"/>
          <w:sz w:val="14"/>
          <w:szCs w:val="14"/>
          <w:color w:val="auto"/>
        </w:rPr>
      </w:pPr>
    </w:p>
    <w:p>
      <w:pPr>
        <w:jc w:val="both"/>
        <w:ind w:left="500" w:hanging="244"/>
        <w:spacing w:after="0" w:line="256" w:lineRule="auto"/>
        <w:tabs>
          <w:tab w:leader="none" w:pos="496"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Choice of Forum. </w:t>
      </w:r>
      <w:r>
        <w:rPr>
          <w:rFonts w:ascii="Arial" w:cs="Arial" w:eastAsia="Arial" w:hAnsi="Arial"/>
          <w:sz w:val="14"/>
          <w:szCs w:val="14"/>
          <w:color w:val="auto"/>
        </w:rPr>
        <w:t>In addition, our restated bylaws will provide that, to the fullest extent permitted by law, the Court of Chancery of the State of Delaware will be the exclusive</w:t>
      </w:r>
      <w:r>
        <w:rPr>
          <w:rFonts w:ascii="Arial" w:cs="Arial" w:eastAsia="Arial" w:hAnsi="Arial"/>
          <w:sz w:val="14"/>
          <w:szCs w:val="14"/>
          <w:i w:val="1"/>
          <w:iCs w:val="1"/>
          <w:color w:val="auto"/>
        </w:rPr>
        <w:t xml:space="preserve"> </w:t>
      </w:r>
      <w:r>
        <w:rPr>
          <w:rFonts w:ascii="Arial" w:cs="Arial" w:eastAsia="Arial" w:hAnsi="Arial"/>
          <w:sz w:val="14"/>
          <w:szCs w:val="14"/>
          <w:color w:val="auto"/>
        </w:rPr>
        <w:t>forum for any derivative action or proceeding brought on our behalf; any action asserting a breach of fiduciary duty; any action asserting a claim against us arising pursuant to the DGCL, our restated certificate of incorporation or our restated bylaws; any action asserting a claim against us that is governed by the internal affairs doctrine; or any to interpret, apply, enforce, or determine the validity of the restated certificate of incorporation or restated bylaws. The enforceability of similar choice of forum provisions in other companies’ organizational documents has been challenged in legal proceedings, and it is possible that a court could find these types of provisions to be inapplicable or unenforceable. Our restated bylaws will also contain a Federal Forum Provision. While there can be no assurance that federal or state courts will follow the holding of the Supreme Court of the State of Delaware which recently found that such provisions are facially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233</w:t>
      </w:r>
    </w:p>
    <w:p>
      <w:pPr>
        <w:sectPr>
          <w:pgSz w:w="11900" w:h="16838" w:orient="portrait"/>
          <w:cols w:equalWidth="0" w:num="1">
            <w:col w:w="11280"/>
          </w:cols>
          <w:pgMar w:left="300" w:top="209" w:right="319" w:bottom="1440" w:gutter="0" w:footer="0" w:header="0"/>
        </w:sectPr>
      </w:pPr>
    </w:p>
    <w:bookmarkStart w:id="249" w:name="page250"/>
    <w:bookmarkEnd w:id="2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00"/>
        <w:spacing w:after="0" w:line="253" w:lineRule="auto"/>
        <w:rPr>
          <w:sz w:val="20"/>
          <w:szCs w:val="20"/>
          <w:color w:val="auto"/>
        </w:rPr>
      </w:pPr>
      <w:r>
        <w:rPr>
          <w:rFonts w:ascii="Arial" w:cs="Arial" w:eastAsia="Arial" w:hAnsi="Arial"/>
          <w:sz w:val="14"/>
          <w:szCs w:val="14"/>
          <w:color w:val="auto"/>
        </w:rPr>
        <w:t>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Further,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If a court were to find the Federal Forum Provision in our restated bylaws to be inapplicable or unenforceable in an action, we may incur further significant additional costs associated with resolving the dispute in other jurisdictions, all of which could harm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Transfer Agent and Registrar</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Upon the completion of this offering, the transfer agent and registrar for our common stock and common stock will be Equiniti Trust Company, LLC. The transfer agent’s address is 28 Liberty Street, Floor 53, New York, New York 10005.</w:t>
      </w:r>
    </w:p>
    <w:p>
      <w:pPr>
        <w:spacing w:after="0" w:line="79"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Exchange Listing</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We have applied to list our common stock on Nasdaq under the symbol “WLTH.” This offering is contingent upon final approval of our listing of our common stock on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234</w:t>
      </w:r>
    </w:p>
    <w:p>
      <w:pPr>
        <w:sectPr>
          <w:pgSz w:w="11900" w:h="16838" w:orient="portrait"/>
          <w:cols w:equalWidth="0" w:num="1">
            <w:col w:w="11280"/>
          </w:cols>
          <w:pgMar w:left="300" w:top="209" w:right="319" w:bottom="1440" w:gutter="0" w:footer="0" w:header="0"/>
        </w:sectPr>
      </w:pPr>
    </w:p>
    <w:bookmarkStart w:id="250" w:name="page251"/>
    <w:bookmarkEnd w:id="2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 ELIGIBLE FOR FUTURE SALE</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Nevertheless, sales of substantial amounts of our common stock, including shares issued upon the exercise of outstanding stock options or warrants or the settlement of outstanding RSUs, in the public market following this offering, or the possibility of these sales or issuances occurring, could adversely affect market prices prevailing from time to time and could impair our ability to raise equity capital.</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the completion of this offering, based on the 124,798,460 shares of our capital stock outstanding as of July 31, 2025, we will have a total of 146,266,498 shares of our common stock outstanding (after giving effect to the Capital Stock Conversion, the Option Exercise, the RSU Net Settlement, and the SAFE Settlement).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a result of the lock-up and market stand-off agreements described herein and the provisions of our IRA described in the section titled “Description of Capital Stock—Registration Rights,” and subject to the provisions of Rule 144 or Rule 701, shares of our common stock will be available for sale in the public market as follows:</w:t>
      </w:r>
    </w:p>
    <w:p>
      <w:pPr>
        <w:sectPr>
          <w:pgSz w:w="11900" w:h="16838" w:orient="portrait"/>
          <w:cols w:equalWidth="0" w:num="1">
            <w:col w:w="11280"/>
          </w:cols>
          <w:pgMar w:left="300" w:top="209" w:right="319" w:bottom="1440" w:gutter="0" w:footer="0" w:header="0"/>
        </w:sectPr>
      </w:pPr>
    </w:p>
    <w:p>
      <w:pPr>
        <w:spacing w:after="0" w:line="110"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Earliest Date Available for Sale in the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355155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51555" cy="6985"/>
                    </a:xfrm>
                    <a:prstGeom prst="rect">
                      <a:avLst/>
                    </a:prstGeom>
                    <a:noFill/>
                  </pic:spPr>
                </pic:pic>
              </a:graphicData>
            </a:graphic>
          </wp:anchor>
        </w:drawing>
      </w:r>
    </w:p>
    <w:p>
      <w:pPr>
        <w:spacing w:after="0" w:line="12" w:lineRule="exact"/>
        <w:rPr>
          <w:sz w:val="20"/>
          <w:szCs w:val="20"/>
          <w:color w:val="auto"/>
        </w:rPr>
      </w:pPr>
    </w:p>
    <w:p>
      <w:pPr>
        <w:ind w:left="20"/>
        <w:spacing w:after="0" w:line="219" w:lineRule="auto"/>
        <w:rPr>
          <w:sz w:val="20"/>
          <w:szCs w:val="20"/>
          <w:color w:val="auto"/>
        </w:rPr>
      </w:pPr>
      <w:r>
        <w:rPr>
          <w:rFonts w:ascii="Arial" w:cs="Arial" w:eastAsia="Arial" w:hAnsi="Arial"/>
          <w:sz w:val="14"/>
          <w:szCs w:val="14"/>
          <w:color w:val="auto"/>
        </w:rPr>
        <w:t>The opening of trading on the first trading day after any 10-consecutive trading day period during which the closing price of our common stock on Nasdaq has exceeded 125% of</w:t>
      </w:r>
    </w:p>
    <w:p>
      <w:pPr>
        <w:jc w:val="both"/>
        <w:ind w:left="20" w:right="80"/>
        <w:spacing w:after="0" w:line="208" w:lineRule="auto"/>
        <w:rPr>
          <w:sz w:val="20"/>
          <w:szCs w:val="20"/>
          <w:color w:val="auto"/>
        </w:rPr>
      </w:pPr>
      <w:r>
        <w:rPr>
          <w:rFonts w:ascii="Arial" w:cs="Arial" w:eastAsia="Arial" w:hAnsi="Arial"/>
          <w:sz w:val="14"/>
          <w:szCs w:val="14"/>
          <w:color w:val="auto"/>
        </w:rPr>
        <w:t>the initial public offering price per share set forth on the cover page of this prospectus for at least five (5) trading days (one of which must be a trading day occurring after the date of our public announcement of earnings for the fiscal year ending January 31, 2026 (the</w:t>
      </w:r>
    </w:p>
    <w:p>
      <w:pPr>
        <w:spacing w:after="0" w:line="2" w:lineRule="exact"/>
        <w:rPr>
          <w:sz w:val="20"/>
          <w:szCs w:val="20"/>
          <w:color w:val="auto"/>
        </w:rPr>
      </w:pPr>
    </w:p>
    <w:p>
      <w:pPr>
        <w:ind w:left="20" w:right="140"/>
        <w:spacing w:after="0" w:line="229" w:lineRule="auto"/>
        <w:rPr>
          <w:sz w:val="20"/>
          <w:szCs w:val="20"/>
          <w:color w:val="auto"/>
        </w:rPr>
      </w:pPr>
      <w:r>
        <w:rPr>
          <w:rFonts w:ascii="Arial" w:cs="Arial" w:eastAsia="Arial" w:hAnsi="Arial"/>
          <w:sz w:val="14"/>
          <w:szCs w:val="14"/>
          <w:color w:val="auto"/>
        </w:rPr>
        <w:t>“Initial Earnings Release”)) out of such 10-consecutive trading day period; provided that such applicable date occurs in a broadly applicable “open trading window” period.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right="120"/>
        <w:spacing w:after="0" w:line="239" w:lineRule="auto"/>
        <w:rPr>
          <w:sz w:val="20"/>
          <w:szCs w:val="20"/>
          <w:color w:val="auto"/>
        </w:rPr>
      </w:pPr>
      <w:r>
        <w:rPr>
          <w:rFonts w:ascii="Arial" w:cs="Arial" w:eastAsia="Arial" w:hAnsi="Arial"/>
          <w:sz w:val="13"/>
          <w:szCs w:val="13"/>
          <w:color w:val="auto"/>
        </w:rPr>
        <w:t>The earlier of (i) the date on which an open trading window period commences following our release of earnings for the fiscal quarter ending April 30, 2026, or (ii) the date that is</w:t>
      </w:r>
    </w:p>
    <w:p>
      <w:pPr>
        <w:ind w:left="20"/>
        <w:spacing w:after="0"/>
        <w:rPr>
          <w:sz w:val="20"/>
          <w:szCs w:val="20"/>
          <w:color w:val="auto"/>
        </w:rPr>
      </w:pPr>
      <w:r>
        <w:rPr>
          <w:rFonts w:ascii="Arial" w:cs="Arial" w:eastAsia="Arial" w:hAnsi="Arial"/>
          <w:sz w:val="14"/>
          <w:szCs w:val="14"/>
          <w:color w:val="auto"/>
        </w:rPr>
        <w:t>180 days after the date of this prospectus.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1580" w:firstLine="1565"/>
        <w:spacing w:after="0" w:line="337" w:lineRule="auto"/>
        <w:rPr>
          <w:sz w:val="20"/>
          <w:szCs w:val="20"/>
          <w:color w:val="auto"/>
        </w:rPr>
      </w:pPr>
      <w:r>
        <w:rPr>
          <w:rFonts w:ascii="Arial" w:cs="Arial" w:eastAsia="Arial" w:hAnsi="Arial"/>
          <w:sz w:val="13"/>
          <w:szCs w:val="13"/>
          <w:b w:val="1"/>
          <w:bCs w:val="1"/>
          <w:color w:val="auto"/>
        </w:rPr>
        <w:t xml:space="preserve">Number of Shares of Common Stock </w:t>
      </w:r>
      <w:r>
        <w:rPr>
          <w:rFonts w:ascii="Arial" w:cs="Arial" w:eastAsia="Arial" w:hAnsi="Arial"/>
          <w:sz w:val="13"/>
          <w:szCs w:val="13"/>
          <w:color w:val="auto"/>
        </w:rPr>
        <w:t>An aggregate of up to 11,974,788 million shares,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-149860</wp:posOffset>
            </wp:positionV>
            <wp:extent cx="355790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57905" cy="6985"/>
                    </a:xfrm>
                    <a:prstGeom prst="rect">
                      <a:avLst/>
                    </a:prstGeom>
                    <a:noFill/>
                  </pic:spPr>
                </pic:pic>
              </a:graphicData>
            </a:graphic>
          </wp:anchor>
        </w:drawing>
      </w:r>
    </w:p>
    <w:p>
      <w:pPr>
        <w:ind w:left="500" w:hanging="253"/>
        <w:spacing w:after="0"/>
        <w:tabs>
          <w:tab w:leader="none" w:pos="5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up to 5,774,109 million shares held by Service Providers (as defined below).</w:t>
      </w:r>
    </w:p>
    <w:p>
      <w:pPr>
        <w:spacing w:after="0" w:line="133" w:lineRule="exact"/>
        <w:rPr>
          <w:rFonts w:ascii="Arial" w:cs="Arial" w:eastAsia="Arial" w:hAnsi="Arial"/>
          <w:sz w:val="14"/>
          <w:szCs w:val="14"/>
          <w:color w:val="auto"/>
        </w:rPr>
      </w:pPr>
    </w:p>
    <w:p>
      <w:pPr>
        <w:ind w:left="500" w:right="20" w:hanging="253"/>
        <w:spacing w:after="0" w:line="286" w:lineRule="auto"/>
        <w:tabs>
          <w:tab w:leader="none" w:pos="49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up to 2,266,734 million shares held by Selling Preferred Holders (as defined below).</w:t>
      </w:r>
    </w:p>
    <w:p>
      <w:pPr>
        <w:spacing w:after="0" w:line="78" w:lineRule="exact"/>
        <w:rPr>
          <w:rFonts w:ascii="Arial" w:cs="Arial" w:eastAsia="Arial" w:hAnsi="Arial"/>
          <w:sz w:val="14"/>
          <w:szCs w:val="14"/>
          <w:color w:val="auto"/>
        </w:rPr>
      </w:pPr>
    </w:p>
    <w:p>
      <w:pPr>
        <w:jc w:val="both"/>
        <w:ind w:left="500" w:right="20" w:hanging="253"/>
        <w:spacing w:after="0" w:line="268" w:lineRule="auto"/>
        <w:tabs>
          <w:tab w:leader="none" w:pos="49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up to 3,939,152 million shares held by our securityholders who are not a Service Provider, a Selling Preferred Stockholder, or an Excluded Holder (as defined below).</w:t>
      </w:r>
    </w:p>
    <w:p>
      <w:pPr>
        <w:spacing w:after="0" w:line="239"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All remaining shares held by our stockholders not previously eligible for sale, subject to applicable limitations under Rule 144, including for “affiliates” and compliance with other</w:t>
      </w:r>
    </w:p>
    <w:p>
      <w:pPr>
        <w:spacing w:after="0"/>
        <w:rPr>
          <w:sz w:val="20"/>
          <w:szCs w:val="20"/>
          <w:color w:val="auto"/>
        </w:rPr>
      </w:pPr>
      <w:r>
        <w:rPr>
          <w:rFonts w:ascii="Arial" w:cs="Arial" w:eastAsia="Arial" w:hAnsi="Arial"/>
          <w:sz w:val="14"/>
          <w:szCs w:val="14"/>
          <w:color w:val="auto"/>
        </w:rPr>
        <w:t>applicable law, as described below.</w:t>
      </w:r>
    </w:p>
    <w:p>
      <w:pPr>
        <w:spacing w:after="0" w:line="193" w:lineRule="exact"/>
        <w:rPr>
          <w:sz w:val="20"/>
          <w:szCs w:val="20"/>
          <w:color w:val="auto"/>
        </w:rPr>
      </w:pPr>
    </w:p>
    <w:p>
      <w:pPr>
        <w:sectPr>
          <w:pgSz w:w="11900" w:h="16838" w:orient="portrait"/>
          <w:cols w:equalWidth="0" w:num="2">
            <w:col w:w="5580" w:space="120"/>
            <w:col w:w="5580"/>
          </w:cols>
          <w:pgMar w:left="300" w:top="209" w:right="319" w:bottom="1440" w:gutter="0" w:footer="0" w:header="0"/>
          <w:type w:val="continuous"/>
        </w:sectPr>
      </w:pPr>
    </w:p>
    <w:p>
      <w:pPr>
        <w:jc w:val="both"/>
        <w:spacing w:after="0" w:line="268" w:lineRule="auto"/>
        <w:rPr>
          <w:sz w:val="20"/>
          <w:szCs w:val="20"/>
          <w:color w:val="auto"/>
        </w:rPr>
      </w:pPr>
      <w:r>
        <w:rPr>
          <w:rFonts w:ascii="Arial" w:cs="Arial" w:eastAsia="Arial" w:hAnsi="Arial"/>
          <w:sz w:val="14"/>
          <w:szCs w:val="14"/>
          <w:color w:val="auto"/>
        </w:rPr>
        <w:t>The Cornerstone Investors have, severally and not jointly, indicated an interest in purchasing up to an aggregate of $150.0 million in shares of our common stock offered in this offering at the initial public offering price and on the same terms and conditions as the other purchasers in this offering. The shares of common stock to be purchased by the Cornerstone Investors will not be subject to a lock-up agreement with the underwriters. Because this indication of interest is not a binding agreement or commitment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235</w:t>
      </w:r>
    </w:p>
    <w:p>
      <w:pPr>
        <w:sectPr>
          <w:pgSz w:w="11900" w:h="16838" w:orient="portrait"/>
          <w:cols w:equalWidth="0" w:num="1">
            <w:col w:w="11280"/>
          </w:cols>
          <w:pgMar w:left="300" w:top="209" w:right="319" w:bottom="1440" w:gutter="0" w:footer="0" w:header="0"/>
          <w:type w:val="continuous"/>
        </w:sectPr>
      </w:pPr>
    </w:p>
    <w:bookmarkStart w:id="251" w:name="page252"/>
    <w:bookmarkEnd w:id="2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purchase, the Cornerstone Investors may determine to purchase more, fewer, or no shares in this offering, or the underwriters may determine to sell more, fewer, or no shares to the Cornerstone Investors. The underwriters will receive the same underwriting discount on any shares purchased by the Cornerstone Investors as they will from the other shares sold to the public in this offering.</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after this offering, up to 57,498,254 shares of common stock may be issued upon exercise of outstanding stock options or vesting and settlement of outstanding RSUs as of the date of this prospectus (including approximately 5,022,162 shares that may be sold to cover tax withholding and remittance obligations in connection with the vesting and/or settlement of RSUs and stock options during the Lock-up Period (as defined below)), and 22,000,000 shares of common stock are available for future issuance under our 2025 Plan and our 2025 ESPP.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Lock-Up and Market Stand-Off Agreements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All of our directors, executive officers, the selling stockholders, and the holders of substantially all of our outstanding common stock and securities exercisable for or convertible into our common stock, have entered or will enter into lock-up agreements with the underwriters and/or agreements with market stand-off provisions that restrict our and their ability to sell or transfer shares of our capital stock, and securities convertible into or exercisable or exchangeable for shares of our capital stock, during the period ending the earlier of (i) the opening of trading on the second trading day following the date of our release of earnings for the fiscal quarter ending April 30, 2026, or (ii) the date that is 180 days after the date of this prospectus (the “Lock-up Period”). Subject to certain exceptions, we and they will not, and will not cause or direct any of our or their respective affiliates, and will not publicly disclose an intention to, without the prior written consent of Goldman Sachs &amp; Co. LLC and J.P. Morgan Securities LLC:</w:t>
      </w:r>
    </w:p>
    <w:p>
      <w:pPr>
        <w:spacing w:after="0" w:line="101" w:lineRule="exact"/>
        <w:rPr>
          <w:sz w:val="20"/>
          <w:szCs w:val="20"/>
          <w:color w:val="auto"/>
        </w:rPr>
      </w:pPr>
    </w:p>
    <w:p>
      <w:pPr>
        <w:jc w:val="both"/>
        <w:ind w:left="500" w:hanging="244"/>
        <w:spacing w:after="0" w:line="268" w:lineRule="auto"/>
        <w:tabs>
          <w:tab w:leader="none" w:pos="49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lend, or otherwise transfer or dispose of any shares of our common stock, or any options or warrants to purchase any shares of our common stock, or any securities convertible into, exchangeable for, or that represent the right to receive, shares of our common stock, whether now owned or hereinafter acquired;</w:t>
      </w:r>
    </w:p>
    <w:p>
      <w:pPr>
        <w:spacing w:after="0" w:line="91" w:lineRule="exact"/>
        <w:rPr>
          <w:rFonts w:ascii="Arial" w:cs="Arial" w:eastAsia="Arial" w:hAnsi="Arial"/>
          <w:sz w:val="14"/>
          <w:szCs w:val="14"/>
          <w:color w:val="auto"/>
        </w:rPr>
      </w:pPr>
    </w:p>
    <w:p>
      <w:pPr>
        <w:jc w:val="both"/>
        <w:ind w:left="500" w:hanging="244"/>
        <w:spacing w:after="0" w:line="262" w:lineRule="auto"/>
        <w:tabs>
          <w:tab w:leader="none" w:pos="49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engage in any hedging or other transaction or arrangement that is designed to or that reasonably could be expected to lead to or result in a sale, loan, pledge, or other disposition, or transfer of any of the economic consequences of ownership, in whole or in part, directly or indirectly, of any shares of our common stock, or any securities convertible into, exchangeable for, or that represent the right to receive, shares of our common stock, whether any such transaction or arrangement (or instrument provided for thereunder) would be settled by delivery of common stock or other securities, in cash or otherwise; or</w:t>
      </w:r>
    </w:p>
    <w:p>
      <w:pPr>
        <w:spacing w:after="0" w:line="95"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make any demand for or exercise any right with respect to the registration of any shares of our common stock, or any securities convertible into, exchangeable for, or that represent the right to receive, shares of our common stock.</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Notwithstanding the foregoing, if (i) a securityholder is (A) not one of our directors or officers subject to reporting under Section 16 of the Exchange Act as of the Initial Earnings Release or (B)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(an “Eligible Release Party”), and (ii) the closing price of our common stock on Nasdaq has exceeded 125% of the initial public offering price per share set forth on the cover page of this prospectus for at least five (5) trading days (one of which must be a trading day occurring after the date of the Initial Earnings Release) out of any 10-consecutive trading day period, provided that such applicable date occurs in a broadly applicable “open trading window” period under our insider trading policy, such Eligible Release Party may sell in the public market, beginning at the opening of trading on the first trading day after the applicable 10-consecutive trading day period, up to a certain percentage of the sum of such Eligible Release Party’s outstanding and fully vested holdings (i) as of September 29, 2025,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236</w:t>
      </w:r>
    </w:p>
    <w:p>
      <w:pPr>
        <w:sectPr>
          <w:pgSz w:w="11900" w:h="16838" w:orient="portrait"/>
          <w:cols w:equalWidth="0" w:num="1">
            <w:col w:w="11280"/>
          </w:cols>
          <w:pgMar w:left="300" w:top="209" w:right="319" w:bottom="1440" w:gutter="0" w:footer="0" w:header="0"/>
        </w:sectPr>
      </w:pPr>
    </w:p>
    <w:bookmarkStart w:id="252" w:name="page253"/>
    <w:bookmarkEnd w:id="2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4"/>
        <w:spacing w:after="0" w:line="255" w:lineRule="auto"/>
        <w:tabs>
          <w:tab w:leader="none" w:pos="219"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as of the first calendar day of the month in which the Initial Earnings Release occurs, including such vested shares and other securities convertible into or exercisable or exchangeable for common stock that are held by any trust for the direct or indirect benefit of the Eligible Release Party or of an immediate family member of the Eligible Release Party. The applicable percentage is: 20% if the Eligible Release Party is our employee or service provider (a “Service Provider”); 10% if the Eligible Release Party is a holder of our redeemable convertible preferred stock prior to the completion of this offering and has submitted an irrevocable election to sell at least 25% of such holder’s outstanding securities as a selling stockholder in this offering (a “Selling Preferred Holder”); and 5% if the Eligible Release Party is not a Service Provider, a Selling Preferred Stockholder, or one of our directors or officers subject to reporting under Section 16 of the Exchange Act, or any limited liability company, partnership, corporation, trust or other entity associated with our directors or executive officers (an “Excluded Holder”); provided that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are Eligible Release Parties and not Excluded Holders.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For a further description of these lock-up agreements, please see the section titled “Underwriting (Conflicts of Interest).”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number of shares that may be sold following the Initial Earnings Release prior to the termination of the Lock-up Period is approximately 11,974,788 million shares, including approximately 5,022,162 million shares issuable upon exercise of vested options and settlement of RSUs.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remaining holders of our outstanding common stock and securities directly or indirectly convertible into or exchangeable or exercisable for our common stock, have not entered into lock-up agreements with the underwriters and, therefore, are not subject to the restrictions described above. These holders are subject to market stand-off agreements with us that restrict their ability to transfer shares of our outstanding common stock and securities directly or indirectly convertible into or exchangeable or exercisable for our common stock, and we will not waive any of the restrictions of such market stand-off agreements with respect to our employees prior to the termination of the Lock-up Period.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144</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general, under Rule 144 as currently in effect, once we have been subject to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79" w:lineRule="exact"/>
        <w:rPr>
          <w:sz w:val="20"/>
          <w:szCs w:val="20"/>
          <w:color w:val="auto"/>
        </w:rPr>
      </w:pPr>
    </w:p>
    <w:p>
      <w:pPr>
        <w:ind w:left="500" w:hanging="244"/>
        <w:spacing w:after="0"/>
        <w:tabs>
          <w:tab w:leader="none" w:pos="5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1% of the number of shares of our common stock then outstanding, which will equal approximately 1,462,665 shares immediately after this offering; or</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that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237</w:t>
      </w:r>
    </w:p>
    <w:p>
      <w:pPr>
        <w:sectPr>
          <w:pgSz w:w="11900" w:h="16838" w:orient="portrait"/>
          <w:cols w:equalWidth="0" w:num="1">
            <w:col w:w="11280"/>
          </w:cols>
          <w:pgMar w:left="300" w:top="209" w:right="319" w:bottom="1440" w:gutter="0" w:footer="0" w:header="0"/>
        </w:sectPr>
      </w:pPr>
    </w:p>
    <w:bookmarkStart w:id="253" w:name="page254"/>
    <w:bookmarkEnd w:id="2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701</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and market stand-off agreements described herein.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Registration Statements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soon as practicable after the completion of this offering, we intend to file one or more registration statements on Form S-8 under the Securities Act covering all of the shares of our common stock subject to outstanding options, RSUs, and the shares of our common stock reserved for issuance under our equity incentive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Registration Rights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238</w:t>
      </w:r>
    </w:p>
    <w:p>
      <w:pPr>
        <w:sectPr>
          <w:pgSz w:w="11900" w:h="16838" w:orient="portrait"/>
          <w:cols w:equalWidth="0" w:num="1">
            <w:col w:w="11280"/>
          </w:cols>
          <w:pgMar w:left="300" w:top="209" w:right="319" w:bottom="1440" w:gutter="0" w:footer="0" w:header="0"/>
        </w:sectPr>
      </w:pPr>
    </w:p>
    <w:bookmarkStart w:id="254" w:name="page255"/>
    <w:bookmarkEnd w:id="2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MATERIAL U.S. FEDERAL INCOME TAX CONSEQUENCES FOR NON-U.S. HOLDERS OF OUR COMMON STOCK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any alternative minimum tax or the Medicare contribution tax on net investment income, or the special tax accounting rules under Section 451(b) of the Code, and does not deal with any state or local taxes, U.S. federal gift or estate tax laws (except to the limited extent provided below), or any non-U.S. tax consequences that may be relevant to Non-U.S. Holders in light of their particular circumstances.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Special rules different from those described below may apply to certain Non-U.S. Holders that are subject to special treatment under the Code, such as:</w:t>
      </w:r>
    </w:p>
    <w:p>
      <w:pPr>
        <w:spacing w:after="0" w:line="133" w:lineRule="exact"/>
        <w:rPr>
          <w:sz w:val="20"/>
          <w:szCs w:val="20"/>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insurance companies, banks, and other financial institutions;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tax-exempt organizations (including private foundations) and tax-qualified retirement plans;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“qualified foreign pension funds” as defined in Section 897(l)(2) of the Code and entities all of the interests of which are held by qualified foreign pension funds;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non-U.S. governments and international organizations;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dealers and traders in securities;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U.S. expatriates and certain former citizens or long-term residents of the United States;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persons that own, or are deemed to own, more than 5% of our common stock;</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persons that hold our common stock as part of a “straddle,” “hedge,” “conversion transaction,” “synthetic security,” or integrated investment or other risk reduction strategy;</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persons who do not hold our common stock as a capital asset within the meaning of Section 1221 of the Code (generally, for investment purposes); and</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28"/>
        </w:numPr>
        <w:rPr>
          <w:rFonts w:ascii="Arial" w:cs="Arial" w:eastAsia="Arial" w:hAnsi="Arial"/>
          <w:sz w:val="14"/>
          <w:szCs w:val="14"/>
          <w:color w:val="auto"/>
        </w:rPr>
      </w:pPr>
      <w:r>
        <w:rPr>
          <w:rFonts w:ascii="Arial" w:cs="Arial" w:eastAsia="Arial" w:hAnsi="Arial"/>
          <w:sz w:val="14"/>
          <w:szCs w:val="14"/>
          <w:color w:val="auto"/>
        </w:rPr>
        <w:t>partnerships and other pass-through entities and arrangements, and investors in such pass-through entities and arrangements (regardless of their places of organization or formation).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Such Non-U.S. Holders are urged to consult their tax advisors to determine the U.S. federal, state, local, and other tax consequences that may be relevant to them of the acquisition, ownership, and disposition of our common stock.</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Furthermore, the discussion below is based upon the provisions of the Code, Treasury Regulations promulgated thereunder, judicial decisions thereunder, and rulings and administrative pronouncements of the Internal Revenue Service (the “IRS”) all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PERSONS CONSIDERING THE PURCHASE OF OUR COMMON STOCK PURSUANT TO THIS OFFERING SHOULD CONSULT THEIR TAX ADVISORS CONCERNING THE U.S. FEDERAL INCOME TAX CONSEQUENCES OF ACQUIRING, OWNING, AND DISPOSING OF OUR COMMON STOCK IN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239</w:t>
      </w:r>
    </w:p>
    <w:p>
      <w:pPr>
        <w:sectPr>
          <w:pgSz w:w="11900" w:h="16838" w:orient="portrait"/>
          <w:cols w:equalWidth="0" w:num="1">
            <w:col w:w="11280"/>
          </w:cols>
          <w:pgMar w:left="300" w:top="209" w:right="319" w:bottom="1440" w:gutter="0" w:footer="0" w:header="0"/>
        </w:sectPr>
      </w:pPr>
    </w:p>
    <w:bookmarkStart w:id="255" w:name="page256"/>
    <w:bookmarkEnd w:id="2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purposes of this discussion, a Non-U.S. Holder is a beneficial owner of our common stock that is not a U.S. Holder or a partnership or other pass-through entity or arrangement for U.S. federal income tax purposes. A U.S. Holder means a beneficial owner of our 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United States persons (within the meaning of Section 7701(a)(30) of the Code) have the authority to control all substantial decisions of the trust or (ii) has a valid election in effect under applicable Treasury Regulations to be treated as a United States person.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you are an individual non-U.S. citizen, you may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acquisition, ownership, and disposition of our common stock.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Distributions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do not anticipate paying any dividends on our capital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“—Gain on Disposition of Our Common Stock.”</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To obtain a reduced rate of withholding tax under an applicable income tax treaty, a Non-U.S. Holder generally will be required to provide the applicable withholding agent with a properly executed IRS Form W-8BEN, IRS Form W-8BEN-E, or other appropriate form, certifying the Non-U.S. Holder’s entitlement to benefits under that income tax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will then be required to provide certification to the applicable withholding agent, either directly or through other intermediaries. If you are eligible for a reduced rate of U.S. withholding tax under an income tax treaty, you should consult with your tax advisor to determine if you are able to obtain a refund or credit of any excess amounts withheld by timely filing an appropriate claim for a refund with the IRS.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generally are not required to withhold tax on dividends paid to a Non-U.S. Holder that are effectively connected with the holder’s conduct of a trade or business within the United States (and, if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240</w:t>
      </w:r>
    </w:p>
    <w:p>
      <w:pPr>
        <w:sectPr>
          <w:pgSz w:w="11900" w:h="16838" w:orient="portrait"/>
          <w:cols w:equalWidth="0" w:num="1">
            <w:col w:w="11280"/>
          </w:cols>
          <w:pgMar w:left="300" w:top="209" w:right="319" w:bottom="1440" w:gutter="0" w:footer="0" w:header="0"/>
        </w:sectPr>
      </w:pPr>
    </w:p>
    <w:bookmarkStart w:id="256" w:name="page257"/>
    <w:bookmarkEnd w:id="2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rates applicable to United States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See also the sections titled “—Backup Withholding and Information Reporting” and “—Foreign Accounts” for additional withholding rules that may apply to dividends, including dividends paid to certain foreign financial institutions or non-financial foreign entities, as well as the section titled “Dividend Policy” for additional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Gain on Disposition of Our Common Stock</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unless (1) the gain is effectively connected with a trade or business of the Non-U.S. Holder in the United States (and, if required by an applicable income tax treaty, is attributable to a permanent establishment that the Non-U.S.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Section 897(c)(2) of the Code at any time within the shorter of the five-year period preceding such disposition or the Non-U.S. Holder’s holding period in our common stock.</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If you are a Non-U.S. Holder, gain described in (1) above will be subject to tax on the net gain derived from the sale at the regular U.S. federal income tax rates applicable to United States persons. If you are a corporate Non-U.S. Holder, gain described in (1) above may also be subject to the additional branch profits tax at a 30% rate or such lower rate as may be specified by an applicable income tax treaty. If you are an individual Non-U.S. Holder described in (2) above, you will be required to pay a flat 30% income tax on the gain derived from the sale, which gain may be offset by certain U.S. source capital losses (even though you are not considered a resident of the United States), provided you have timely filed U.S. federal income tax returns with respect to such losses. With respect to (3) above, in general, we would be a United States real property holding corporation if United States real property interests (as defined in the Code and the Treasury Regulations) comprised (by fair market value) at least half of our worldwide real property and our other assets which are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common stock will not be subject to U.S. federal income tax so long as (1) the Non-U.S. Holder owned, directly, indirectly, and constructively, no more than five percent of our common stock at all times within the shorter of (i) the five-year period preceding the disposition or (ii) the Non-U.S. Holder’s holding period and (2) our common stock is regularly traded on an established securities market for purposes of the relevant rules. There can be no assurance that our common stock will qualify as regularly traded on an established securities market for this purpose.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Federal Estate Tax</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241</w:t>
      </w:r>
    </w:p>
    <w:p>
      <w:pPr>
        <w:sectPr>
          <w:pgSz w:w="11900" w:h="16838" w:orient="portrait"/>
          <w:cols w:equalWidth="0" w:num="1">
            <w:col w:w="11280"/>
          </w:cols>
          <w:pgMar w:left="300" w:top="209" w:right="319" w:bottom="1440" w:gutter="0" w:footer="0" w:header="0"/>
        </w:sectPr>
      </w:pPr>
    </w:p>
    <w:bookmarkStart w:id="257" w:name="page258"/>
    <w:bookmarkEnd w:id="2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purposes than for U.S. federal income tax purposes. Investors are urged to consult their tax advisors regarding the U.S. federal estate tax consequences of the acquisition, ownership, or disposition of our common stock.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Backup Withholding and Information Reporting</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Generally, we or an applicable withholding agent must report information to the IRS with respect to any distributions we pay on our common stock (whether or not the distribution constitutes a dividend),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United States person.</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that does not have certain enumerated relationships with the United States. Information reporting and backup withholding requirements may, however, apply to a payment of disposition proceeds if the broker has actual knowledge, or reason to know, that the holder is, in fact, a United States person. For information reporting purposes only, certain brokers with substantial U.S. ownership or operations will generally be treated in a manner similar to U.S. brokers.</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Backup withholding is not an additional tax. If backup withholding is applied to you, you should consult with your tax advisor to determine whether you are able to obtain a tax refund or credit of the overpaid amount.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Foreign Accounts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addition, U.S. federal withholding taxes may apply under the Foreign Account Tax Compliance Act (“FATCA”) on certain types of payments, including dividends on our common stock, made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tax on certain payments to non-compliant foreign financial institutions and certain other account holders. Foreign financial institutions located in jurisdictions that have an intergovernmental agreement with the United States governing FATCA may be subject to different rules. While under the applicable Treasury Regulations and administrative guidance, withholding taxes under FATCA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242</w:t>
      </w:r>
    </w:p>
    <w:p>
      <w:pPr>
        <w:sectPr>
          <w:pgSz w:w="11900" w:h="16838" w:orient="portrait"/>
          <w:cols w:equalWidth="0" w:num="1">
            <w:col w:w="11280"/>
          </w:cols>
          <w:pgMar w:left="300" w:top="209" w:right="319" w:bottom="1440" w:gutter="0" w:footer="0" w:header="0"/>
        </w:sectPr>
      </w:pPr>
    </w:p>
    <w:bookmarkStart w:id="258" w:name="page259"/>
    <w:bookmarkEnd w:id="2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also would have applied to payments of gross proceeds from the sale or other disposition of our common stock, proposed Treasury Regulations eliminate FATCA withholding on payments of gross proceeds entirely. The preamble to the proposed regulations specifies that taxpayers are permitted to rely on such proposed regulations pending finalization.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Prospective investors should consult their tax advisors regarding the potential application of withholding taxes under FATCA to their investment in our common stock.</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EACH PROSPECTIVE INVESTOR SHOULD CONSULT ITS TAX ADVISOR REGARDING THE TAX CONSEQUENCES OF ACQUIRING, OWNING, AND DISPOSING OF OUR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243</w:t>
      </w:r>
    </w:p>
    <w:p>
      <w:pPr>
        <w:sectPr>
          <w:pgSz w:w="11900" w:h="16838" w:orient="portrait"/>
          <w:cols w:equalWidth="0" w:num="1">
            <w:col w:w="11280"/>
          </w:cols>
          <w:pgMar w:left="300" w:top="209" w:right="319"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 (CONFLICTS OF INTEREST)</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the selling stockholders, and the underwriters named below will enter into an underwriting agreement with respect to the shares of common stock being offered. Subject to certain conditions, each underwriter will severally agree to purchase the number of shares indicated in the following table. Goldman Sachs &amp; Co. LLC and J.P. Morgan Securities LLC are the representatives of the underwriters.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7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Underwriters</w:t>
            </w:r>
          </w:p>
        </w:tc>
        <w:tc>
          <w:tcPr>
            <w:tcW w:w="1560" w:type="dxa"/>
            <w:vAlign w:val="bottom"/>
          </w:tcPr>
          <w:p>
            <w:pPr>
              <w:jc w:val="right"/>
              <w:ind w:right="237"/>
              <w:spacing w:after="0"/>
              <w:rPr>
                <w:sz w:val="20"/>
                <w:szCs w:val="20"/>
                <w:color w:val="auto"/>
              </w:rPr>
            </w:pPr>
            <w:r>
              <w:rPr>
                <w:rFonts w:ascii="Arial" w:cs="Arial" w:eastAsia="Arial" w:hAnsi="Arial"/>
                <w:sz w:val="11"/>
                <w:szCs w:val="11"/>
                <w:b w:val="1"/>
                <w:bCs w:val="1"/>
                <w:color w:val="auto"/>
              </w:rPr>
              <w:t>Number of Shares</w:t>
            </w:r>
          </w:p>
        </w:tc>
      </w:tr>
      <w:tr>
        <w:trPr>
          <w:trHeight w:val="169"/>
        </w:trPr>
        <w:tc>
          <w:tcPr>
            <w:tcW w:w="9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Goldman Sachs &amp; Co. LLC</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r>
      <w:tr>
        <w:trPr>
          <w:trHeight w:val="179"/>
        </w:trPr>
        <w:tc>
          <w:tcPr>
            <w:tcW w:w="9720" w:type="dxa"/>
            <w:vAlign w:val="bottom"/>
            <w:gridSpan w:val="2"/>
          </w:tcPr>
          <w:p>
            <w:pPr>
              <w:ind w:left="20"/>
              <w:spacing w:after="0"/>
              <w:rPr>
                <w:sz w:val="20"/>
                <w:szCs w:val="20"/>
                <w:color w:val="auto"/>
              </w:rPr>
            </w:pPr>
            <w:r>
              <w:rPr>
                <w:rFonts w:ascii="Arial" w:cs="Arial" w:eastAsia="Arial" w:hAnsi="Arial"/>
                <w:sz w:val="14"/>
                <w:szCs w:val="14"/>
                <w:color w:val="auto"/>
              </w:rPr>
              <w:t>J.P. Morgan Securities LLC</w:t>
            </w:r>
          </w:p>
        </w:tc>
        <w:tc>
          <w:tcPr>
            <w:tcW w:w="1560" w:type="dxa"/>
            <w:vAlign w:val="bottom"/>
          </w:tcPr>
          <w:p>
            <w:pPr>
              <w:spacing w:after="0"/>
              <w:rPr>
                <w:sz w:val="15"/>
                <w:szCs w:val="15"/>
                <w:color w:val="auto"/>
              </w:rPr>
            </w:pPr>
          </w:p>
        </w:tc>
      </w:tr>
      <w:tr>
        <w:trPr>
          <w:trHeight w:val="17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Citigroup Global Markets Inc.</w:t>
            </w:r>
          </w:p>
        </w:tc>
        <w:tc>
          <w:tcPr>
            <w:tcW w:w="1560" w:type="dxa"/>
            <w:vAlign w:val="bottom"/>
            <w:shd w:val="clear" w:color="auto" w:fill="CCEEFF"/>
          </w:tcPr>
          <w:p>
            <w:pPr>
              <w:spacing w:after="0"/>
              <w:rPr>
                <w:sz w:val="15"/>
                <w:szCs w:val="15"/>
                <w:color w:val="auto"/>
              </w:rPr>
            </w:pPr>
          </w:p>
        </w:tc>
      </w:tr>
      <w:tr>
        <w:trPr>
          <w:trHeight w:val="179"/>
        </w:trPr>
        <w:tc>
          <w:tcPr>
            <w:tcW w:w="9720" w:type="dxa"/>
            <w:vAlign w:val="bottom"/>
            <w:gridSpan w:val="2"/>
          </w:tcPr>
          <w:p>
            <w:pPr>
              <w:ind w:left="20"/>
              <w:spacing w:after="0"/>
              <w:rPr>
                <w:sz w:val="20"/>
                <w:szCs w:val="20"/>
                <w:color w:val="auto"/>
              </w:rPr>
            </w:pPr>
            <w:r>
              <w:rPr>
                <w:rFonts w:ascii="Arial" w:cs="Arial" w:eastAsia="Arial" w:hAnsi="Arial"/>
                <w:sz w:val="14"/>
                <w:szCs w:val="14"/>
                <w:color w:val="auto"/>
              </w:rPr>
              <w:t>Wells Fargo Securities, LLC</w:t>
            </w:r>
          </w:p>
        </w:tc>
        <w:tc>
          <w:tcPr>
            <w:tcW w:w="1560" w:type="dxa"/>
            <w:vAlign w:val="bottom"/>
          </w:tcPr>
          <w:p>
            <w:pPr>
              <w:spacing w:after="0"/>
              <w:rPr>
                <w:sz w:val="15"/>
                <w:szCs w:val="15"/>
                <w:color w:val="auto"/>
              </w:rPr>
            </w:pPr>
          </w:p>
        </w:tc>
      </w:tr>
      <w:tr>
        <w:trPr>
          <w:trHeight w:val="17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RBC Capital Markets, LLC</w:t>
            </w:r>
          </w:p>
        </w:tc>
        <w:tc>
          <w:tcPr>
            <w:tcW w:w="1560" w:type="dxa"/>
            <w:vAlign w:val="bottom"/>
            <w:shd w:val="clear" w:color="auto" w:fill="CCEEFF"/>
          </w:tcPr>
          <w:p>
            <w:pPr>
              <w:spacing w:after="0"/>
              <w:rPr>
                <w:sz w:val="15"/>
                <w:szCs w:val="15"/>
                <w:color w:val="auto"/>
              </w:rPr>
            </w:pPr>
          </w:p>
        </w:tc>
      </w:tr>
      <w:tr>
        <w:trPr>
          <w:trHeight w:val="179"/>
        </w:trPr>
        <w:tc>
          <w:tcPr>
            <w:tcW w:w="9720" w:type="dxa"/>
            <w:vAlign w:val="bottom"/>
            <w:gridSpan w:val="2"/>
          </w:tcPr>
          <w:p>
            <w:pPr>
              <w:ind w:left="20"/>
              <w:spacing w:after="0"/>
              <w:rPr>
                <w:sz w:val="20"/>
                <w:szCs w:val="20"/>
                <w:color w:val="auto"/>
              </w:rPr>
            </w:pPr>
            <w:r>
              <w:rPr>
                <w:rFonts w:ascii="Arial" w:cs="Arial" w:eastAsia="Arial" w:hAnsi="Arial"/>
                <w:sz w:val="14"/>
                <w:szCs w:val="14"/>
                <w:color w:val="auto"/>
              </w:rPr>
              <w:t>Citizens JMP Securities, LLC</w:t>
            </w:r>
          </w:p>
        </w:tc>
        <w:tc>
          <w:tcPr>
            <w:tcW w:w="1560" w:type="dxa"/>
            <w:vAlign w:val="bottom"/>
          </w:tcPr>
          <w:p>
            <w:pPr>
              <w:spacing w:after="0"/>
              <w:rPr>
                <w:sz w:val="15"/>
                <w:szCs w:val="15"/>
                <w:color w:val="auto"/>
              </w:rPr>
            </w:pPr>
          </w:p>
        </w:tc>
      </w:tr>
      <w:tr>
        <w:trPr>
          <w:trHeight w:val="17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Keefe, Bruyette &amp; Woods, Inc.</w:t>
            </w:r>
          </w:p>
        </w:tc>
        <w:tc>
          <w:tcPr>
            <w:tcW w:w="1560" w:type="dxa"/>
            <w:vAlign w:val="bottom"/>
            <w:shd w:val="clear" w:color="auto" w:fill="CCEEFF"/>
          </w:tcPr>
          <w:p>
            <w:pPr>
              <w:spacing w:after="0"/>
              <w:rPr>
                <w:sz w:val="15"/>
                <w:szCs w:val="15"/>
                <w:color w:val="auto"/>
              </w:rPr>
            </w:pPr>
          </w:p>
        </w:tc>
      </w:tr>
      <w:tr>
        <w:trPr>
          <w:trHeight w:val="179"/>
        </w:trPr>
        <w:tc>
          <w:tcPr>
            <w:tcW w:w="9720" w:type="dxa"/>
            <w:vAlign w:val="bottom"/>
            <w:gridSpan w:val="2"/>
          </w:tcPr>
          <w:p>
            <w:pPr>
              <w:ind w:left="20"/>
              <w:spacing w:after="0"/>
              <w:rPr>
                <w:sz w:val="20"/>
                <w:szCs w:val="20"/>
                <w:color w:val="auto"/>
              </w:rPr>
            </w:pPr>
            <w:r>
              <w:rPr>
                <w:rFonts w:ascii="Arial" w:cs="Arial" w:eastAsia="Arial" w:hAnsi="Arial"/>
                <w:sz w:val="14"/>
                <w:szCs w:val="14"/>
                <w:color w:val="auto"/>
              </w:rPr>
              <w:t>KeyBanc Capital Markets Inc.</w:t>
            </w:r>
          </w:p>
        </w:tc>
        <w:tc>
          <w:tcPr>
            <w:tcW w:w="1560" w:type="dxa"/>
            <w:vAlign w:val="bottom"/>
          </w:tcPr>
          <w:p>
            <w:pPr>
              <w:spacing w:after="0"/>
              <w:rPr>
                <w:sz w:val="15"/>
                <w:szCs w:val="15"/>
                <w:color w:val="auto"/>
              </w:rPr>
            </w:pPr>
          </w:p>
        </w:tc>
      </w:tr>
      <w:tr>
        <w:trPr>
          <w:trHeight w:val="179"/>
        </w:trPr>
        <w:tc>
          <w:tcPr>
            <w:tcW w:w="9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34,615,384</w:t>
            </w: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underwriters will be committed to take and pay for all of the shares being offered, if any are taken, other than the shares covered by the option described below unless and until this option is exercised.</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underwriters will have an option to buy up to an additional 5,192,308 shares of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tables show the per share and total underwriting discounts and commissions to be paid to the underwriters by us and the selling stockholders. Such amounts are shown assuming both no exercise and full exercise of the underwriters’ option to purchase up to 5,192,308 additional shares of common stock from us.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Paid by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660" w:type="dxa"/>
            <w:vAlign w:val="bottom"/>
            <w:gridSpan w:val="2"/>
          </w:tcPr>
          <w:p>
            <w:pPr>
              <w:ind w:left="460"/>
              <w:spacing w:after="0"/>
              <w:rPr>
                <w:sz w:val="20"/>
                <w:szCs w:val="20"/>
                <w:color w:val="auto"/>
              </w:rPr>
            </w:pPr>
            <w:r>
              <w:rPr>
                <w:rFonts w:ascii="Arial" w:cs="Arial" w:eastAsia="Arial" w:hAnsi="Arial"/>
                <w:sz w:val="11"/>
                <w:szCs w:val="11"/>
                <w:b w:val="1"/>
                <w:bCs w:val="1"/>
                <w:color w:val="auto"/>
              </w:rPr>
              <w:t>No Exercise</w:t>
            </w:r>
          </w:p>
        </w:tc>
        <w:tc>
          <w:tcPr>
            <w:tcW w:w="1560" w:type="dxa"/>
            <w:vAlign w:val="bottom"/>
          </w:tcPr>
          <w:p>
            <w:pPr>
              <w:jc w:val="right"/>
              <w:ind w:right="375"/>
              <w:spacing w:after="0"/>
              <w:rPr>
                <w:sz w:val="20"/>
                <w:szCs w:val="20"/>
                <w:color w:val="auto"/>
              </w:rPr>
            </w:pPr>
            <w:r>
              <w:rPr>
                <w:rFonts w:ascii="Arial" w:cs="Arial" w:eastAsia="Arial" w:hAnsi="Arial"/>
                <w:sz w:val="11"/>
                <w:szCs w:val="11"/>
                <w:b w:val="1"/>
                <w:bCs w:val="1"/>
                <w:color w:val="auto"/>
              </w:rPr>
              <w:t>Full Exercise</w:t>
            </w:r>
          </w:p>
        </w:tc>
      </w:tr>
      <w:tr>
        <w:trPr>
          <w:trHeight w:val="169"/>
        </w:trPr>
        <w:tc>
          <w:tcPr>
            <w:tcW w:w="8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Per Share</w:t>
            </w:r>
          </w:p>
        </w:tc>
        <w:tc>
          <w:tcPr>
            <w:tcW w:w="1580" w:type="dxa"/>
            <w:vAlign w:val="bottom"/>
            <w:tcBorders>
              <w:top w:val="single" w:sz="8" w:color="auto"/>
            </w:tcBorders>
            <w:shd w:val="clear" w:color="auto" w:fill="CCEEFF"/>
          </w:tcPr>
          <w:p>
            <w:pPr>
              <w:jc w:val="right"/>
              <w:ind w:right="1415"/>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ind w:right="1415"/>
              <w:spacing w:after="0"/>
              <w:rPr>
                <w:sz w:val="20"/>
                <w:szCs w:val="20"/>
                <w:color w:val="auto"/>
              </w:rPr>
            </w:pPr>
            <w:r>
              <w:rPr>
                <w:rFonts w:ascii="Arial" w:cs="Arial" w:eastAsia="Arial" w:hAnsi="Arial"/>
                <w:sz w:val="14"/>
                <w:szCs w:val="14"/>
                <w:color w:val="auto"/>
                <w:w w:val="76"/>
              </w:rPr>
              <w:t>$</w:t>
            </w:r>
          </w:p>
        </w:tc>
      </w:tr>
      <w:tr>
        <w:trPr>
          <w:trHeight w:val="185"/>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580" w:type="dxa"/>
            <w:vAlign w:val="bottom"/>
          </w:tcPr>
          <w:p>
            <w:pPr>
              <w:jc w:val="right"/>
              <w:ind w:right="1415"/>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415"/>
              <w:spacing w:after="0"/>
              <w:rPr>
                <w:sz w:val="20"/>
                <w:szCs w:val="20"/>
                <w:color w:val="auto"/>
              </w:rPr>
            </w:pPr>
            <w:r>
              <w:rPr>
                <w:rFonts w:ascii="Arial" w:cs="Arial" w:eastAsia="Arial" w:hAnsi="Arial"/>
                <w:sz w:val="14"/>
                <w:szCs w:val="14"/>
                <w:color w:val="auto"/>
                <w:w w:val="76"/>
              </w:rPr>
              <w:t>$</w:t>
            </w:r>
          </w:p>
        </w:tc>
      </w:tr>
      <w:tr>
        <w:trPr>
          <w:trHeight w:val="320"/>
        </w:trPr>
        <w:tc>
          <w:tcPr>
            <w:tcW w:w="8060" w:type="dxa"/>
            <w:vAlign w:val="bottom"/>
            <w:gridSpan w:val="2"/>
          </w:tcPr>
          <w:p>
            <w:pPr>
              <w:spacing w:after="0"/>
              <w:rPr>
                <w:sz w:val="20"/>
                <w:szCs w:val="20"/>
                <w:color w:val="auto"/>
              </w:rPr>
            </w:pPr>
            <w:r>
              <w:rPr>
                <w:rFonts w:ascii="Arial" w:cs="Arial" w:eastAsia="Arial" w:hAnsi="Arial"/>
                <w:sz w:val="14"/>
                <w:szCs w:val="14"/>
                <w:color w:val="auto"/>
              </w:rPr>
              <w:t>Paid by the Selling Stockholders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6"/>
        </w:trPr>
        <w:tc>
          <w:tcPr>
            <w:tcW w:w="202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1660" w:type="dxa"/>
            <w:vAlign w:val="bottom"/>
            <w:gridSpan w:val="2"/>
          </w:tcPr>
          <w:p>
            <w:pPr>
              <w:ind w:left="460"/>
              <w:spacing w:after="0"/>
              <w:rPr>
                <w:sz w:val="20"/>
                <w:szCs w:val="20"/>
                <w:color w:val="auto"/>
              </w:rPr>
            </w:pPr>
            <w:r>
              <w:rPr>
                <w:rFonts w:ascii="Arial" w:cs="Arial" w:eastAsia="Arial" w:hAnsi="Arial"/>
                <w:sz w:val="11"/>
                <w:szCs w:val="11"/>
                <w:b w:val="1"/>
                <w:bCs w:val="1"/>
                <w:color w:val="auto"/>
              </w:rPr>
              <w:t>No Exercise</w:t>
            </w:r>
          </w:p>
        </w:tc>
        <w:tc>
          <w:tcPr>
            <w:tcW w:w="1560" w:type="dxa"/>
            <w:vAlign w:val="bottom"/>
          </w:tcPr>
          <w:p>
            <w:pPr>
              <w:jc w:val="right"/>
              <w:ind w:right="375"/>
              <w:spacing w:after="0"/>
              <w:rPr>
                <w:sz w:val="20"/>
                <w:szCs w:val="20"/>
                <w:color w:val="auto"/>
              </w:rPr>
            </w:pPr>
            <w:r>
              <w:rPr>
                <w:rFonts w:ascii="Arial" w:cs="Arial" w:eastAsia="Arial" w:hAnsi="Arial"/>
                <w:sz w:val="11"/>
                <w:szCs w:val="11"/>
                <w:b w:val="1"/>
                <w:bCs w:val="1"/>
                <w:color w:val="auto"/>
              </w:rPr>
              <w:t>Full Exercise</w:t>
            </w:r>
          </w:p>
        </w:tc>
      </w:tr>
      <w:tr>
        <w:trPr>
          <w:trHeight w:val="169"/>
        </w:trPr>
        <w:tc>
          <w:tcPr>
            <w:tcW w:w="8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Per Share</w:t>
            </w:r>
          </w:p>
        </w:tc>
        <w:tc>
          <w:tcPr>
            <w:tcW w:w="1580" w:type="dxa"/>
            <w:vAlign w:val="bottom"/>
            <w:tcBorders>
              <w:top w:val="single" w:sz="8" w:color="auto"/>
            </w:tcBorders>
            <w:shd w:val="clear" w:color="auto" w:fill="CCEEFF"/>
          </w:tcPr>
          <w:p>
            <w:pPr>
              <w:jc w:val="right"/>
              <w:ind w:right="1415"/>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ind w:right="1415"/>
              <w:spacing w:after="0"/>
              <w:rPr>
                <w:sz w:val="20"/>
                <w:szCs w:val="20"/>
                <w:color w:val="auto"/>
              </w:rPr>
            </w:pPr>
            <w:r>
              <w:rPr>
                <w:rFonts w:ascii="Arial" w:cs="Arial" w:eastAsia="Arial" w:hAnsi="Arial"/>
                <w:sz w:val="14"/>
                <w:szCs w:val="14"/>
                <w:color w:val="auto"/>
                <w:w w:val="76"/>
              </w:rPr>
              <w:t>$</w:t>
            </w:r>
          </w:p>
        </w:tc>
      </w:tr>
      <w:tr>
        <w:trPr>
          <w:trHeight w:val="185"/>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580" w:type="dxa"/>
            <w:vAlign w:val="bottom"/>
          </w:tcPr>
          <w:p>
            <w:pPr>
              <w:jc w:val="right"/>
              <w:ind w:right="1415"/>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415"/>
              <w:spacing w:after="0"/>
              <w:rPr>
                <w:sz w:val="20"/>
                <w:szCs w:val="20"/>
                <w:color w:val="auto"/>
              </w:rPr>
            </w:pPr>
            <w:r>
              <w:rPr>
                <w:rFonts w:ascii="Arial" w:cs="Arial" w:eastAsia="Arial" w:hAnsi="Arial"/>
                <w:sz w:val="14"/>
                <w:szCs w:val="14"/>
                <w:color w:val="auto"/>
                <w:w w:val="76"/>
              </w:rPr>
              <w: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Shares sold by the underwriters to the public will initially be offered at the initial public offering price set forth on the cover of this prospectus. Any shares sold by the underwriters to</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244</w:t>
      </w:r>
    </w:p>
    <w:p>
      <w:pPr>
        <w:sectPr>
          <w:pgSz w:w="11900" w:h="16838" w:orient="portrait"/>
          <w:cols w:equalWidth="0" w:num="1">
            <w:col w:w="11280"/>
          </w:cols>
          <w:pgMar w:left="300" w:top="209" w:right="319" w:bottom="1440" w:gutter="0" w:footer="0" w:header="0"/>
        </w:sectPr>
      </w:pPr>
    </w:p>
    <w:bookmarkStart w:id="260" w:name="page261"/>
    <w:bookmarkEnd w:id="2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and all of our directors, executive officers, the selling stockholders, and the holders of substantially all of our outstanding common stock and securities exercisable for or convertible into our common stock have agreed or will agree with the underwriters, subject to certain exceptions, not to dispose of or hedge any shares of our common stock or securities convertible into or exchangeable for shares of our common stock, without the prior written consent of Goldman Sachs &amp; Co. LLC and J.P. Morgan Securities LLC, during the period ending the earlier of (i) the opening of trading on the second trading day following the date of our release of earnings for the fiscal quarter ending April 30, 2026, or (ii) the date that is 180 days after the date of this prospectus (the “Lock-up Period”).</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Notwithstanding the foregoing, if (i) a holder is an Eligible Release Party, and (ii) the closing price of our common stock on Nasdaq has exceeded 125% of the initial public offering price per share set forth on the cover page of this prospectus for at least five (5) trading days (one of which must be a trading day occurring after the date of the Initial Earnings Release) out of any 10-consecutive trading day period, provided that such applicable date occurs in a broadly applicable “open trading window” period under our insider trading policy, such Eligible Release Party may sell in the public market, beginning at the opening of trading on the first trading day after the applicable 10-consecutive trading day period, up to a certain percentage of the sum of such Eligible Release Party’s outstanding and fully vested holdings (i) as of September 29, 2025, and (ii) as of the first calendar day of the month in which the Initial Earnings Release occurs, including such vested shares and other securities convertible into or exercisable or exchangeable for common stock that are held by any trust for the direct or indirect benefit of the Eligible Release Party or of an immediate family member of the Eligible Release Party. The applicable percentage is: 20% for Service Providers; 10% for Selling Preferred Holders; and 5% for any Eligible Release Party who is not a Service Provider, a Selling Preferred Stockholder, or an Excluded Holder. The number of shares that may be sold following the Initial Earnings Release prior to the termination of the Lock-up Period is approximately 12.0 million shares, including approximately 5.0 million shares issuable upon exercise of vested options and settlement of RSUs. For these purposes: (i) an “Eligible Release Party” means a securityholder who is</w:t>
      </w:r>
    </w:p>
    <w:p>
      <w:pPr>
        <w:spacing w:after="0" w:line="6" w:lineRule="exact"/>
        <w:rPr>
          <w:sz w:val="20"/>
          <w:szCs w:val="20"/>
          <w:color w:val="auto"/>
        </w:rPr>
      </w:pPr>
    </w:p>
    <w:p>
      <w:pPr>
        <w:jc w:val="both"/>
        <w:ind w:firstLine="4"/>
        <w:spacing w:after="0" w:line="252" w:lineRule="auto"/>
        <w:tabs>
          <w:tab w:leader="none" w:pos="227" w:val="left"/>
        </w:tabs>
        <w:numPr>
          <w:ilvl w:val="0"/>
          <w:numId w:val="129"/>
        </w:numPr>
        <w:rPr>
          <w:rFonts w:ascii="Arial" w:cs="Arial" w:eastAsia="Arial" w:hAnsi="Arial"/>
          <w:sz w:val="14"/>
          <w:szCs w:val="14"/>
          <w:color w:val="auto"/>
        </w:rPr>
      </w:pPr>
      <w:r>
        <w:rPr>
          <w:rFonts w:ascii="Arial" w:cs="Arial" w:eastAsia="Arial" w:hAnsi="Arial"/>
          <w:sz w:val="14"/>
          <w:szCs w:val="14"/>
          <w:color w:val="auto"/>
        </w:rPr>
        <w:t>not one of our directors or officers subject to reporting under Section 16 of the Exchange Act as of the Initial Earnings Release or (B)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(ii) the “Initial Earnings Release” means our public announcement of earnings for the fiscal year ending January 31, 2026; (iii) a “Service Provider” is any employee or service provider who is not an Excluded Holder; (iv) a “Selling Preferred Stockholder” is a holder of our redeemable convertible preferred stock prior to the completion of this offering who has submitted an irrevocable election to sell at least 25% of such holder’s outstanding securities as a selling stockholder in this offering; and (v) an “Excluded Holder” is any of our directors or officers subject to reporting under Section 16 of the Exchange Act, or any limited liability company, partnership, corporation, trust or other entity associated with our directors or executive officers; provided that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are Eligible Release Parties and not Excluded Holders.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Furthermore, (i) an additional approximately 3.57% of our outstanding common stock and securities directly or indirectly convertible into or exchangeable or exercisable for our common stock are subject to the market stand-off provisions in the IRA, in which such holders agreed to sell or otherwise transfer or dispose of any shares of common stock or any securities convertible into or exercisable or exchangeable for common stock held immediately prior to the effectiveness to the effectiveness of this registration statement and (ii) an additional approximately 7.92% of our outstanding common stock and securities directly or indirectly convertible into or exchangeable or exercisable for our common stock are subject to restrictions contained in market stand-off agreements with us which include restrictions on the sale, transfer, or other disposition of shares. The forms and specific restrictive provisions within these market stand-off provisions vary between security holders. For example, although some of these market stand-off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245</w:t>
      </w:r>
    </w:p>
    <w:p>
      <w:pPr>
        <w:sectPr>
          <w:pgSz w:w="11900" w:h="16838" w:orient="portrait"/>
          <w:cols w:equalWidth="0" w:num="1">
            <w:col w:w="11280"/>
          </w:cols>
          <w:pgMar w:left="300" w:top="209" w:right="319" w:bottom="1440" w:gutter="0" w:footer="0" w:header="0"/>
        </w:sectPr>
      </w:pPr>
    </w:p>
    <w:bookmarkStart w:id="261" w:name="page262"/>
    <w:bookmarkEnd w:id="2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agreements do not specifically restrict hedging transactions and others may be subject to different interpretations between us and securityholders as to whether they restrict hedging, our insider trading policy prohibits hedging by all of our current directors, officers, employees, contractors, and consultants. Sales, short sales, or hedging transactions involving our equity securities, whether before or after this offering and whether or not we believe them to be prohibited, could adversely affect the price of our common stock.</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a result of the foregoing, substantially all of our outstanding common stock and securities directly or indirectly convertible into or exchangeable or exercisable for our common stock are subject to a lock-up agreement or market stand-off provisions during the Lock-up Period. We have agreed to enforce all such market stand-off restrictions on behalf of the underwriters and not to amend or waive any such market stand-off provisions during the Lock-up Period without the prior consent of Goldman Sachs &amp; Co. LLC and J.P. Morgan Securities LLC, on behalf of the underwriters, provided that we may release shares from such restrictions to the extent such shares would be entitled to release under the form of lock-up agreement with the underwriters signed by our directors, executive officers, the selling stockholders, and certain holders of our securities as described herein.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restrictions imposed by the lock-up agreements and market stand-off provisions are subject to certain exceptions, including with respect to:</w:t>
      </w:r>
    </w:p>
    <w:p>
      <w:pPr>
        <w:spacing w:after="0" w:line="133" w:lineRule="exact"/>
        <w:rPr>
          <w:sz w:val="20"/>
          <w:szCs w:val="20"/>
          <w:color w:val="auto"/>
        </w:rPr>
      </w:pPr>
    </w:p>
    <w:p>
      <w:pPr>
        <w:ind w:left="580" w:hanging="324"/>
        <w:spacing w:after="0"/>
        <w:tabs>
          <w:tab w:leader="none" w:pos="5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as bona fide gifts, charitable contributions, or for bona fide estate planning purposes;</w:t>
      </w:r>
    </w:p>
    <w:p>
      <w:pPr>
        <w:spacing w:after="0" w:line="133" w:lineRule="exact"/>
        <w:rPr>
          <w:rFonts w:ascii="Arial" w:cs="Arial" w:eastAsia="Arial" w:hAnsi="Arial"/>
          <w:sz w:val="14"/>
          <w:szCs w:val="14"/>
          <w:color w:val="auto"/>
        </w:rPr>
      </w:pPr>
    </w:p>
    <w:p>
      <w:pPr>
        <w:ind w:left="560" w:hanging="304"/>
        <w:spacing w:after="0"/>
        <w:tabs>
          <w:tab w:leader="none" w:pos="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upon death by will, testamentary document, or the laws of intestate succession;</w:t>
      </w:r>
    </w:p>
    <w:p>
      <w:pPr>
        <w:spacing w:after="0" w:line="133" w:lineRule="exact"/>
        <w:rPr>
          <w:rFonts w:ascii="Arial" w:cs="Arial" w:eastAsia="Arial" w:hAnsi="Arial"/>
          <w:sz w:val="14"/>
          <w:szCs w:val="14"/>
          <w:color w:val="auto"/>
        </w:rPr>
      </w:pPr>
    </w:p>
    <w:p>
      <w:pPr>
        <w:ind w:left="580" w:hanging="324"/>
        <w:spacing w:after="0" w:line="286" w:lineRule="auto"/>
        <w:tabs>
          <w:tab w:leader="none" w:pos="577"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to immediate family members or to any trust for the direct or indirect benefit of the holder or the immediate family of the holder or, if the holder is a trust, to a trustor or beneficiary of the trust or the estate of a beneficiary of such trust;</w:t>
      </w:r>
    </w:p>
    <w:p>
      <w:pPr>
        <w:spacing w:after="0" w:line="78" w:lineRule="exact"/>
        <w:rPr>
          <w:rFonts w:ascii="Arial" w:cs="Arial" w:eastAsia="Arial" w:hAnsi="Arial"/>
          <w:sz w:val="14"/>
          <w:szCs w:val="14"/>
          <w:color w:val="auto"/>
        </w:rPr>
      </w:pPr>
    </w:p>
    <w:p>
      <w:pPr>
        <w:ind w:left="580" w:hanging="324"/>
        <w:spacing w:after="0" w:line="286" w:lineRule="auto"/>
        <w:tabs>
          <w:tab w:leader="none" w:pos="57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78" w:lineRule="exact"/>
        <w:rPr>
          <w:rFonts w:ascii="Arial" w:cs="Arial" w:eastAsia="Arial" w:hAnsi="Arial"/>
          <w:sz w:val="14"/>
          <w:szCs w:val="14"/>
          <w:color w:val="auto"/>
        </w:rPr>
      </w:pPr>
    </w:p>
    <w:p>
      <w:pPr>
        <w:ind w:left="560" w:hanging="304"/>
        <w:spacing w:after="0"/>
        <w:tabs>
          <w:tab w:leader="none" w:pos="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to a nominee or custodian of a person or entity to whom a disposition or transfer would be permissible under clauses (i) through (iv) above;</w:t>
      </w:r>
    </w:p>
    <w:p>
      <w:pPr>
        <w:spacing w:after="0" w:line="133" w:lineRule="exact"/>
        <w:rPr>
          <w:rFonts w:ascii="Arial" w:cs="Arial" w:eastAsia="Arial" w:hAnsi="Arial"/>
          <w:sz w:val="14"/>
          <w:szCs w:val="14"/>
          <w:color w:val="auto"/>
        </w:rPr>
      </w:pPr>
    </w:p>
    <w:p>
      <w:pPr>
        <w:ind w:left="580" w:hanging="324"/>
        <w:spacing w:after="0" w:line="286" w:lineRule="auto"/>
        <w:tabs>
          <w:tab w:leader="none" w:pos="57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by a business entity (A) to an affiliated or controlled entity or (B) as part of a distribution to the holder’s stockholders, partners, members, or other equityholders or to the estate of any such stockholders, partners, members, or other equityholders;</w:t>
      </w:r>
    </w:p>
    <w:p>
      <w:pPr>
        <w:spacing w:after="0" w:line="78" w:lineRule="exact"/>
        <w:rPr>
          <w:rFonts w:ascii="Arial" w:cs="Arial" w:eastAsia="Arial" w:hAnsi="Arial"/>
          <w:sz w:val="14"/>
          <w:szCs w:val="14"/>
          <w:color w:val="auto"/>
        </w:rPr>
      </w:pPr>
    </w:p>
    <w:p>
      <w:pPr>
        <w:ind w:left="560" w:hanging="304"/>
        <w:spacing w:after="0"/>
        <w:tabs>
          <w:tab w:leader="none" w:pos="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by operation of law, such as pursuant to a qualified domestic order, divorce settlement, divorce decree, separation agreement, or other court order;</w:t>
      </w:r>
    </w:p>
    <w:p>
      <w:pPr>
        <w:spacing w:after="0" w:line="133" w:lineRule="exact"/>
        <w:rPr>
          <w:rFonts w:ascii="Arial" w:cs="Arial" w:eastAsia="Arial" w:hAnsi="Arial"/>
          <w:sz w:val="14"/>
          <w:szCs w:val="14"/>
          <w:color w:val="auto"/>
        </w:rPr>
      </w:pPr>
    </w:p>
    <w:p>
      <w:pPr>
        <w:ind w:left="560" w:hanging="304"/>
        <w:spacing w:after="0"/>
        <w:tabs>
          <w:tab w:leader="none" w:pos="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to us from one of our employees upon their death, disability, or termination of employment;</w:t>
      </w:r>
    </w:p>
    <w:p>
      <w:pPr>
        <w:spacing w:after="0" w:line="133" w:lineRule="exact"/>
        <w:rPr>
          <w:rFonts w:ascii="Arial" w:cs="Arial" w:eastAsia="Arial" w:hAnsi="Arial"/>
          <w:sz w:val="14"/>
          <w:szCs w:val="14"/>
          <w:color w:val="auto"/>
        </w:rPr>
      </w:pPr>
    </w:p>
    <w:p>
      <w:pPr>
        <w:ind w:left="560" w:hanging="304"/>
        <w:spacing w:after="0"/>
        <w:tabs>
          <w:tab w:leader="none" w:pos="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if the holder is not a direct or officer, transfers of shares acquired (A) from the underwriters in this offering or (B) in open market transactions after the closing of this offering;</w:t>
      </w:r>
    </w:p>
    <w:p>
      <w:pPr>
        <w:spacing w:after="0" w:line="133" w:lineRule="exact"/>
        <w:rPr>
          <w:rFonts w:ascii="Arial" w:cs="Arial" w:eastAsia="Arial" w:hAnsi="Arial"/>
          <w:sz w:val="14"/>
          <w:szCs w:val="14"/>
          <w:color w:val="auto"/>
        </w:rPr>
      </w:pPr>
    </w:p>
    <w:p>
      <w:pPr>
        <w:jc w:val="both"/>
        <w:ind w:left="580" w:hanging="324"/>
        <w:spacing w:after="0" w:line="262" w:lineRule="auto"/>
        <w:tabs>
          <w:tab w:leader="none" w:pos="57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transfers in connection with the vesting, settlement, or exercise of RSUs, options, warrants, or other rights to purchase shares of our common stock (including, in each case, by way of “net” or “cashless” exercise), including transfers to us for the payment of taxes, including withholdings or remittance payments due as a result of the vesting, settlement, or exercise of options, RSUs, restricted stock, options, warrants, or other rights to purchase shares of our common stock, in each case related to outstanding capital stock described in this prospectus;</w:t>
      </w:r>
    </w:p>
    <w:p>
      <w:pPr>
        <w:spacing w:after="0" w:line="95" w:lineRule="exact"/>
        <w:rPr>
          <w:rFonts w:ascii="Arial" w:cs="Arial" w:eastAsia="Arial" w:hAnsi="Arial"/>
          <w:sz w:val="14"/>
          <w:szCs w:val="14"/>
          <w:color w:val="auto"/>
        </w:rPr>
      </w:pPr>
    </w:p>
    <w:p>
      <w:pPr>
        <w:ind w:left="580" w:hanging="324"/>
        <w:spacing w:after="0" w:line="286" w:lineRule="auto"/>
        <w:tabs>
          <w:tab w:leader="none" w:pos="57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sales or other transfers to satisfy tax obligations or payments due as a result of (A) the exercise of stock options, if such options expire or the post-termination exercise period applicable to such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246</w:t>
      </w:r>
    </w:p>
    <w:p>
      <w:pPr>
        <w:sectPr>
          <w:pgSz w:w="11900" w:h="16838" w:orient="portrait"/>
          <w:cols w:equalWidth="0" w:num="1">
            <w:col w:w="11280"/>
          </w:cols>
          <w:pgMar w:left="300" w:top="209" w:right="319" w:bottom="1440" w:gutter="0" w:footer="0" w:header="0"/>
        </w:sectPr>
      </w:pPr>
    </w:p>
    <w:bookmarkStart w:id="262" w:name="page263"/>
    <w:bookmarkEnd w:id="2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80"/>
        <w:spacing w:after="0" w:line="286" w:lineRule="auto"/>
        <w:rPr>
          <w:sz w:val="20"/>
          <w:szCs w:val="20"/>
          <w:color w:val="auto"/>
        </w:rPr>
      </w:pPr>
      <w:r>
        <w:rPr>
          <w:rFonts w:ascii="Arial" w:cs="Arial" w:eastAsia="Arial" w:hAnsi="Arial"/>
          <w:sz w:val="14"/>
          <w:szCs w:val="14"/>
          <w:color w:val="auto"/>
        </w:rPr>
        <w:t>options expire during the lock-up period, or (B) the settlement of RSUs pursuant to awards granted under a stock incentive plan or other equity award plan or arrangement described in this prospectus; and</w:t>
      </w:r>
    </w:p>
    <w:p>
      <w:pPr>
        <w:spacing w:after="0" w:line="79" w:lineRule="exact"/>
        <w:rPr>
          <w:sz w:val="20"/>
          <w:szCs w:val="20"/>
          <w:color w:val="auto"/>
        </w:rPr>
      </w:pPr>
    </w:p>
    <w:p>
      <w:pPr>
        <w:ind w:left="580" w:hanging="324"/>
        <w:spacing w:after="0" w:line="286" w:lineRule="auto"/>
        <w:tabs>
          <w:tab w:leader="none" w:pos="574"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to the Company in connection with the conversion, exchange or reclassification of any outstanding equity securities of the Company into shares of common stock, or any reclassification, exchange or conversion of shares of common stock, in each case as described and as contemplated in this prospectus;</w:t>
      </w:r>
    </w:p>
    <w:p>
      <w:pPr>
        <w:spacing w:after="0" w:line="79" w:lineRule="exact"/>
        <w:rPr>
          <w:sz w:val="20"/>
          <w:szCs w:val="20"/>
          <w:color w:val="auto"/>
        </w:rPr>
      </w:pPr>
    </w:p>
    <w:p>
      <w:pPr>
        <w:ind w:left="60"/>
        <w:spacing w:after="0" w:line="286" w:lineRule="auto"/>
        <w:rPr>
          <w:sz w:val="20"/>
          <w:szCs w:val="20"/>
          <w:color w:val="auto"/>
        </w:rPr>
      </w:pPr>
      <w:r>
        <w:rPr>
          <w:rFonts w:ascii="Arial" w:cs="Arial" w:eastAsia="Arial" w:hAnsi="Arial"/>
          <w:sz w:val="14"/>
          <w:szCs w:val="14"/>
          <w:color w:val="auto"/>
        </w:rPr>
        <w:t>provided, in the case of any transfer, disposition, or distribution pursuant to clauses (i) through (vii), that each transferee, donee, or distribute shall sign and deliver a lock-up agreement.</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Prior to the offering, there has been no public market for the shares of our common stock. The initial public offering price will be negotiated between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applied to list our shares of common stock on Nasdaq under the symbol “WLTH.” This offering is contingent upon final approval of our listing of our common stock on Nasdaq.</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We estimate that our share of the total expenses of the offering, excluding the underwriting discounts and commissions payable by us, will be approximately $6.7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247</w:t>
      </w:r>
    </w:p>
    <w:p>
      <w:pPr>
        <w:sectPr>
          <w:pgSz w:w="11900" w:h="16838" w:orient="portrait"/>
          <w:cols w:equalWidth="0" w:num="1">
            <w:col w:w="11280"/>
          </w:cols>
          <w:pgMar w:left="300" w:top="209" w:right="319" w:bottom="1440" w:gutter="0" w:footer="0" w:header="0"/>
        </w:sectPr>
      </w:pPr>
    </w:p>
    <w:bookmarkStart w:id="263" w:name="page264"/>
    <w:bookmarkEnd w:id="2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and the selling stockholders have agreed to indemnify the several underwriters against certain liabilities, including liabilities under the Securities Act. We have also agreed to reimburse the underwriters for certain of their expenses in an amount up to $60,000.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Conflicts of Interest</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Affiliates of Goldman Sachs &amp; Co. LLC, J.P. Morgan Securities LLC, Citigroup Global Markets Inc., Wells Fargo Securities, LLC, RBC Capital Markets, LLC, and KeyBanc Capital Markets Inc. are lenders under the Revolving Credit Facility. As described in the section titled “Use of Proceeds,” net proceeds from this offering will be used to repay outstanding borrowings under the Amended Credit Facility and, as such, each of Goldman Sachs &amp; Co. LLC, J.P. Morgan Securities LLC, Citigroup Global Markets Inc., Wells Fargo Securities, LLC, RBC Capital Markets, LLC, and KeyBanc Capital Markets Inc. will receive 5% or more of the net proceeds of this offering due to repayment of the Revolving Credit Facility. Therefore, such underwriters are deemed to have conflicts of interest within the meaning of FINRA Rule 5121. Accordingly, this offering is being conducted in accordance with Rule 5121, which requires, among other things, that a “qualified independent underwriter” participate in the preparation of, and exercise the usual standards of “due diligence” with respect to, the registration statement and this prospectus. Citizens JMP Securities, LLC has agreed to act as a qualified independent underwriter for this offering and to undertake the legal responsibilities and liabilities of an underwriter under the Securities Act, specifically including those inherent in Section 11 thereof.</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Citizens JMP Securities, LLC will not receive any additional fees for serving as a qualified independent underwriter in connection with this offering. We have agreed to indemnify Citizens JMP Securities, LLC against liabilities incurred in connection with acting as a qualified independent underwriter, including liabilities under the Securities Act.</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Pursuant to Rule 5121, each of Goldman Sachs &amp; Co. LLC, J.P. Morgan Securities LLC, Citigroup Global Markets Inc., Wells Fargo Securities, LLC, RBC Capital Markets, LLC, and KeyBanc Capital Markets Inc. will not confirm any sales to any account over which it exercises discretionary authority without the specific written approval of the account holder. See the section titled “Use of Proceeds” for additional information.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Relationships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pursuant to agreements negotiated on an arm’s length basis consistent with industry practice with industry standard terms and conditions, affiliates of Goldman Sachs &amp; Co. LLC, Citigroup Global Markets Inc., Wells Fargo Securities, LLC, and KeyBanc Capital Markets Inc., underwriters in this offering, serve as program banks for our cash sweep program, and an affiliate of Wells Fargo Securities, LLC, serves as an intermediary bank for client funds that are subsequently swept to our program banks. Furthermore, affiliates of Goldman Sachs &amp; Co. LLC, J.P. Morgan Securities LLC, Citigroup Global Markets Inc., Wells Fargo Securities, LLC, RBC Capital Markets, LLC, and KeyBanc Capital Markets Inc. serve as lenders under our Revolving Credit Facility.</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clients, and such investment and trading activities may involve or relate to our assets, securities, and/or instruments (directly, as collateral securing other obligations or otherwise) and/or persons and entities with relationships with us.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248</w:t>
      </w:r>
    </w:p>
    <w:p>
      <w:pPr>
        <w:sectPr>
          <w:pgSz w:w="11900" w:h="16838" w:orient="portrait"/>
          <w:cols w:equalWidth="0" w:num="1">
            <w:col w:w="11280"/>
          </w:cols>
          <w:pgMar w:left="300" w:top="209" w:right="319" w:bottom="1440" w:gutter="0" w:footer="0" w:header="0"/>
        </w:sectPr>
      </w:pPr>
    </w:p>
    <w:bookmarkStart w:id="264" w:name="page265"/>
    <w:bookmarkEnd w:id="2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Indications of Interest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Cornerstone Investors have, severally and not jointly, indicated an interest in purchasing up to an aggregate of $150.0 million in shares of our common stock offered in this offering at the initial public offering price and on the same terms and conditions as the other purchasers in this offering. The shares of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The underwriters will receive the same underwriting discount on any shares purchased by the Cornerstone Investors as they will from the other shares sold to the public in this offering.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Selling Restrictions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Economic Area</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relation to each European Economic Area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96" w:lineRule="exact"/>
        <w:rPr>
          <w:sz w:val="20"/>
          <w:szCs w:val="20"/>
          <w:color w:val="auto"/>
        </w:rPr>
      </w:pPr>
    </w:p>
    <w:p>
      <w:pPr>
        <w:ind w:left="500" w:hanging="244"/>
        <w:spacing w:after="0"/>
        <w:tabs>
          <w:tab w:leader="none" w:pos="5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Prospectus Regulation;</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Prospectus Regulation), subject to obtaining the prior consent of the representatives for any such offer; or</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provided that no such offer of the shares shall require us and/or any underwriter to publish a prospectus pursuant to Article 3 of the Prospectus Regulation or supplement a prospectus pursuant to Article 23 of the Prospectus Regulation.</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us that:</w:t>
      </w:r>
    </w:p>
    <w:p>
      <w:pPr>
        <w:spacing w:after="0" w:line="79" w:lineRule="exact"/>
        <w:rPr>
          <w:sz w:val="20"/>
          <w:szCs w:val="20"/>
          <w:color w:val="auto"/>
        </w:rPr>
      </w:pPr>
    </w:p>
    <w:p>
      <w:pPr>
        <w:ind w:left="500" w:hanging="244"/>
        <w:spacing w:after="0"/>
        <w:tabs>
          <w:tab w:leader="none" w:pos="5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it is a qualified investor within the meaning of the Prospectus Regulation; and</w:t>
      </w:r>
    </w:p>
    <w:p>
      <w:pPr>
        <w:spacing w:after="0" w:line="133" w:lineRule="exact"/>
        <w:rPr>
          <w:rFonts w:ascii="Arial" w:cs="Arial" w:eastAsia="Arial" w:hAnsi="Arial"/>
          <w:sz w:val="14"/>
          <w:szCs w:val="14"/>
          <w:color w:val="auto"/>
        </w:rPr>
      </w:pPr>
    </w:p>
    <w:p>
      <w:pPr>
        <w:ind w:left="500" w:hanging="244"/>
        <w:spacing w:after="0" w:line="286" w:lineRule="auto"/>
        <w:tabs>
          <w:tab w:leader="none" w:pos="49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 the case of any shares acquired by it as a financial intermediary, as that term is used in Article 5 of the Prospectus Regulation, (i) the shares acquired by it in this offering have not been acquired on a non-discretionary basis on behalf of, nor have they been acquired with a view to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249</w:t>
      </w:r>
    </w:p>
    <w:p>
      <w:pPr>
        <w:sectPr>
          <w:pgSz w:w="11900" w:h="16838" w:orient="portrait"/>
          <w:cols w:equalWidth="0" w:num="1">
            <w:col w:w="11280"/>
          </w:cols>
          <w:pgMar w:left="300" w:top="209" w:right="319" w:bottom="1440" w:gutter="0" w:footer="0" w:header="0"/>
        </w:sectPr>
      </w:pPr>
    </w:p>
    <w:bookmarkStart w:id="265" w:name="page266"/>
    <w:bookmarkEnd w:id="2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00"/>
        <w:spacing w:after="0" w:line="262" w:lineRule="auto"/>
        <w:rPr>
          <w:sz w:val="20"/>
          <w:szCs w:val="20"/>
          <w:color w:val="auto"/>
        </w:rPr>
      </w:pPr>
      <w:r>
        <w:rPr>
          <w:rFonts w:ascii="Arial" w:cs="Arial" w:eastAsia="Arial" w:hAnsi="Arial"/>
          <w:sz w:val="14"/>
          <w:szCs w:val="14"/>
          <w:color w:val="auto"/>
        </w:rPr>
        <w:t>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Kingdom</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Financial Services and Markets Act 2000 (Financial Promotion) Order 2005 (as amended, the “FPO”); or (ii) high net worth entities falling within Article 49(2)(a) to (d) of the FPO; (iii) outside the UK; or (iv) persons to whom an invitation or inducement to engage in investment activity (within the meaning of Section 21 of the Financial Services and Markets Act 2000 (as amended,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No shares have been offered or will be offered pursuant to the offering to the public in the UK prior to the publication of a prospectus in relation to the shares which has been approved by the Financial Conduct Authority, except that the shares may be offered to the public in the UK at any time:</w:t>
      </w:r>
    </w:p>
    <w:p>
      <w:pPr>
        <w:spacing w:after="0" w:line="79" w:lineRule="exact"/>
        <w:rPr>
          <w:sz w:val="20"/>
          <w:szCs w:val="20"/>
          <w:color w:val="auto"/>
        </w:rPr>
      </w:pPr>
    </w:p>
    <w:p>
      <w:pPr>
        <w:ind w:left="500" w:hanging="244"/>
        <w:spacing w:after="0"/>
        <w:tabs>
          <w:tab w:leader="none" w:pos="5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UK Prospectus Regulation;</w:t>
      </w:r>
    </w:p>
    <w:p>
      <w:pPr>
        <w:spacing w:after="0" w:line="133" w:lineRule="exact"/>
        <w:rPr>
          <w:rFonts w:ascii="Arial" w:cs="Arial" w:eastAsia="Arial" w:hAnsi="Arial"/>
          <w:sz w:val="14"/>
          <w:szCs w:val="14"/>
          <w:color w:val="auto"/>
        </w:rPr>
      </w:pPr>
    </w:p>
    <w:p>
      <w:pPr>
        <w:ind w:left="500" w:hanging="244"/>
        <w:spacing w:after="0" w:line="286" w:lineRule="auto"/>
        <w:tabs>
          <w:tab w:leader="none" w:pos="493"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in any other circumstances falling within Section 86 of the FSMA.</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provided that no such offer of the shares shall require us and/or any underwriter or any of their affiliates to publish a prospectus pursuant to Section 85 of the FSMA or supplement a prospectus pursuant to Article 23 of the UK Prospectus Regulation. For the purposes of this provision, the expression an “offer to the public” in relation to the shares in the UK means the communication in any form and by any means of sufficient information on the terms of the offer and any shares to be offered so as to enable an investor to decide to purchase any shares, and the expression “UK Prospectus Regulation” means Regulation (EU) 2017/1129 as it forms part of domestic law by virtue of the European Union (Withdrawal) Act 2018.</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Each person in the UK who acquires any shares in the offering or to whom any offer is made will be deemed to have represented, acknowledged, and agreed to and with us, the underwriters, and their affiliates that it meets the criteria outlined in this section.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250</w:t>
      </w:r>
    </w:p>
    <w:p>
      <w:pPr>
        <w:sectPr>
          <w:pgSz w:w="11900" w:h="16838" w:orient="portrait"/>
          <w:cols w:equalWidth="0" w:num="1">
            <w:col w:w="11280"/>
          </w:cols>
          <w:pgMar w:left="300" w:top="209" w:right="319" w:bottom="1440" w:gutter="0" w:footer="0" w:header="0"/>
        </w:sectPr>
      </w:pPr>
    </w:p>
    <w:bookmarkStart w:id="266" w:name="page267"/>
    <w:bookmarkEnd w:id="2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Canada</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Hong Kong</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(as amended, the “Companies (Winding Up and Miscellaneous Provisions) Ordinance”), or which do not constitute an invitation to the public within the meaning of the Securities and Futures Ordinance (Cap. 571 of the Laws of Hong Kong) (as amended,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Singapore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(as amended,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251</w:t>
      </w:r>
    </w:p>
    <w:p>
      <w:pPr>
        <w:sectPr>
          <w:pgSz w:w="11900" w:h="16838" w:orient="portrait"/>
          <w:cols w:equalWidth="0" w:num="1">
            <w:col w:w="11280"/>
          </w:cols>
          <w:pgMar w:left="300" w:top="209" w:right="319" w:bottom="1440" w:gutter="0" w:footer="0" w:header="0"/>
        </w:sectPr>
      </w:pPr>
    </w:p>
    <w:bookmarkStart w:id="267" w:name="page268"/>
    <w:bookmarkEnd w:id="2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(as amended, “Regulation 32”).</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Japan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shares have not been and will not be registered under the Financial Instruments and Exchange Act of Japan (Act No. 25 of 1948, as amended)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 placement document, prospectus, product disclosure statement, or other disclosure document has been lodged with the Australian Securities and Investments Commission in relation to the offering. This offering document does not constitute a prospectus, product disclosure statement or other disclosure document under the Corporations Act 2001 (as amended, the “Corporations Act”), and does not purport to include the information required for a prospectus, product disclosure statement or other disclosure document under the Corporations Act.</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252</w:t>
      </w:r>
    </w:p>
    <w:p>
      <w:pPr>
        <w:sectPr>
          <w:pgSz w:w="11900" w:h="16838" w:orient="portrait"/>
          <w:cols w:equalWidth="0" w:num="1">
            <w:col w:w="11280"/>
          </w:cols>
          <w:pgMar w:left="300" w:top="209" w:right="319" w:bottom="1440" w:gutter="0" w:footer="0" w:header="0"/>
        </w:sectPr>
      </w:pPr>
    </w:p>
    <w:bookmarkStart w:id="268" w:name="page269"/>
    <w:bookmarkEnd w:id="2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investors need to consider whether the information in this offering document is appropriate to their needs, objectives, and circumstances, and, if necessary, seek expert advice on those matters.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Dubai International Financial Centre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Switzerland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shares may not be publicly offered in Switzerland and will not be listed on the SIX Swiss Exchange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Neither this document nor any other offering or marketing material relating to the offering, us, or our shares has been or will be filed with or approved by any Swiss regulatory authority. In particular, this document will not be filed with, and the offer of shares will not be supervised by, the Swiss Financial Market Supervisory Authority FINMA, and the offer of common stock has not been and will not be authorized under the Swiss Federal Act on Collective Investment Schemes (as amended, the “CISA”). The investor protection afforded to acquirers of interests in collective investment schemes under the CISA does not extend to acquirers of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Brazil</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offer and sale of the shares have not been, and will not be, registered with the Brazilian Securities Commission, Comissão de Valores Mobiliários (“CVM”) and, therefore, will not be carried out by any means that would constitute a public offering in Brazil under CVM Resolution No. 160, dated July 13, 2022, as amended, or unauthorized distribution under Brazilian laws and regulations. The shares may only be offered to Brazilian Professional Investors (as defined by the applicable CVM regulation), who may only acquire the shares through a non-Brazilian account, with settlement outside Brazil in non-Brazilian currency. The trading of these shares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253</w:t>
      </w:r>
    </w:p>
    <w:p>
      <w:pPr>
        <w:sectPr>
          <w:pgSz w:w="11900" w:h="16838" w:orient="portrait"/>
          <w:cols w:equalWidth="0" w:num="1">
            <w:col w:w="11280"/>
          </w:cols>
          <w:pgMar w:left="300" w:top="209" w:right="319" w:bottom="1440" w:gutter="0" w:footer="0" w:header="0"/>
        </w:sectPr>
      </w:pPr>
    </w:p>
    <w:bookmarkStart w:id="269" w:name="page270"/>
    <w:bookmarkEnd w:id="2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MATTERS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Fenwick &amp; West LLP, Santa Monica, California, which has acted as our counsel in connection with this offering, will pass upon the validity of the issuance of the shares of our common stock offered by this prospectus. As of the date of this prospectus, individuals and entities associated with Fenwick &amp; West LLP beneficially own an aggregate of 55,280 shares of our common stock. Latham &amp; Watkins LLP, Menlo Park, California, is acting as counsel to the underwriters. Whalen LLP, Newport Beach, California, has acted as counsel for the selling stockholders in connection with legal matters related to this offering.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EXPERTS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Ernst &amp; Young LLP, independent registered public accounting firm, has audited our consolidated financial statements at January 31, 2024 and 2025, and for each of the two years in the period ended January 31, 2025, as set forth in their report. We have included our financial statements in the prospectus and elsewhere in the registration statement in reliance on Ernst &amp; Young LLP’s report, given on their authority as experts in accounting and auditing.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WHERE YOU CAN FIND ADDITIONAL INFORMATION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our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also maintain a website at www.wealthfront.com. Upon the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254</w:t>
      </w:r>
    </w:p>
    <w:p>
      <w:pPr>
        <w:sectPr>
          <w:pgSz w:w="11900" w:h="16838" w:orient="portrait"/>
          <w:cols w:equalWidth="0" w:num="1">
            <w:col w:w="11280"/>
          </w:cols>
          <w:pgMar w:left="300" w:top="209" w:right="319" w:bottom="1440"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1054100</wp:posOffset>
            </wp:positionH>
            <wp:positionV relativeFrom="page">
              <wp:posOffset>288925</wp:posOffset>
            </wp:positionV>
            <wp:extent cx="5447030" cy="70491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447030" cy="704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1042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Audited Consolidated Financial Statements as of and for the Fiscal Years Ended January 31, 2024 and 2025</w:t>
            </w:r>
          </w:p>
        </w:tc>
        <w:tc>
          <w:tcPr>
            <w:tcW w:w="8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5"/>
        </w:trPr>
        <w:tc>
          <w:tcPr>
            <w:tcW w:w="10420" w:type="dxa"/>
            <w:vAlign w:val="bottom"/>
            <w:gridSpan w:val="13"/>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20" w:type="dxa"/>
            <w:vAlign w:val="bottom"/>
            <w:gridSpan w:val="8"/>
          </w:tcPr>
          <w:p>
            <w:pPr>
              <w:spacing w:after="0" w:line="151" w:lineRule="exact"/>
              <w:rPr>
                <w:sz w:val="20"/>
                <w:szCs w:val="20"/>
                <w:color w:val="auto"/>
              </w:rPr>
            </w:pPr>
            <w:r>
              <w:rPr>
                <w:rFonts w:ascii="Arial" w:cs="Arial" w:eastAsia="Arial" w:hAnsi="Arial"/>
                <w:sz w:val="14"/>
                <w:szCs w:val="14"/>
                <w:color w:val="0000FF"/>
                <w:w w:val="99"/>
              </w:rPr>
              <w:t>Report of Independent Registered Public Accounting Firm (PCAOB ID: 42)</w:t>
            </w:r>
          </w:p>
        </w:tc>
        <w:tc>
          <w:tcPr>
            <w:tcW w:w="5800" w:type="dxa"/>
            <w:vAlign w:val="bottom"/>
            <w:gridSpan w:val="5"/>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gridSpan w:val="3"/>
          </w:tcPr>
          <w:p>
            <w:pPr>
              <w:jc w:val="right"/>
              <w:spacing w:after="0" w:line="151" w:lineRule="exact"/>
              <w:rPr>
                <w:sz w:val="20"/>
                <w:szCs w:val="20"/>
                <w:color w:val="auto"/>
              </w:rPr>
            </w:pPr>
            <w:r>
              <w:rPr>
                <w:rFonts w:ascii="Arial" w:cs="Arial" w:eastAsia="Arial" w:hAnsi="Arial"/>
                <w:sz w:val="14"/>
                <w:szCs w:val="14"/>
                <w:color w:val="0000FF"/>
              </w:rPr>
              <w:t>F-2</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840" w:type="dxa"/>
            <w:vAlign w:val="bottom"/>
            <w:gridSpan w:val="3"/>
          </w:tcPr>
          <w:p>
            <w:pPr>
              <w:spacing w:after="0" w:line="159" w:lineRule="exact"/>
              <w:rPr>
                <w:sz w:val="20"/>
                <w:szCs w:val="20"/>
                <w:color w:val="auto"/>
              </w:rPr>
            </w:pPr>
            <w:r>
              <w:rPr>
                <w:rFonts w:ascii="Arial" w:cs="Arial" w:eastAsia="Arial" w:hAnsi="Arial"/>
                <w:sz w:val="14"/>
                <w:szCs w:val="14"/>
                <w:color w:val="0000FF"/>
                <w:w w:val="99"/>
              </w:rPr>
              <w:t>Consolidated Balance Sheets</w:t>
            </w:r>
          </w:p>
        </w:tc>
        <w:tc>
          <w:tcPr>
            <w:tcW w:w="2780" w:type="dxa"/>
            <w:vAlign w:val="bottom"/>
            <w:gridSpan w:val="5"/>
          </w:tcPr>
          <w:p>
            <w:pPr>
              <w:spacing w:after="0"/>
              <w:rPr>
                <w:sz w:val="13"/>
                <w:szCs w:val="13"/>
                <w:color w:val="auto"/>
              </w:rPr>
            </w:pPr>
          </w:p>
        </w:tc>
        <w:tc>
          <w:tcPr>
            <w:tcW w:w="5800" w:type="dxa"/>
            <w:vAlign w:val="bottom"/>
            <w:gridSpan w:val="5"/>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0000FF"/>
              </w:rPr>
              <w:t>F-3</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420" w:type="dxa"/>
            <w:vAlign w:val="bottom"/>
            <w:gridSpan w:val="13"/>
          </w:tcPr>
          <w:p>
            <w:pPr>
              <w:spacing w:after="0" w:line="159" w:lineRule="exact"/>
              <w:rPr>
                <w:sz w:val="20"/>
                <w:szCs w:val="20"/>
                <w:color w:val="auto"/>
              </w:rPr>
            </w:pPr>
            <w:r>
              <w:rPr>
                <w:rFonts w:ascii="Arial" w:cs="Arial" w:eastAsia="Arial" w:hAnsi="Arial"/>
                <w:sz w:val="14"/>
                <w:szCs w:val="14"/>
                <w:color w:val="0000FF"/>
              </w:rPr>
              <w:t>Consolidated Statements of Operations</w:t>
            </w:r>
          </w:p>
        </w:tc>
        <w:tc>
          <w:tcPr>
            <w:tcW w:w="5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0000FF"/>
              </w:rPr>
              <w:t>F-4</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420" w:type="dxa"/>
            <w:vAlign w:val="bottom"/>
            <w:gridSpan w:val="13"/>
          </w:tcPr>
          <w:p>
            <w:pPr>
              <w:spacing w:after="0" w:line="159" w:lineRule="exact"/>
              <w:rPr>
                <w:sz w:val="20"/>
                <w:szCs w:val="20"/>
                <w:color w:val="auto"/>
              </w:rPr>
            </w:pPr>
            <w:r>
              <w:rPr>
                <w:rFonts w:ascii="Arial" w:cs="Arial" w:eastAsia="Arial" w:hAnsi="Arial"/>
                <w:sz w:val="14"/>
                <w:szCs w:val="14"/>
                <w:color w:val="0000FF"/>
              </w:rPr>
              <w:t>Consolidated Statements of Redeemable Convertible Preferred Stock and Stockholders’ Equity (Deficit</w:t>
            </w:r>
            <w:r>
              <w:rPr>
                <w:rFonts w:ascii="Arial" w:cs="Arial" w:eastAsia="Arial" w:hAnsi="Arial"/>
                <w:sz w:val="14"/>
                <w:szCs w:val="14"/>
                <w:color w:val="000000"/>
              </w:rPr>
              <w:t>)</w:t>
            </w:r>
          </w:p>
        </w:tc>
        <w:tc>
          <w:tcPr>
            <w:tcW w:w="5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0000FF"/>
              </w:rPr>
              <w:t>F-5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500" w:type="dxa"/>
            <w:vAlign w:val="bottom"/>
            <w:gridSpan w:val="5"/>
          </w:tcPr>
          <w:p>
            <w:pPr>
              <w:spacing w:after="0" w:line="159" w:lineRule="exact"/>
              <w:rPr>
                <w:sz w:val="20"/>
                <w:szCs w:val="20"/>
                <w:color w:val="auto"/>
              </w:rPr>
            </w:pPr>
            <w:r>
              <w:rPr>
                <w:rFonts w:ascii="Arial" w:cs="Arial" w:eastAsia="Arial" w:hAnsi="Arial"/>
                <w:sz w:val="14"/>
                <w:szCs w:val="14"/>
                <w:color w:val="0000FF"/>
                <w:w w:val="99"/>
              </w:rPr>
              <w:t>Consolidated Statements of Cash Flows</w:t>
            </w:r>
          </w:p>
        </w:tc>
        <w:tc>
          <w:tcPr>
            <w:tcW w:w="3860" w:type="dxa"/>
            <w:vAlign w:val="bottom"/>
            <w:gridSpan w:val="5"/>
          </w:tcPr>
          <w:p>
            <w:pPr>
              <w:spacing w:after="0"/>
              <w:rPr>
                <w:sz w:val="13"/>
                <w:szCs w:val="13"/>
                <w:color w:val="auto"/>
              </w:rPr>
            </w:pPr>
          </w:p>
        </w:tc>
        <w:tc>
          <w:tcPr>
            <w:tcW w:w="406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0000FF"/>
              </w:rPr>
              <w:t>F-6</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420" w:type="dxa"/>
            <w:vAlign w:val="bottom"/>
            <w:gridSpan w:val="13"/>
          </w:tcPr>
          <w:p>
            <w:pPr>
              <w:spacing w:after="0" w:line="159" w:lineRule="exact"/>
              <w:rPr>
                <w:sz w:val="20"/>
                <w:szCs w:val="20"/>
                <w:color w:val="auto"/>
              </w:rPr>
            </w:pPr>
            <w:r>
              <w:rPr>
                <w:rFonts w:ascii="Arial" w:cs="Arial" w:eastAsia="Arial" w:hAnsi="Arial"/>
                <w:sz w:val="14"/>
                <w:szCs w:val="14"/>
                <w:color w:val="0000FF"/>
              </w:rPr>
              <w:t>Notes to Consolidated Financial Statements</w:t>
            </w:r>
          </w:p>
        </w:tc>
        <w:tc>
          <w:tcPr>
            <w:tcW w:w="5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0000FF"/>
              </w:rPr>
              <w:t>F-8</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0420" w:type="dxa"/>
            <w:vAlign w:val="bottom"/>
            <w:gridSpan w:val="13"/>
          </w:tcPr>
          <w:p>
            <w:pPr>
              <w:spacing w:after="0"/>
              <w:rPr>
                <w:sz w:val="20"/>
                <w:szCs w:val="20"/>
                <w:color w:val="auto"/>
              </w:rPr>
            </w:pPr>
            <w:r>
              <w:rPr>
                <w:rFonts w:ascii="Arial" w:cs="Arial" w:eastAsia="Arial" w:hAnsi="Arial"/>
                <w:sz w:val="14"/>
                <w:szCs w:val="14"/>
                <w:b w:val="1"/>
                <w:bCs w:val="1"/>
                <w:color w:val="auto"/>
              </w:rPr>
              <w:t>Unaudited Interim Condensed Consolidated Financial Statements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420" w:type="dxa"/>
            <w:vAlign w:val="bottom"/>
            <w:gridSpan w:val="13"/>
          </w:tcPr>
          <w:p>
            <w:pPr>
              <w:spacing w:after="0" w:line="151" w:lineRule="exact"/>
              <w:rPr>
                <w:sz w:val="20"/>
                <w:szCs w:val="20"/>
                <w:color w:val="auto"/>
              </w:rPr>
            </w:pPr>
            <w:r>
              <w:rPr>
                <w:rFonts w:ascii="Arial" w:cs="Arial" w:eastAsia="Arial" w:hAnsi="Arial"/>
                <w:sz w:val="14"/>
                <w:szCs w:val="14"/>
                <w:color w:val="0000FF"/>
              </w:rPr>
              <w:t>Condensed Consolidated Balance Sheets as of January 31, 2025 and July 31, 2025</w:t>
            </w:r>
          </w:p>
        </w:tc>
        <w:tc>
          <w:tcPr>
            <w:tcW w:w="540" w:type="dxa"/>
            <w:vAlign w:val="bottom"/>
          </w:tcPr>
          <w:p>
            <w:pPr>
              <w:spacing w:after="0"/>
              <w:rPr>
                <w:sz w:val="13"/>
                <w:szCs w:val="13"/>
                <w:color w:val="auto"/>
              </w:rPr>
            </w:pPr>
          </w:p>
        </w:tc>
        <w:tc>
          <w:tcPr>
            <w:tcW w:w="300" w:type="dxa"/>
            <w:vAlign w:val="bottom"/>
            <w:gridSpan w:val="3"/>
          </w:tcPr>
          <w:p>
            <w:pPr>
              <w:jc w:val="right"/>
              <w:spacing w:after="0" w:line="151" w:lineRule="exact"/>
              <w:rPr>
                <w:sz w:val="20"/>
                <w:szCs w:val="20"/>
                <w:color w:val="auto"/>
              </w:rPr>
            </w:pPr>
            <w:r>
              <w:rPr>
                <w:rFonts w:ascii="Arial" w:cs="Arial" w:eastAsia="Arial" w:hAnsi="Arial"/>
                <w:sz w:val="14"/>
                <w:szCs w:val="14"/>
                <w:color w:val="0000FF"/>
                <w:w w:val="97"/>
              </w:rPr>
              <w:t>F-35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420" w:type="dxa"/>
            <w:vAlign w:val="bottom"/>
            <w:gridSpan w:val="13"/>
          </w:tcPr>
          <w:p>
            <w:pPr>
              <w:spacing w:after="0" w:line="159" w:lineRule="exact"/>
              <w:rPr>
                <w:sz w:val="20"/>
                <w:szCs w:val="20"/>
                <w:color w:val="auto"/>
              </w:rPr>
            </w:pPr>
            <w:r>
              <w:rPr>
                <w:rFonts w:ascii="Arial" w:cs="Arial" w:eastAsia="Arial" w:hAnsi="Arial"/>
                <w:sz w:val="14"/>
                <w:szCs w:val="14"/>
                <w:color w:val="0000FF"/>
              </w:rPr>
              <w:t>Condensed Consolidated Statements of Operations for the Three and Six Months Ended July 31, 2024 and 2025</w:t>
            </w:r>
          </w:p>
        </w:tc>
        <w:tc>
          <w:tcPr>
            <w:tcW w:w="5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0000FF"/>
                <w:w w:val="97"/>
              </w:rPr>
              <w:t>F-36</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420" w:type="dxa"/>
            <w:vAlign w:val="bottom"/>
            <w:gridSpan w:val="13"/>
          </w:tcPr>
          <w:p>
            <w:pPr>
              <w:spacing w:after="0" w:line="159" w:lineRule="exact"/>
              <w:rPr>
                <w:sz w:val="20"/>
                <w:szCs w:val="20"/>
                <w:color w:val="auto"/>
              </w:rPr>
            </w:pPr>
            <w:r>
              <w:rPr>
                <w:rFonts w:ascii="Arial" w:cs="Arial" w:eastAsia="Arial" w:hAnsi="Arial"/>
                <w:sz w:val="14"/>
                <w:szCs w:val="14"/>
                <w:color w:val="0000FF"/>
              </w:rPr>
              <w:t>Condensed Consolidated Statements of Redeemable Convertible Preferred Stock and Stockholders’ Equity (Deficit) for the Three and Six Months Ended July 31, 2024</w:t>
            </w:r>
          </w:p>
        </w:tc>
        <w:tc>
          <w:tcPr>
            <w:tcW w:w="540" w:type="dxa"/>
            <w:vAlign w:val="bottom"/>
          </w:tcPr>
          <w:p>
            <w:pPr>
              <w:spacing w:after="0"/>
              <w:rPr>
                <w:sz w:val="13"/>
                <w:szCs w:val="13"/>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color w:val="0000FF"/>
                <w:w w:val="97"/>
              </w:rPr>
              <w:t>F-37</w:t>
            </w:r>
          </w:p>
        </w:tc>
        <w:tc>
          <w:tcPr>
            <w:tcW w:w="0" w:type="dxa"/>
            <w:vAlign w:val="bottom"/>
          </w:tcPr>
          <w:p>
            <w:pPr>
              <w:spacing w:after="0"/>
              <w:rPr>
                <w:sz w:val="1"/>
                <w:szCs w:val="1"/>
                <w:color w:val="auto"/>
              </w:rPr>
            </w:pPr>
          </w:p>
        </w:tc>
      </w:tr>
      <w:tr>
        <w:trPr>
          <w:trHeight w:val="117"/>
        </w:trPr>
        <w:tc>
          <w:tcPr>
            <w:tcW w:w="120" w:type="dxa"/>
            <w:vAlign w:val="bottom"/>
            <w:tcBorders>
              <w:top w:val="single" w:sz="8" w:color="0000FF"/>
            </w:tcBorders>
          </w:tcPr>
          <w:p>
            <w:pPr>
              <w:spacing w:after="0"/>
              <w:rPr>
                <w:sz w:val="10"/>
                <w:szCs w:val="10"/>
                <w:color w:val="auto"/>
              </w:rPr>
            </w:pPr>
          </w:p>
        </w:tc>
        <w:tc>
          <w:tcPr>
            <w:tcW w:w="10220" w:type="dxa"/>
            <w:vAlign w:val="bottom"/>
            <w:tcBorders>
              <w:top w:val="single" w:sz="8" w:color="0000FF"/>
            </w:tcBorders>
            <w:gridSpan w:val="11"/>
          </w:tcPr>
          <w:p>
            <w:pPr>
              <w:spacing w:after="0" w:line="106" w:lineRule="exact"/>
              <w:rPr>
                <w:sz w:val="20"/>
                <w:szCs w:val="20"/>
                <w:color w:val="auto"/>
              </w:rPr>
            </w:pPr>
            <w:r>
              <w:rPr>
                <w:rFonts w:ascii="Arial" w:cs="Arial" w:eastAsia="Arial" w:hAnsi="Arial"/>
                <w:sz w:val="12"/>
                <w:szCs w:val="12"/>
                <w:color w:val="0000FF"/>
              </w:rPr>
              <w:t>and 2025</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160" w:type="dxa"/>
            <w:vAlign w:val="bottom"/>
            <w:gridSpan w:val="7"/>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360" w:type="dxa"/>
            <w:vAlign w:val="bottom"/>
            <w:gridSpan w:val="10"/>
          </w:tcPr>
          <w:p>
            <w:pPr>
              <w:spacing w:after="0"/>
              <w:rPr>
                <w:sz w:val="20"/>
                <w:szCs w:val="20"/>
                <w:color w:val="auto"/>
              </w:rPr>
            </w:pPr>
            <w:r>
              <w:rPr>
                <w:rFonts w:ascii="Arial" w:cs="Arial" w:eastAsia="Arial" w:hAnsi="Arial"/>
                <w:sz w:val="14"/>
                <w:szCs w:val="14"/>
                <w:color w:val="0000FF"/>
                <w:w w:val="99"/>
              </w:rPr>
              <w:t>Condensed Consolidated Statements of Cash Flows for the Six Months Ended July 31, 2024 and 2025</w:t>
            </w:r>
          </w:p>
        </w:tc>
        <w:tc>
          <w:tcPr>
            <w:tcW w:w="406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color w:val="0000FF"/>
                <w:w w:val="97"/>
              </w:rPr>
              <w:t>F-39</w:t>
            </w:r>
          </w:p>
        </w:tc>
        <w:tc>
          <w:tcPr>
            <w:tcW w:w="0" w:type="dxa"/>
            <w:vAlign w:val="bottom"/>
          </w:tcPr>
          <w:p>
            <w:pPr>
              <w:spacing w:after="0"/>
              <w:rPr>
                <w:sz w:val="1"/>
                <w:szCs w:val="1"/>
                <w:color w:val="auto"/>
              </w:rPr>
            </w:pPr>
          </w:p>
        </w:tc>
      </w:tr>
      <w:tr>
        <w:trPr>
          <w:trHeight w:val="20"/>
        </w:trPr>
        <w:tc>
          <w:tcPr>
            <w:tcW w:w="4160" w:type="dxa"/>
            <w:vAlign w:val="bottom"/>
            <w:gridSpan w:val="7"/>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60" w:type="dxa"/>
            <w:vAlign w:val="bottom"/>
            <w:gridSpan w:val="7"/>
          </w:tcPr>
          <w:p>
            <w:pPr>
              <w:spacing w:after="0" w:line="159" w:lineRule="exact"/>
              <w:rPr>
                <w:sz w:val="20"/>
                <w:szCs w:val="20"/>
                <w:color w:val="auto"/>
              </w:rPr>
            </w:pPr>
            <w:r>
              <w:rPr>
                <w:rFonts w:ascii="Arial" w:cs="Arial" w:eastAsia="Arial" w:hAnsi="Arial"/>
                <w:sz w:val="14"/>
                <w:szCs w:val="14"/>
                <w:color w:val="0000FF"/>
                <w:w w:val="99"/>
              </w:rPr>
              <w:t>Notes to Unaudited Condensed Consolidated Financial Statements</w:t>
            </w:r>
          </w:p>
        </w:tc>
        <w:tc>
          <w:tcPr>
            <w:tcW w:w="2200" w:type="dxa"/>
            <w:vAlign w:val="bottom"/>
            <w:gridSpan w:val="3"/>
          </w:tcPr>
          <w:p>
            <w:pPr>
              <w:spacing w:after="0"/>
              <w:rPr>
                <w:sz w:val="13"/>
                <w:szCs w:val="13"/>
                <w:color w:val="auto"/>
              </w:rPr>
            </w:pPr>
          </w:p>
        </w:tc>
        <w:tc>
          <w:tcPr>
            <w:tcW w:w="406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gridSpan w:val="3"/>
          </w:tcPr>
          <w:p>
            <w:pPr>
              <w:jc w:val="right"/>
              <w:spacing w:after="0" w:line="159" w:lineRule="exact"/>
              <w:rPr>
                <w:sz w:val="20"/>
                <w:szCs w:val="20"/>
                <w:color w:val="auto"/>
              </w:rPr>
            </w:pPr>
            <w:r>
              <w:rPr>
                <w:rFonts w:ascii="Arial" w:cs="Arial" w:eastAsia="Arial" w:hAnsi="Arial"/>
                <w:sz w:val="14"/>
                <w:szCs w:val="14"/>
                <w:color w:val="0000FF"/>
                <w:w w:val="97"/>
              </w:rPr>
              <w:t>F-41</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ectPr>
          <w:pgSz w:w="11900" w:h="16838" w:orient="portrait"/>
          <w:cols w:equalWidth="0" w:num="1">
            <w:col w:w="11280"/>
          </w:cols>
          <w:pgMar w:left="300" w:top="209" w:right="319" w:bottom="1440" w:gutter="0" w:footer="0" w:header="0"/>
        </w:sectPr>
      </w:pPr>
    </w:p>
    <w:bookmarkStart w:id="272" w:name="page273"/>
    <w:bookmarkEnd w:id="2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260" w:firstLine="3270"/>
        <w:spacing w:after="0" w:line="536"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Shareholders and the Board of Directors of Wealthfront Corporation </w:t>
      </w:r>
      <w:r>
        <w:rPr>
          <w:rFonts w:ascii="Arial" w:cs="Arial" w:eastAsia="Arial" w:hAnsi="Arial"/>
          <w:sz w:val="14"/>
          <w:szCs w:val="14"/>
          <w:b w:val="1"/>
          <w:bCs w:val="1"/>
          <w:color w:val="auto"/>
        </w:rPr>
        <w:t>Opinion on the Financial Statements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audited the accompanying consolidated balance sheets of Wealthfront Corporation (the Company) as of January 31, 2024 and 2025, the related consolidated statements of operations, redeemable convertible preferred stock and stockholders’ equity (deficit) and cash flows for each of the two years in the period ended January 31, 2025, and the related notes (collectively referred to as the “consolidated financial statements”). In our opinion, the consolidated financial statements present fairly, in all material respects, the financial position of the Company at January 31, 2024 and 2025, and the results of its operations and its cash flows for each of the two years in the period ended January 31, 2025, in conformity with U.S. generally accepted accounting principles.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June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280"/>
          </w:cols>
          <w:pgMar w:left="300" w:top="209" w:right="319" w:bottom="1440" w:gutter="0" w:footer="0" w:header="0"/>
        </w:sectPr>
      </w:pPr>
    </w:p>
    <w:bookmarkStart w:id="273" w:name="page274"/>
    <w:bookmarkEnd w:id="273"/>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and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0"/>
                <w:szCs w:val="10"/>
                <w:b w:val="1"/>
                <w:bCs w:val="1"/>
                <w:color w:val="auto"/>
              </w:rPr>
              <w:t>January 31,</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rPr>
              <w:t>2024</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24"/>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9"/>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980" w:type="dxa"/>
            <w:vAlign w:val="bottom"/>
            <w:shd w:val="clear" w:color="auto" w:fill="CCEEFF"/>
          </w:tcPr>
          <w:p>
            <w:pPr>
              <w:jc w:val="right"/>
              <w:ind w:right="845"/>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86,721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142,860</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Cash segregated and on deposit for regulatory purposes</w:t>
            </w:r>
          </w:p>
        </w:tc>
        <w:tc>
          <w:tcPr>
            <w:tcW w:w="98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6,461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9,083</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from clients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69,466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118,518</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Accounts receivable</w:t>
            </w:r>
          </w:p>
        </w:tc>
        <w:tc>
          <w:tcPr>
            <w:tcW w:w="98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20,181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29,127</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Client-held fractional shares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9,024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28,057</w:t>
            </w:r>
          </w:p>
        </w:tc>
        <w:tc>
          <w:tcPr>
            <w:tcW w:w="0" w:type="dxa"/>
            <w:vAlign w:val="bottom"/>
          </w:tcPr>
          <w:p>
            <w:pPr>
              <w:spacing w:after="0"/>
              <w:rPr>
                <w:sz w:val="1"/>
                <w:szCs w:val="1"/>
                <w:color w:val="auto"/>
              </w:rPr>
            </w:pPr>
          </w:p>
        </w:tc>
      </w:tr>
      <w:tr>
        <w:trPr>
          <w:trHeight w:val="155"/>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current assets</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8,708</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18,805</w:t>
            </w:r>
          </w:p>
        </w:tc>
        <w:tc>
          <w:tcPr>
            <w:tcW w:w="0" w:type="dxa"/>
            <w:vAlign w:val="bottom"/>
          </w:tcPr>
          <w:p>
            <w:pPr>
              <w:spacing w:after="0"/>
              <w:rPr>
                <w:sz w:val="1"/>
                <w:szCs w:val="1"/>
                <w:color w:val="auto"/>
              </w:rPr>
            </w:pPr>
          </w:p>
        </w:tc>
      </w:tr>
      <w:tr>
        <w:trPr>
          <w:trHeight w:val="151"/>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200,561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346,450</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Deferred tax assets, net</w:t>
            </w: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60,194</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14,295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11,229</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Property, software, and equipment, net</w:t>
            </w:r>
          </w:p>
        </w:tc>
        <w:tc>
          <w:tcPr>
            <w:tcW w:w="98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13,479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14,723</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9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2,817</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2,610</w:t>
            </w:r>
          </w:p>
        </w:tc>
        <w:tc>
          <w:tcPr>
            <w:tcW w:w="0" w:type="dxa"/>
            <w:vAlign w:val="bottom"/>
          </w:tcPr>
          <w:p>
            <w:pPr>
              <w:spacing w:after="0"/>
              <w:rPr>
                <w:sz w:val="1"/>
                <w:szCs w:val="1"/>
                <w:color w:val="auto"/>
              </w:rPr>
            </w:pPr>
          </w:p>
        </w:tc>
      </w:tr>
      <w:tr>
        <w:trPr>
          <w:trHeight w:val="151"/>
        </w:trPr>
        <w:tc>
          <w:tcPr>
            <w:tcW w:w="8060" w:type="dxa"/>
            <w:vAlign w:val="bottom"/>
          </w:tcPr>
          <w:p>
            <w:pPr>
              <w:ind w:left="360"/>
              <w:spacing w:after="0"/>
              <w:rPr>
                <w:sz w:val="20"/>
                <w:szCs w:val="20"/>
                <w:color w:val="auto"/>
              </w:rPr>
            </w:pPr>
            <w:r>
              <w:rPr>
                <w:rFonts w:ascii="Arial" w:cs="Arial" w:eastAsia="Arial" w:hAnsi="Arial"/>
                <w:sz w:val="11"/>
                <w:szCs w:val="11"/>
                <w:color w:val="auto"/>
              </w:rPr>
              <w:t>Total assets</w:t>
            </w:r>
          </w:p>
        </w:tc>
        <w:tc>
          <w:tcPr>
            <w:tcW w:w="980" w:type="dxa"/>
            <w:vAlign w:val="bottom"/>
            <w:tcBorders>
              <w:bottom w:val="single" w:sz="8" w:color="auto"/>
            </w:tcBorders>
          </w:tcPr>
          <w:p>
            <w:pPr>
              <w:jc w:val="right"/>
              <w:ind w:right="845"/>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231,152</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435,206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0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Liabilities, redeemable convertible preferred stock, and stockholders’ deficit</w:t>
            </w:r>
          </w:p>
        </w:tc>
        <w:tc>
          <w:tcPr>
            <w:tcW w:w="9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payable</w:t>
            </w:r>
          </w:p>
        </w:tc>
        <w:tc>
          <w:tcPr>
            <w:tcW w:w="980" w:type="dxa"/>
            <w:vAlign w:val="bottom"/>
            <w:shd w:val="clear" w:color="auto" w:fill="CCEEFF"/>
          </w:tcPr>
          <w:p>
            <w:pPr>
              <w:jc w:val="right"/>
              <w:ind w:right="845"/>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3,180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6,467</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Accrued liabilities</w:t>
            </w:r>
          </w:p>
        </w:tc>
        <w:tc>
          <w:tcPr>
            <w:tcW w:w="98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5,570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7,517</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to clients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2,325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9,452</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Payable to clearing broker</w:t>
            </w:r>
          </w:p>
        </w:tc>
        <w:tc>
          <w:tcPr>
            <w:tcW w:w="98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69,413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118,174</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Current portion of operating lease liabilities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3,397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3,556</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Convertible note, at fair value</w:t>
            </w:r>
          </w:p>
        </w:tc>
        <w:tc>
          <w:tcPr>
            <w:tcW w:w="98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46,953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Fractional shares repurchase obligation</w:t>
            </w:r>
          </w:p>
        </w:tc>
        <w:tc>
          <w:tcPr>
            <w:tcW w:w="9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9,024</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28,057</w:t>
            </w:r>
          </w:p>
        </w:tc>
        <w:tc>
          <w:tcPr>
            <w:tcW w:w="0" w:type="dxa"/>
            <w:vAlign w:val="bottom"/>
          </w:tcPr>
          <w:p>
            <w:pPr>
              <w:spacing w:after="0"/>
              <w:rPr>
                <w:sz w:val="1"/>
                <w:szCs w:val="1"/>
                <w:color w:val="auto"/>
              </w:rPr>
            </w:pPr>
          </w:p>
        </w:tc>
      </w:tr>
      <w:tr>
        <w:trPr>
          <w:trHeight w:val="145"/>
        </w:trPr>
        <w:tc>
          <w:tcPr>
            <w:tcW w:w="8060" w:type="dxa"/>
            <w:vAlign w:val="bottom"/>
          </w:tcPr>
          <w:p>
            <w:pPr>
              <w:ind w:left="360"/>
              <w:spacing w:after="0"/>
              <w:rPr>
                <w:sz w:val="20"/>
                <w:szCs w:val="20"/>
                <w:color w:val="auto"/>
              </w:rPr>
            </w:pPr>
            <w:r>
              <w:rPr>
                <w:rFonts w:ascii="Arial" w:cs="Arial" w:eastAsia="Arial" w:hAnsi="Arial"/>
                <w:sz w:val="11"/>
                <w:szCs w:val="11"/>
                <w:color w:val="auto"/>
              </w:rPr>
              <w:t>Total current liabilities</w:t>
            </w:r>
          </w:p>
        </w:tc>
        <w:tc>
          <w:tcPr>
            <w:tcW w:w="980" w:type="dxa"/>
            <w:vAlign w:val="bottom"/>
          </w:tcPr>
          <w:p>
            <w:pPr>
              <w:spacing w:after="0"/>
              <w:rPr>
                <w:sz w:val="12"/>
                <w:szCs w:val="12"/>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139,862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173,223</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 net of current portion</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13,351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9,796</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Related-party long-term debt</w:t>
            </w:r>
          </w:p>
        </w:tc>
        <w:tc>
          <w:tcPr>
            <w:tcW w:w="98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23,921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liabilities</w:t>
            </w:r>
          </w:p>
        </w:tc>
        <w:tc>
          <w:tcPr>
            <w:tcW w:w="9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7,675</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9,651</w:t>
            </w:r>
          </w:p>
        </w:tc>
        <w:tc>
          <w:tcPr>
            <w:tcW w:w="0" w:type="dxa"/>
            <w:vAlign w:val="bottom"/>
          </w:tcPr>
          <w:p>
            <w:pPr>
              <w:spacing w:after="0"/>
              <w:rPr>
                <w:sz w:val="1"/>
                <w:szCs w:val="1"/>
                <w:color w:val="auto"/>
              </w:rPr>
            </w:pPr>
          </w:p>
        </w:tc>
      </w:tr>
      <w:tr>
        <w:trPr>
          <w:trHeight w:val="14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liabilities</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184,809</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192,670</w:t>
            </w:r>
          </w:p>
        </w:tc>
        <w:tc>
          <w:tcPr>
            <w:tcW w:w="0" w:type="dxa"/>
            <w:vAlign w:val="bottom"/>
          </w:tcPr>
          <w:p>
            <w:pPr>
              <w:spacing w:after="0"/>
              <w:rPr>
                <w:sz w:val="1"/>
                <w:szCs w:val="1"/>
                <w:color w:val="auto"/>
              </w:rPr>
            </w:pPr>
          </w:p>
        </w:tc>
      </w:tr>
      <w:tr>
        <w:trPr>
          <w:trHeight w:val="14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8)</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060" w:type="dxa"/>
            <w:vAlign w:val="bottom"/>
          </w:tcPr>
          <w:p>
            <w:pPr>
              <w:ind w:left="20"/>
              <w:spacing w:after="0" w:line="120" w:lineRule="exact"/>
              <w:rPr>
                <w:sz w:val="20"/>
                <w:szCs w:val="20"/>
                <w:color w:val="auto"/>
              </w:rPr>
            </w:pPr>
            <w:r>
              <w:rPr>
                <w:rFonts w:ascii="Arial" w:cs="Arial" w:eastAsia="Arial" w:hAnsi="Arial"/>
                <w:sz w:val="11"/>
                <w:szCs w:val="11"/>
                <w:color w:val="auto"/>
              </w:rPr>
              <w:t>Redeemable convertible preferred stock, $0.0001 par value per share; 85,490,483 shares authorized as of January 31, 2024 and 2025; 69,914,359 shares issued</w:t>
            </w:r>
          </w:p>
        </w:tc>
        <w:tc>
          <w:tcPr>
            <w:tcW w:w="980" w:type="dxa"/>
            <w:vAlign w:val="bottom"/>
          </w:tcPr>
          <w:p>
            <w:pPr>
              <w:spacing w:after="0"/>
              <w:rPr>
                <w:sz w:val="10"/>
                <w:szCs w:val="10"/>
                <w:color w:val="auto"/>
              </w:rPr>
            </w:pP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rPr>
              <w:t>227,198</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1"/>
                <w:szCs w:val="11"/>
                <w:color w:val="auto"/>
              </w:rPr>
              <w:t>227,198</w:t>
            </w:r>
          </w:p>
        </w:tc>
        <w:tc>
          <w:tcPr>
            <w:tcW w:w="0" w:type="dxa"/>
            <w:vAlign w:val="bottom"/>
          </w:tcPr>
          <w:p>
            <w:pPr>
              <w:spacing w:after="0"/>
              <w:rPr>
                <w:sz w:val="1"/>
                <w:szCs w:val="1"/>
                <w:color w:val="auto"/>
              </w:rPr>
            </w:pPr>
          </w:p>
        </w:tc>
      </w:tr>
      <w:tr>
        <w:trPr>
          <w:trHeight w:val="143"/>
        </w:trPr>
        <w:tc>
          <w:tcPr>
            <w:tcW w:w="8060" w:type="dxa"/>
            <w:vAlign w:val="bottom"/>
          </w:tcPr>
          <w:p>
            <w:pPr>
              <w:ind w:left="140"/>
              <w:spacing w:after="0"/>
              <w:rPr>
                <w:sz w:val="20"/>
                <w:szCs w:val="20"/>
                <w:color w:val="auto"/>
              </w:rPr>
            </w:pPr>
            <w:r>
              <w:rPr>
                <w:rFonts w:ascii="Arial" w:cs="Arial" w:eastAsia="Arial" w:hAnsi="Arial"/>
                <w:sz w:val="11"/>
                <w:szCs w:val="11"/>
                <w:color w:val="auto"/>
              </w:rPr>
              <w:t>and outstanding as of January 31, 2024 and 2025; aggregate liquidation preference of $229,543 as of January 31, 2024 and 2025</w:t>
            </w:r>
          </w:p>
        </w:tc>
        <w:tc>
          <w:tcPr>
            <w:tcW w:w="9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8060" w:type="dxa"/>
            <w:vAlign w:val="bottom"/>
          </w:tcPr>
          <w:p>
            <w:pPr>
              <w:ind w:left="20"/>
              <w:spacing w:after="0" w:line="120" w:lineRule="exact"/>
              <w:rPr>
                <w:sz w:val="20"/>
                <w:szCs w:val="20"/>
                <w:color w:val="auto"/>
              </w:rPr>
            </w:pPr>
            <w:r>
              <w:rPr>
                <w:rFonts w:ascii="Arial" w:cs="Arial" w:eastAsia="Arial" w:hAnsi="Arial"/>
                <w:sz w:val="11"/>
                <w:szCs w:val="11"/>
                <w:color w:val="auto"/>
              </w:rPr>
              <w:t>Common stock, $0.0001 par value per share; 214,611,134 shares authorized as of January 31, 2024 and 2025; 38,960,555 and 40,110,106 shares issued and</w:t>
            </w:r>
          </w:p>
        </w:tc>
        <w:tc>
          <w:tcPr>
            <w:tcW w:w="980" w:type="dxa"/>
            <w:vAlign w:val="bottom"/>
          </w:tcPr>
          <w:p>
            <w:pPr>
              <w:spacing w:after="0"/>
              <w:rPr>
                <w:sz w:val="10"/>
                <w:szCs w:val="10"/>
                <w:color w:val="auto"/>
              </w:rPr>
            </w:pP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3"/>
        </w:trPr>
        <w:tc>
          <w:tcPr>
            <w:tcW w:w="8060" w:type="dxa"/>
            <w:vAlign w:val="bottom"/>
          </w:tcPr>
          <w:p>
            <w:pPr>
              <w:ind w:left="140"/>
              <w:spacing w:after="0"/>
              <w:rPr>
                <w:sz w:val="20"/>
                <w:szCs w:val="20"/>
                <w:color w:val="auto"/>
              </w:rPr>
            </w:pPr>
            <w:r>
              <w:rPr>
                <w:rFonts w:ascii="Arial" w:cs="Arial" w:eastAsia="Arial" w:hAnsi="Arial"/>
                <w:sz w:val="11"/>
                <w:szCs w:val="11"/>
                <w:color w:val="auto"/>
              </w:rPr>
              <w:t>outstanding as of January 31, 2024 and 2025, respectively</w:t>
            </w:r>
          </w:p>
        </w:tc>
        <w:tc>
          <w:tcPr>
            <w:tcW w:w="9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stock, at cost; 0 and 1,422,493 shares held as of January 31, 2024 and 2025, respectively</w:t>
            </w:r>
          </w:p>
        </w:tc>
        <w:tc>
          <w:tcPr>
            <w:tcW w:w="9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(12,593)</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98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113,523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127,862</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9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(294,382)</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(99,935)</w:t>
            </w:r>
          </w:p>
        </w:tc>
        <w:tc>
          <w:tcPr>
            <w:tcW w:w="0" w:type="dxa"/>
            <w:vAlign w:val="bottom"/>
          </w:tcPr>
          <w:p>
            <w:pPr>
              <w:spacing w:after="0"/>
              <w:rPr>
                <w:sz w:val="1"/>
                <w:szCs w:val="1"/>
                <w:color w:val="auto"/>
              </w:rPr>
            </w:pPr>
          </w:p>
        </w:tc>
      </w:tr>
      <w:tr>
        <w:trPr>
          <w:trHeight w:val="145"/>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stockholders’ equity (deficit)</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(180,855)</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15,338</w:t>
            </w:r>
          </w:p>
        </w:tc>
        <w:tc>
          <w:tcPr>
            <w:tcW w:w="0" w:type="dxa"/>
            <w:vAlign w:val="bottom"/>
          </w:tcPr>
          <w:p>
            <w:pPr>
              <w:spacing w:after="0"/>
              <w:rPr>
                <w:sz w:val="1"/>
                <w:szCs w:val="1"/>
                <w:color w:val="auto"/>
              </w:rPr>
            </w:pPr>
          </w:p>
        </w:tc>
      </w:tr>
      <w:tr>
        <w:trPr>
          <w:trHeight w:val="176"/>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liabilities, redeemable convertible preferred stock, and stockholders’ equity (deficit)</w:t>
            </w:r>
          </w:p>
        </w:tc>
        <w:tc>
          <w:tcPr>
            <w:tcW w:w="98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231,152</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435,206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280"/>
          </w:cols>
          <w:pgMar w:left="300" w:top="209" w:right="319" w:bottom="1440" w:gutter="0" w:footer="0" w:header="0"/>
        </w:sectPr>
      </w:pPr>
    </w:p>
    <w:bookmarkStart w:id="274" w:name="page275"/>
    <w:bookmarkEnd w:id="274"/>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33"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(in thousands, except per share and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1"/>
                <w:szCs w:val="11"/>
                <w:b w:val="1"/>
                <w:bCs w:val="1"/>
                <w:color w:val="auto"/>
              </w:rPr>
              <w:t>Fiscal Year Ended January 31,</w:t>
            </w:r>
          </w:p>
        </w:tc>
        <w:tc>
          <w:tcPr>
            <w:tcW w:w="0" w:type="dxa"/>
            <w:vAlign w:val="bottom"/>
          </w:tcPr>
          <w:p>
            <w:pPr>
              <w:spacing w:after="0"/>
              <w:rPr>
                <w:sz w:val="1"/>
                <w:szCs w:val="1"/>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Cash management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154,800</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230,946</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advisory</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56,095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4,868</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216,714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308,859</w:t>
            </w:r>
          </w:p>
        </w:tc>
        <w:tc>
          <w:tcPr>
            <w:tcW w:w="0" w:type="dxa"/>
            <w:vAlign w:val="bottom"/>
          </w:tcPr>
          <w:p>
            <w:pPr>
              <w:spacing w:after="0"/>
              <w:rPr>
                <w:sz w:val="1"/>
                <w:szCs w:val="1"/>
                <w:color w:val="auto"/>
              </w:rPr>
            </w:pP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color w:val="auto"/>
              </w:rPr>
              <w:t>Costs and operating expenses: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30,964</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57,558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64,515</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29,092</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Marketing</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21,150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52,196</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 and support</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10,619</w:t>
            </w:r>
          </w:p>
        </w:tc>
        <w:tc>
          <w:tcPr>
            <w:tcW w:w="0" w:type="dxa"/>
            <w:vAlign w:val="bottom"/>
          </w:tcPr>
          <w:p>
            <w:pPr>
              <w:spacing w:after="0"/>
              <w:rPr>
                <w:sz w:val="1"/>
                <w:szCs w:val="1"/>
                <w:color w:val="auto"/>
              </w:rPr>
            </w:pPr>
          </w:p>
        </w:tc>
      </w:tr>
      <w:tr>
        <w:trPr>
          <w:trHeight w:val="169"/>
        </w:trPr>
        <w:tc>
          <w:tcPr>
            <w:tcW w:w="8060" w:type="dxa"/>
            <w:vAlign w:val="bottom"/>
          </w:tcPr>
          <w:p>
            <w:pPr>
              <w:ind w:left="360"/>
              <w:spacing w:after="0"/>
              <w:rPr>
                <w:sz w:val="20"/>
                <w:szCs w:val="20"/>
                <w:color w:val="auto"/>
              </w:rPr>
            </w:pPr>
            <w:r>
              <w:rPr>
                <w:rFonts w:ascii="Arial" w:cs="Arial" w:eastAsia="Arial" w:hAnsi="Arial"/>
                <w:sz w:val="14"/>
                <w:szCs w:val="14"/>
                <w:color w:val="auto"/>
              </w:rPr>
              <w:t>Total costs and operating expenses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135,139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187,386</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(20,566)</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before income taxes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78,589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139,229</w:t>
            </w:r>
          </w:p>
        </w:tc>
        <w:tc>
          <w:tcPr>
            <w:tcW w:w="0" w:type="dxa"/>
            <w:vAlign w:val="bottom"/>
          </w:tcPr>
          <w:p>
            <w:pPr>
              <w:spacing w:after="0"/>
              <w:rPr>
                <w:sz w:val="1"/>
                <w:szCs w:val="1"/>
                <w:color w:val="auto"/>
              </w:rPr>
            </w:pPr>
          </w:p>
        </w:tc>
      </w:tr>
      <w:tr>
        <w:trPr>
          <w:trHeight w:val="16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(55,218)</w:t>
            </w:r>
          </w:p>
        </w:tc>
        <w:tc>
          <w:tcPr>
            <w:tcW w:w="0" w:type="dxa"/>
            <w:vAlign w:val="bottom"/>
          </w:tcPr>
          <w:p>
            <w:pPr>
              <w:spacing w:after="0"/>
              <w:rPr>
                <w:sz w:val="1"/>
                <w:szCs w:val="1"/>
                <w:color w:val="auto"/>
              </w:rPr>
            </w:pP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76,966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194,447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share: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color w:val="auto"/>
              </w:rPr>
              <w:t>Weighted-average shares outstanding used in computing 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37,297,221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38,990,556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60" w:type="dxa"/>
            <w:vAlign w:val="bottom"/>
          </w:tcPr>
          <w:p>
            <w:pPr>
              <w:ind w:left="180"/>
              <w:spacing w:after="0" w:line="141" w:lineRule="exact"/>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143,878,296</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138,660,318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280"/>
          </w:cols>
          <w:pgMar w:left="300" w:top="209" w:right="319"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 PREFERRED STOCK AND STOCKHOLDERS’ EQUITY (DEFICIT)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2120" w:type="dxa"/>
            <w:vAlign w:val="bottom"/>
            <w:tcBorders>
              <w:right w:val="single" w:sz="8" w:color="auto"/>
            </w:tcBorders>
            <w:gridSpan w:val="4"/>
          </w:tcPr>
          <w:p>
            <w:pPr>
              <w:jc w:val="right"/>
              <w:ind w:right="111"/>
              <w:spacing w:after="0"/>
              <w:rPr>
                <w:sz w:val="20"/>
                <w:szCs w:val="20"/>
                <w:color w:val="auto"/>
              </w:rPr>
            </w:pPr>
            <w:r>
              <w:rPr>
                <w:rFonts w:ascii="Arial" w:cs="Arial" w:eastAsia="Arial" w:hAnsi="Arial"/>
                <w:sz w:val="11"/>
                <w:szCs w:val="11"/>
                <w:b w:val="1"/>
                <w:bCs w:val="1"/>
                <w:color w:val="auto"/>
              </w:rPr>
              <w:t>Redeemable Convertible Preferred</w:t>
            </w:r>
          </w:p>
        </w:tc>
        <w:tc>
          <w:tcPr>
            <w:tcW w:w="40" w:type="dxa"/>
            <w:vAlign w:val="bottom"/>
          </w:tcPr>
          <w:p>
            <w:pPr>
              <w:spacing w:after="0"/>
              <w:rPr>
                <w:sz w:val="16"/>
                <w:szCs w:val="16"/>
                <w:color w:val="auto"/>
              </w:rPr>
            </w:pPr>
          </w:p>
        </w:tc>
        <w:tc>
          <w:tcPr>
            <w:tcW w:w="1800" w:type="dxa"/>
            <w:vAlign w:val="bottom"/>
            <w:gridSpan w:val="3"/>
            <w:vMerge w:val="restart"/>
          </w:tcPr>
          <w:p>
            <w:pPr>
              <w:jc w:val="right"/>
              <w:ind w:right="293"/>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center"/>
              <w:ind w:right="3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3"/>
        </w:trPr>
        <w:tc>
          <w:tcPr>
            <w:tcW w:w="2880" w:type="dxa"/>
            <w:vAlign w:val="bottom"/>
          </w:tcPr>
          <w:p>
            <w:pPr>
              <w:spacing w:after="0"/>
              <w:rPr>
                <w:sz w:val="4"/>
                <w:szCs w:val="4"/>
                <w:color w:val="auto"/>
              </w:rPr>
            </w:pPr>
          </w:p>
        </w:tc>
        <w:tc>
          <w:tcPr>
            <w:tcW w:w="1240" w:type="dxa"/>
            <w:vAlign w:val="bottom"/>
            <w:gridSpan w:val="3"/>
            <w:vMerge w:val="restart"/>
          </w:tcPr>
          <w:p>
            <w:pPr>
              <w:jc w:val="right"/>
              <w:ind w:right="10"/>
              <w:spacing w:after="0" w:line="123" w:lineRule="exact"/>
              <w:rPr>
                <w:sz w:val="20"/>
                <w:szCs w:val="20"/>
                <w:color w:val="auto"/>
              </w:rPr>
            </w:pPr>
            <w:r>
              <w:rPr>
                <w:rFonts w:ascii="Arial" w:cs="Arial" w:eastAsia="Arial" w:hAnsi="Arial"/>
                <w:sz w:val="11"/>
                <w:szCs w:val="11"/>
                <w:b w:val="1"/>
                <w:bCs w:val="1"/>
                <w:color w:val="auto"/>
              </w:rPr>
              <w:t>Stock</w:t>
            </w:r>
          </w:p>
        </w:tc>
        <w:tc>
          <w:tcPr>
            <w:tcW w:w="88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80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3"/>
          </w:tcPr>
          <w:p>
            <w:pPr>
              <w:ind w:left="20"/>
              <w:spacing w:after="0" w:line="91" w:lineRule="exact"/>
              <w:rPr>
                <w:sz w:val="20"/>
                <w:szCs w:val="20"/>
                <w:color w:val="auto"/>
              </w:rPr>
            </w:pPr>
            <w:r>
              <w:rPr>
                <w:rFonts w:ascii="Arial" w:cs="Arial" w:eastAsia="Arial" w:hAnsi="Arial"/>
                <w:sz w:val="10"/>
                <w:szCs w:val="10"/>
                <w:b w:val="1"/>
                <w:bCs w:val="1"/>
                <w:color w:val="auto"/>
              </w:rPr>
              <w:t>Additional Paid-in</w:t>
            </w:r>
          </w:p>
        </w:tc>
        <w:tc>
          <w:tcPr>
            <w:tcW w:w="120" w:type="dxa"/>
            <w:vAlign w:val="bottom"/>
          </w:tcPr>
          <w:p>
            <w:pPr>
              <w:spacing w:after="0"/>
              <w:rPr>
                <w:sz w:val="7"/>
                <w:szCs w:val="7"/>
                <w:color w:val="auto"/>
              </w:rPr>
            </w:pPr>
          </w:p>
        </w:tc>
        <w:tc>
          <w:tcPr>
            <w:tcW w:w="940" w:type="dxa"/>
            <w:vAlign w:val="bottom"/>
            <w:gridSpan w:val="2"/>
          </w:tcPr>
          <w:p>
            <w:pPr>
              <w:jc w:val="center"/>
              <w:ind w:right="180"/>
              <w:spacing w:after="0" w:line="91"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7"/>
                <w:szCs w:val="7"/>
                <w:color w:val="auto"/>
              </w:rPr>
            </w:pPr>
          </w:p>
        </w:tc>
        <w:tc>
          <w:tcPr>
            <w:tcW w:w="880" w:type="dxa"/>
            <w:vAlign w:val="bottom"/>
          </w:tcPr>
          <w:p>
            <w:pPr>
              <w:jc w:val="center"/>
              <w:ind w:right="33"/>
              <w:spacing w:after="0" w:line="91"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4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880" w:type="dxa"/>
            <w:vAlign w:val="bottom"/>
            <w:tcBorders>
              <w:right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10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Treasury Stock</w:t>
            </w:r>
          </w:p>
        </w:tc>
        <w:tc>
          <w:tcPr>
            <w:tcW w:w="2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880" w:type="dxa"/>
            <w:vAlign w:val="bottom"/>
          </w:tcPr>
          <w:p>
            <w:pPr>
              <w:jc w:val="center"/>
              <w:ind w:right="33"/>
              <w:spacing w:after="0"/>
              <w:rPr>
                <w:sz w:val="20"/>
                <w:szCs w:val="20"/>
                <w:color w:val="auto"/>
              </w:rPr>
            </w:pPr>
            <w:r>
              <w:rPr>
                <w:rFonts w:ascii="Arial" w:cs="Arial" w:eastAsia="Arial" w:hAnsi="Arial"/>
                <w:sz w:val="11"/>
                <w:szCs w:val="11"/>
                <w:b w:val="1"/>
                <w:bCs w:val="1"/>
                <w:color w:val="auto"/>
              </w:rPr>
              <w:t>Equity (Deficit)</w:t>
            </w:r>
          </w:p>
        </w:tc>
        <w:tc>
          <w:tcPr>
            <w:tcW w:w="0" w:type="dxa"/>
            <w:vAlign w:val="bottom"/>
          </w:tcPr>
          <w:p>
            <w:pPr>
              <w:spacing w:after="0"/>
              <w:rPr>
                <w:sz w:val="1"/>
                <w:szCs w:val="1"/>
                <w:color w:val="auto"/>
              </w:rPr>
            </w:pPr>
          </w:p>
        </w:tc>
      </w:tr>
      <w:tr>
        <w:trPr>
          <w:trHeight w:val="16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February 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69,914,359</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right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227,198</w:t>
            </w:r>
          </w:p>
        </w:tc>
        <w:tc>
          <w:tcPr>
            <w:tcW w:w="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36,897,306</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98,793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(371,348)</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(272,551)</w:t>
            </w:r>
          </w:p>
        </w:tc>
        <w:tc>
          <w:tcPr>
            <w:tcW w:w="0" w:type="dxa"/>
            <w:vAlign w:val="bottom"/>
          </w:tcPr>
          <w:p>
            <w:pPr>
              <w:spacing w:after="0"/>
              <w:rPr>
                <w:sz w:val="1"/>
                <w:szCs w:val="1"/>
                <w:color w:val="auto"/>
              </w:rPr>
            </w:pPr>
          </w:p>
        </w:tc>
      </w:tr>
      <w:tr>
        <w:trPr>
          <w:trHeight w:val="179"/>
        </w:trPr>
        <w:tc>
          <w:tcPr>
            <w:tcW w:w="2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76,966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76,966</w:t>
            </w:r>
          </w:p>
        </w:tc>
        <w:tc>
          <w:tcPr>
            <w:tcW w:w="0" w:type="dxa"/>
            <w:vAlign w:val="bottom"/>
          </w:tcPr>
          <w:p>
            <w:pPr>
              <w:spacing w:after="0"/>
              <w:rPr>
                <w:sz w:val="1"/>
                <w:szCs w:val="1"/>
                <w:color w:val="auto"/>
              </w:rPr>
            </w:pPr>
          </w:p>
        </w:tc>
      </w:tr>
      <w:tr>
        <w:trPr>
          <w:trHeight w:val="137"/>
        </w:trPr>
        <w:tc>
          <w:tcPr>
            <w:tcW w:w="28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common stock upon exercise of</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80" w:type="dxa"/>
            <w:vAlign w:val="bottom"/>
            <w:tcBorders>
              <w:right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2,041,617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stock options</w:t>
            </w: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80" w:type="dxa"/>
            <w:vAlign w:val="bottom"/>
          </w:tcPr>
          <w:p>
            <w:pPr>
              <w:ind w:left="20"/>
              <w:spacing w:after="0" w:line="137" w:lineRule="exact"/>
              <w:rPr>
                <w:sz w:val="20"/>
                <w:szCs w:val="20"/>
                <w:color w:val="auto"/>
              </w:rPr>
            </w:pPr>
            <w:r>
              <w:rPr>
                <w:rFonts w:ascii="Arial" w:cs="Arial" w:eastAsia="Arial" w:hAnsi="Arial"/>
                <w:sz w:val="14"/>
                <w:szCs w:val="14"/>
                <w:color w:val="auto"/>
              </w:rPr>
              <w:t>Issuance of common stock upon settlement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21,632</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color w:val="auto"/>
              </w:rPr>
              <w:t>of restricted stock units (RSUs)</w:t>
            </w: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early exercise liability</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79"/>
        </w:trPr>
        <w:tc>
          <w:tcPr>
            <w:tcW w:w="28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13,255</w:t>
            </w:r>
          </w:p>
        </w:tc>
        <w:tc>
          <w:tcPr>
            <w:tcW w:w="0" w:type="dxa"/>
            <w:vAlign w:val="bottom"/>
          </w:tcPr>
          <w:p>
            <w:pPr>
              <w:spacing w:after="0"/>
              <w:rPr>
                <w:sz w:val="1"/>
                <w:szCs w:val="1"/>
                <w:color w:val="auto"/>
              </w:rPr>
            </w:pPr>
          </w:p>
        </w:tc>
      </w:tr>
      <w:tr>
        <w:trPr>
          <w:trHeight w:val="16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69,914,359</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right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227,198</w:t>
            </w:r>
          </w:p>
        </w:tc>
        <w:tc>
          <w:tcPr>
            <w:tcW w:w="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38,960,555</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113,523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(294,382)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(180,855)</w:t>
            </w:r>
          </w:p>
        </w:tc>
        <w:tc>
          <w:tcPr>
            <w:tcW w:w="0" w:type="dxa"/>
            <w:vAlign w:val="bottom"/>
          </w:tcPr>
          <w:p>
            <w:pPr>
              <w:spacing w:after="0"/>
              <w:rPr>
                <w:sz w:val="1"/>
                <w:szCs w:val="1"/>
                <w:color w:val="auto"/>
              </w:rPr>
            </w:pPr>
          </w:p>
        </w:tc>
      </w:tr>
      <w:tr>
        <w:trPr>
          <w:trHeight w:val="179"/>
        </w:trPr>
        <w:tc>
          <w:tcPr>
            <w:tcW w:w="2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194,447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194,447</w:t>
            </w:r>
          </w:p>
        </w:tc>
        <w:tc>
          <w:tcPr>
            <w:tcW w:w="0" w:type="dxa"/>
            <w:vAlign w:val="bottom"/>
          </w:tcPr>
          <w:p>
            <w:pPr>
              <w:spacing w:after="0"/>
              <w:rPr>
                <w:sz w:val="1"/>
                <w:szCs w:val="1"/>
                <w:color w:val="auto"/>
              </w:rPr>
            </w:pPr>
          </w:p>
        </w:tc>
      </w:tr>
      <w:tr>
        <w:trPr>
          <w:trHeight w:val="137"/>
        </w:trPr>
        <w:tc>
          <w:tcPr>
            <w:tcW w:w="28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common stock upon exercise of</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80" w:type="dxa"/>
            <w:vAlign w:val="bottom"/>
            <w:tcBorders>
              <w:right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2,568,044</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4,919</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stock options</w:t>
            </w: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80" w:type="dxa"/>
            <w:vAlign w:val="bottom"/>
          </w:tcPr>
          <w:p>
            <w:pPr>
              <w:ind w:left="20"/>
              <w:spacing w:after="0" w:line="137" w:lineRule="exact"/>
              <w:rPr>
                <w:sz w:val="20"/>
                <w:szCs w:val="20"/>
                <w:color w:val="auto"/>
              </w:rPr>
            </w:pPr>
            <w:r>
              <w:rPr>
                <w:rFonts w:ascii="Arial" w:cs="Arial" w:eastAsia="Arial" w:hAnsi="Arial"/>
                <w:sz w:val="14"/>
                <w:szCs w:val="14"/>
                <w:color w:val="auto"/>
              </w:rPr>
              <w:t>Issuance of common stock upon settlement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140"/>
              <w:spacing w:after="0"/>
              <w:rPr>
                <w:sz w:val="20"/>
                <w:szCs w:val="20"/>
                <w:color w:val="auto"/>
              </w:rPr>
            </w:pPr>
            <w:r>
              <w:rPr>
                <w:rFonts w:ascii="Arial" w:cs="Arial" w:eastAsia="Arial" w:hAnsi="Arial"/>
                <w:sz w:val="14"/>
                <w:szCs w:val="14"/>
                <w:color w:val="auto"/>
              </w:rPr>
              <w:t>of RSUs</w:t>
            </w: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Repurchase of common stock, including</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80" w:type="dxa"/>
            <w:vAlign w:val="bottom"/>
            <w:tcBorders>
              <w:right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(3,352,224)</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(35,287)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(37,037)</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retirement of 160,034 shares</w:t>
            </w: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20"/>
              <w:spacing w:after="0"/>
              <w:rPr>
                <w:sz w:val="20"/>
                <w:szCs w:val="20"/>
                <w:color w:val="auto"/>
              </w:rPr>
            </w:pPr>
            <w:r>
              <w:rPr>
                <w:rFonts w:ascii="Arial" w:cs="Arial" w:eastAsia="Arial" w:hAnsi="Arial"/>
                <w:sz w:val="14"/>
                <w:szCs w:val="14"/>
                <w:color w:val="auto"/>
              </w:rPr>
              <w:t>Reissuance of treasury stock</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1,929,731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22,694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7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early exercise liability</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79"/>
        </w:trPr>
        <w:tc>
          <w:tcPr>
            <w:tcW w:w="28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11,001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11,001</w:t>
            </w:r>
          </w:p>
        </w:tc>
        <w:tc>
          <w:tcPr>
            <w:tcW w:w="0" w:type="dxa"/>
            <w:vAlign w:val="bottom"/>
          </w:tcPr>
          <w:p>
            <w:pPr>
              <w:spacing w:after="0"/>
              <w:rPr>
                <w:sz w:val="1"/>
                <w:szCs w:val="1"/>
                <w:color w:val="auto"/>
              </w:rPr>
            </w:pPr>
          </w:p>
        </w:tc>
      </w:tr>
      <w:tr>
        <w:trPr>
          <w:trHeight w:val="194"/>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69,914,359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right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227,198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40,110,106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127,862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280"/>
          </w:cols>
          <w:pgMar w:left="300" w:top="209" w:right="319"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1"/>
                <w:szCs w:val="11"/>
                <w:b w:val="1"/>
                <w:bCs w:val="1"/>
                <w:color w:val="auto"/>
              </w:rPr>
              <w:t>Fiscal Year Ended January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Operating activities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1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76,966</w:t>
            </w:r>
          </w:p>
        </w:tc>
        <w:tc>
          <w:tcPr>
            <w:tcW w:w="80" w:type="dxa"/>
            <w:vAlign w:val="bottom"/>
          </w:tcPr>
          <w:p>
            <w:pPr>
              <w:spacing w:after="0"/>
              <w:rPr>
                <w:sz w:val="15"/>
                <w:szCs w:val="15"/>
                <w:color w:val="auto"/>
              </w:rPr>
            </w:pPr>
          </w:p>
        </w:tc>
        <w:tc>
          <w:tcPr>
            <w:tcW w:w="960" w:type="dxa"/>
            <w:vAlign w:val="bottom"/>
          </w:tcPr>
          <w:p>
            <w:pPr>
              <w:jc w:val="right"/>
              <w:ind w:right="817"/>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194,447</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Depreciation and amortization of property, software, and equipment, net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6,037</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6,236</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lease expense</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137"/>
        </w:trPr>
        <w:tc>
          <w:tcPr>
            <w:tcW w:w="8060" w:type="dxa"/>
            <w:vAlign w:val="bottom"/>
          </w:tcPr>
          <w:p>
            <w:pPr>
              <w:ind w:left="180"/>
              <w:spacing w:after="0" w:line="137" w:lineRule="exact"/>
              <w:rPr>
                <w:sz w:val="20"/>
                <w:szCs w:val="20"/>
                <w:color w:val="auto"/>
              </w:rPr>
            </w:pPr>
            <w:r>
              <w:rPr>
                <w:rFonts w:ascii="Arial" w:cs="Arial" w:eastAsia="Arial" w:hAnsi="Arial"/>
                <w:sz w:val="14"/>
                <w:szCs w:val="14"/>
                <w:color w:val="auto"/>
              </w:rPr>
              <w:t>Cash interest paid on convertible note, including $4,451 and $0 paid-in-kind interest for the fiscal years ended January, 31,</w:t>
            </w:r>
          </w:p>
        </w:tc>
        <w:tc>
          <w:tcPr>
            <w:tcW w:w="9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(12,194)</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89"/>
        </w:trPr>
        <w:tc>
          <w:tcPr>
            <w:tcW w:w="8060" w:type="dxa"/>
            <w:vAlign w:val="bottom"/>
          </w:tcPr>
          <w:p>
            <w:pPr>
              <w:ind w:left="320"/>
              <w:spacing w:after="0"/>
              <w:rPr>
                <w:sz w:val="20"/>
                <w:szCs w:val="20"/>
                <w:color w:val="auto"/>
              </w:rPr>
            </w:pPr>
            <w:r>
              <w:rPr>
                <w:rFonts w:ascii="Arial" w:cs="Arial" w:eastAsia="Arial" w:hAnsi="Arial"/>
                <w:sz w:val="14"/>
                <w:szCs w:val="14"/>
                <w:color w:val="auto"/>
              </w:rPr>
              <w:t>2024 and 2025, respectively</w:t>
            </w:r>
          </w:p>
        </w:tc>
        <w:tc>
          <w:tcPr>
            <w:tcW w:w="9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interest paid on related-party long-term debt</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Non-cash interest expense on related-party long-term debt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(60,194)</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11,846</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9,364</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convertible note</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(16,927)</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Change in fair value of warrant liabilities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simple agreement for future equity</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from clients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47,696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(49,052)</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(9,313)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(8,946)</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and noncurrent assets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(9,890)</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3,287</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Due to clients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(7,548)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7,127</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Payable to clearing broker</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(47,353)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48,761</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(1,062)</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 liabilities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noncurrent liabilities</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72,918</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123,150</w:t>
            </w:r>
          </w:p>
        </w:tc>
        <w:tc>
          <w:tcPr>
            <w:tcW w:w="0" w:type="dxa"/>
            <w:vAlign w:val="bottom"/>
          </w:tcPr>
          <w:p>
            <w:pPr>
              <w:spacing w:after="0"/>
              <w:rPr>
                <w:sz w:val="1"/>
                <w:szCs w:val="1"/>
                <w:color w:val="auto"/>
              </w:rPr>
            </w:pP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Investing activities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software, and equipment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Capitalized internally developed software</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(4,661)</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(5,310)</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(5,163)</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(5,843)</w:t>
            </w:r>
          </w:p>
        </w:tc>
        <w:tc>
          <w:tcPr>
            <w:tcW w:w="0" w:type="dxa"/>
            <w:vAlign w:val="bottom"/>
          </w:tcPr>
          <w:p>
            <w:pPr>
              <w:spacing w:after="0"/>
              <w:rPr>
                <w:sz w:val="1"/>
                <w:szCs w:val="1"/>
                <w:color w:val="auto"/>
              </w:rPr>
            </w:pP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Financing activities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convertible note</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(29,122)</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Principal repayment of related-party long-term debt</w:t>
            </w:r>
          </w:p>
        </w:tc>
        <w:tc>
          <w:tcPr>
            <w:tcW w:w="9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 including early exercises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4,919</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9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(37,037)</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treasury stock</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6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9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(39,499)</w:t>
            </w:r>
          </w:p>
        </w:tc>
        <w:tc>
          <w:tcPr>
            <w:tcW w:w="8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(58,546)</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cash segregated and on deposit for regulatory purposes, and restricted cash</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58,761</w:t>
            </w:r>
          </w:p>
        </w:tc>
        <w:tc>
          <w:tcPr>
            <w:tcW w:w="0" w:type="dxa"/>
            <w:vAlign w:val="bottom"/>
          </w:tcPr>
          <w:p>
            <w:pPr>
              <w:spacing w:after="0"/>
              <w:rPr>
                <w:sz w:val="1"/>
                <w:szCs w:val="1"/>
                <w:color w:val="auto"/>
              </w:rPr>
            </w:pPr>
          </w:p>
        </w:tc>
      </w:tr>
      <w:tr>
        <w:trPr>
          <w:trHeight w:val="1085"/>
        </w:trPr>
        <w:tc>
          <w:tcPr>
            <w:tcW w:w="8060" w:type="dxa"/>
            <w:vAlign w:val="bottom"/>
          </w:tcPr>
          <w:p>
            <w:pPr>
              <w:ind w:left="5540"/>
              <w:spacing w:after="0"/>
              <w:rPr>
                <w:sz w:val="20"/>
                <w:szCs w:val="20"/>
                <w:color w:val="auto"/>
              </w:rPr>
            </w:pPr>
            <w:r>
              <w:rPr>
                <w:rFonts w:ascii="Arial" w:cs="Arial" w:eastAsia="Arial" w:hAnsi="Arial"/>
                <w:sz w:val="14"/>
                <w:szCs w:val="14"/>
                <w:color w:val="auto"/>
              </w:rPr>
              <w:t>F-6</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09" w:right="319" w:bottom="1440" w:gutter="0" w:footer="0" w:header="0"/>
        </w:sectPr>
      </w:pPr>
    </w:p>
    <w:bookmarkStart w:id="277" w:name="page278"/>
    <w:bookmarkEnd w:id="277"/>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1"/>
                <w:szCs w:val="11"/>
                <w:b w:val="1"/>
                <w:bCs w:val="1"/>
                <w:color w:val="auto"/>
              </w:rPr>
              <w:t>Fiscal Year Ended January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vMerge w:val="restart"/>
          </w:tcPr>
          <w:p>
            <w:pPr>
              <w:ind w:left="20"/>
              <w:spacing w:after="0"/>
              <w:rPr>
                <w:sz w:val="20"/>
                <w:szCs w:val="20"/>
                <w:color w:val="auto"/>
              </w:rPr>
            </w:pPr>
            <w:r>
              <w:rPr>
                <w:rFonts w:ascii="Arial" w:cs="Arial" w:eastAsia="Arial" w:hAnsi="Arial"/>
                <w:sz w:val="14"/>
                <w:szCs w:val="14"/>
                <w:color w:val="auto"/>
              </w:rPr>
              <w:t>Cash and cash equivalents, cash segregated and on deposit for regulatory purposes, and restricted cash at the beginning of the</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06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67,536</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95,792</w:t>
            </w:r>
          </w:p>
        </w:tc>
        <w:tc>
          <w:tcPr>
            <w:tcW w:w="0" w:type="dxa"/>
            <w:vAlign w:val="bottom"/>
          </w:tcPr>
          <w:p>
            <w:pPr>
              <w:spacing w:after="0"/>
              <w:rPr>
                <w:sz w:val="1"/>
                <w:szCs w:val="1"/>
                <w:color w:val="auto"/>
              </w:rPr>
            </w:pPr>
          </w:p>
        </w:tc>
      </w:tr>
      <w:tr>
        <w:trPr>
          <w:trHeight w:val="18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fiscal year</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806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Cash and cash equivalents, cash segregated and on deposit for regulatory purposes, and restricted cash at the end of the fiscal</w:t>
            </w:r>
          </w:p>
        </w:tc>
        <w:tc>
          <w:tcPr>
            <w:tcW w:w="1000" w:type="dxa"/>
            <w:vAlign w:val="bottom"/>
            <w:vMerge w:val="restart"/>
            <w:shd w:val="clear" w:color="auto" w:fill="CCEEFF"/>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95,792</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154,553</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year</w:t>
            </w: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1000" w:type="dxa"/>
            <w:vAlign w:val="bottom"/>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1,422</w:t>
            </w:r>
          </w:p>
        </w:tc>
        <w:tc>
          <w:tcPr>
            <w:tcW w:w="80" w:type="dxa"/>
            <w:vAlign w:val="bottom"/>
          </w:tcPr>
          <w:p>
            <w:pPr>
              <w:spacing w:after="0"/>
              <w:rPr>
                <w:sz w:val="15"/>
                <w:szCs w:val="15"/>
                <w:color w:val="auto"/>
              </w:rPr>
            </w:pP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5,070</w:t>
            </w:r>
          </w:p>
        </w:tc>
        <w:tc>
          <w:tcPr>
            <w:tcW w:w="0" w:type="dxa"/>
            <w:vAlign w:val="bottom"/>
          </w:tcPr>
          <w:p>
            <w:pPr>
              <w:spacing w:after="0"/>
              <w:rPr>
                <w:sz w:val="1"/>
                <w:szCs w:val="1"/>
                <w:color w:val="auto"/>
              </w:rPr>
            </w:pPr>
          </w:p>
        </w:tc>
      </w:tr>
      <w:tr>
        <w:trPr>
          <w:trHeight w:val="137"/>
        </w:trPr>
        <w:tc>
          <w:tcPr>
            <w:tcW w:w="80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Cash paid for interest, including $4,451 and $0 paid-in-kind interest for convertible note and $0 and $6,193 for related party long-</w:t>
            </w:r>
          </w:p>
        </w:tc>
        <w:tc>
          <w:tcPr>
            <w:tcW w:w="1000" w:type="dxa"/>
            <w:vAlign w:val="bottom"/>
            <w:vMerge w:val="restart"/>
            <w:shd w:val="clear" w:color="auto" w:fill="CCEEFF"/>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17,445</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12,240</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 debt for the fiscal years ended January, 31, 2024 and 2025, respectively</w:t>
            </w:r>
          </w:p>
        </w:tc>
        <w:tc>
          <w:tcPr>
            <w:tcW w:w="10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Stock-based compensation included in capitalized internally developed software</w:t>
            </w:r>
          </w:p>
        </w:tc>
        <w:tc>
          <w:tcPr>
            <w:tcW w:w="1000" w:type="dxa"/>
            <w:vAlign w:val="bottom"/>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1,409</w:t>
            </w:r>
          </w:p>
        </w:tc>
        <w:tc>
          <w:tcPr>
            <w:tcW w:w="80" w:type="dxa"/>
            <w:vAlign w:val="bottom"/>
          </w:tcPr>
          <w:p>
            <w:pPr>
              <w:spacing w:after="0"/>
              <w:rPr>
                <w:sz w:val="15"/>
                <w:szCs w:val="15"/>
                <w:color w:val="auto"/>
              </w:rPr>
            </w:pP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early exercise of options liability</w:t>
            </w:r>
          </w:p>
        </w:tc>
        <w:tc>
          <w:tcPr>
            <w:tcW w:w="100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Retirement of common stock</w:t>
            </w:r>
          </w:p>
        </w:tc>
        <w:tc>
          <w:tcPr>
            <w:tcW w:w="10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80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The following presents cash and cash equivalents, cash segregated and on deposit for regulatory purposes, and</w:t>
            </w: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60" w:type="dxa"/>
            <w:vAlign w:val="bottom"/>
          </w:tcPr>
          <w:p>
            <w:pPr>
              <w:ind w:left="140"/>
              <w:spacing w:after="0"/>
              <w:rPr>
                <w:sz w:val="20"/>
                <w:szCs w:val="20"/>
                <w:color w:val="auto"/>
              </w:rPr>
            </w:pPr>
            <w:r>
              <w:rPr>
                <w:rFonts w:ascii="Arial" w:cs="Arial" w:eastAsia="Arial" w:hAnsi="Arial"/>
                <w:sz w:val="14"/>
                <w:szCs w:val="14"/>
                <w:b w:val="1"/>
                <w:bCs w:val="1"/>
                <w:color w:val="auto"/>
              </w:rPr>
              <w:t>restricted cash</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86,721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142,860</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Cash segregated and on deposit for regulatory purposes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6,461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9,083</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in other noncurrent assets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Total cash and cash equivalents, cash segregated and on deposit for regulatory purposes, and restricted cash</w:t>
            </w:r>
          </w:p>
        </w:tc>
        <w:tc>
          <w:tcPr>
            <w:tcW w:w="100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95,792</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154,553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280"/>
          </w:cols>
          <w:pgMar w:left="300" w:top="209" w:right="319" w:bottom="1440" w:gutter="0" w:footer="0" w:header="0"/>
        </w:sectPr>
      </w:pPr>
    </w:p>
    <w:bookmarkStart w:id="278" w:name="page279"/>
    <w:bookmarkEnd w:id="278"/>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ind w:left="500" w:hanging="496"/>
        <w:spacing w:after="0"/>
        <w:tabs>
          <w:tab w:leader="none" w:pos="500"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Wealthfront Corporation, a Delaware corporation incorporated in January 2007 (together with its consolidated subsidiaries, “Wealthfront” or the “Company”), is a technology company that built a financial solutions platform for digital natives to turn their savings into long-term wealth. The Company’s broad suite of products, including cash management, investing, borrowing, and financial planning solutions, address the diverse financial needs of its clients regardless of the economic environment. Clients have ownership of the securities they transact on the Company’s platform, including those that collateralize margin loans, and, as a result, such securities are not presented on the consolidated balance sheets, other than client-held fractional shares which are presented gross.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significant, wholly owned subsidiaries include Wealthfront Advisers LLC, a U.S. Securities and Exchange (“SEC”)-registered investment adviser, and Wealthfront Brokerage LLC, an SEC-registered broker-dealer and a member of the Financial Industry Regulatory Authority.</w:t>
      </w:r>
    </w:p>
    <w:p>
      <w:pPr>
        <w:spacing w:after="0" w:line="79" w:lineRule="exact"/>
        <w:rPr>
          <w:sz w:val="20"/>
          <w:szCs w:val="20"/>
          <w:color w:val="auto"/>
        </w:rPr>
      </w:pPr>
    </w:p>
    <w:p>
      <w:pPr>
        <w:ind w:right="7840" w:firstLine="4"/>
        <w:spacing w:after="0" w:line="438" w:lineRule="auto"/>
        <w:tabs>
          <w:tab w:leader="none" w:pos="495"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accompanying consolidated financial statements have been prepared in accordance with U.S. generally accepted accounting principles (“GAAP”) and the applicable rules and regulations of the SEC. The consolidated financial statements include the accounts of Wealthfront and its wholly owned subsidiaries. All intercompany balances and transactions have been eliminated upon consolidation.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Operating segments are defined as components of an enterprise for which separate financial information is evaluated regularly by the chief operating decision maker (“CODM”) in deciding how to allocate resources and assess performance. The Company’s CODM is its Chief Executive Officer (“CEO”). The Company operates and reports financial information in one operating segment. This is because the CODM considers company-wide key performance metrics and utilizes consolidated net income to allocate resources and determine performance. The Company’s objective in making resource allocation decisions is to optimize the consolidated financial results. The significant segment expenses reviewed by the CODM conform to the presentation of such items in the consolidated statements of operations. The CODM does not review segment assets at a different asset level or category other than the amounts disclosed in the consolidated balance sheets.</w:t>
      </w:r>
    </w:p>
    <w:p>
      <w:pPr>
        <w:spacing w:after="0" w:line="101" w:lineRule="exact"/>
        <w:rPr>
          <w:sz w:val="20"/>
          <w:szCs w:val="20"/>
          <w:color w:val="auto"/>
        </w:rPr>
      </w:pPr>
    </w:p>
    <w:p>
      <w:pPr>
        <w:ind w:right="2220"/>
        <w:spacing w:after="0" w:line="438" w:lineRule="auto"/>
        <w:rPr>
          <w:sz w:val="20"/>
          <w:szCs w:val="20"/>
          <w:color w:val="auto"/>
        </w:rPr>
      </w:pPr>
      <w:r>
        <w:rPr>
          <w:rFonts w:ascii="Arial" w:cs="Arial" w:eastAsia="Arial" w:hAnsi="Arial"/>
          <w:sz w:val="14"/>
          <w:szCs w:val="14"/>
          <w:color w:val="auto"/>
        </w:rPr>
        <w:t xml:space="preserve">All revenue and long-lived assets in these consolidated financial statements relate to contracts with clients located in the United States of America. </w:t>
      </w:r>
      <w:r>
        <w:rPr>
          <w:rFonts w:ascii="Arial" w:cs="Arial" w:eastAsia="Arial" w:hAnsi="Arial"/>
          <w:sz w:val="14"/>
          <w:szCs w:val="14"/>
          <w:b w:val="1"/>
          <w:bCs w:val="1"/>
          <w:color w:val="auto"/>
        </w:rPr>
        <w:t>Use of Estimates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preparation of the consolidated financial statements in conformity with GAAP requires management to make estimates and assumptions that affect the reported amounts in the consolidated financial statements and accompanying notes. The Company bases its estimates on current and past experiences, to the extent historical experience is predictive of future performance and various other assumptions that are believed to be reasonable, under these circumstances. Appropriate adjustments, if any, are made to the estimates prospectively based upon such periodic evaluation. Actual results could differ from these estimates and could have a material adverse effect on the Company’s business.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Estimates, judgments and assumptions in these consolidated financial statements include, but are not limited to: the valuation of allowance for credit losses, warrant liabilities, SAFEs (as defined below), and a convertible note; useful lives assigned to property and equipment; the discount rates used for leases; stock-based compensation, including the determination of the fair value of the Company’s common stock; and the realizability of deferred tax assets, net and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280"/>
          </w:cols>
          <w:pgMar w:left="300" w:top="209" w:right="319"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of Credit Risk</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financial instruments that potentially subject the Company to concentrations of credit risk primarily consist of cash, cash equivalents, restricted cash, margin loans to its clients, and the convertible note.</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Although the Company deposits corporate cash with multiple financial institutions, the deposits, at times, may exceed federally insured limits. The Company has not experienced any losses on deposits of cash and cash equivalents. Cash equivalents consist of highly liquid investments that are invested at financial institutions in the United States. Management believes that the institutions are financially stable and, accordingly, minimal credit risk exists.</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engages in trading and brokerage activities on behalf of clients with broker-dealers, banks, and other financial institutions, exposing it to counterparty risk. While equity defaults are typically shared among clearinghouse members, the Company monitors counterparty creditworthiness as needed.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amount of revenue recognized by the Company is measured based on the consideration specified within the contracts with clients. The Company recognizes revenue when a performance obligation is satisfied over time as the services are performed or at a point in time, depending on the nature of the services provided, as further discussed below. The Company has elected the “as-invoiced” practical expedient which allows for revenue to be recognized based on the contractual amount the Company has the right to invoice, as the amount corresponds directly with the value of the services performed to-date.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 description of the Company’s revenue streams is as follows: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Management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Cash management revenue primarily consists of fees earned from program banks daily in the Company’s cash sweep program on clients’ cash swept to each program bank (“Cash Account fees”). Cash management services represent a distinct integrated service and revenue is recognized when that service is delivered to clients. Cash account fees are considered variable consideration as there is uncertainty in the amount of revenue depending on deposits held at the program banks, which is outside of the Company’s influence. Cash account fees consist of the difference between the total amount paid by program banks on deposits held at the program bank and the amount paid by program banks to the Company's clients at the rate set by the Company. During the fiscal years ended January 31, 2024 and 2025, the Company offered a referral incentive program whereby both the referred and referring clients received an interest rate promotional benefit on Cash Account balances for a limited period of time. Consideration paid to clients for receiving a referral is accounted for as a reduction to cash management revenue when earned. Consideration paid to clients for referring a new client is accounted for as a marketing cost in the consolidated statements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Investment advisory consists of fees charged for investment advisory and portfolio management services. Investment advisory fees are earned based on a percentage applied to the market value, less fee waivers, of assets held in client accounts at the close of market. Investment advisory fees are recognized daily and charged to client accounts on a monthly basis in arrears.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Revenue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Other revenue primarily consists of net interest margin revenue and proxy distribution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280"/>
          </w:cols>
          <w:pgMar w:left="300" w:top="209" w:right="319" w:bottom="1440" w:gutter="0" w:footer="0" w:header="0"/>
        </w:sectPr>
      </w:pPr>
    </w:p>
    <w:bookmarkStart w:id="280" w:name="page281"/>
    <w:bookmarkEnd w:id="280"/>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interest margin revenue is earned from clients’ borrowings on margin, secured by securities and cash held on behalf of the clients, less interest expense incurred related to the funding costs associated with the margin loans.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Proxy distribution revenue is earned through a partnership with a third-party investor communications company. The Company provides certain shareholder information for proxy voting materials to the third-party company, which is used to send investor materials to shareholders, such as materials related to shareholder meetings and voting instruction forms. The Company earns a share of the revenue the third party receives from issuers and recognizes the revenue when the performance obligation of providing information is satisfied.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Contract assets are rights to consideration in exchange for services that the Company has transferred to a client when such a right is conditional on something other than the passage of time. In some arrangements, a right to consideration for the Company’s performance under the client contract may occur before payment is received, resulting in an accounts receivable.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Contract liabilities consist of deferred revenue. Revenue is deferred when the Company invoices in advance of performance under a contract.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Revenue and 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the principal in the revenue arrangements, cost of revenue primarily consists of expenses related to cash management, brokerage platform, and data costs, inclusive of amortization of internally-developed software costs related to these services. Cash management costs primarily consist of amounts paid to a third party for the administration of the Company’s cash sweep program and debit card platform 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Development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Product development expense primarily consists of personnel-related costs, cloud computing costs, amortization of internally-developed software, and allocated overhead incurred in connection with the development of the Company’s platform and new products as well as the improvement of existing products.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Marketing</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Marketing expense primarily consists of performance and brand advertising, personnel-related costs, and allocated overhead.</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Advertising and promotion costs are expensed as incurred as a component of marketing in the consolidated statements of operations. Advertising costs amounted to $16.5 million and $43.8 million for the fiscal years ended January 31, 2024 and 2025,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General and administrative expense primarily consists of personnel-related costs for executive management and administrative functions, including finance and accounting, legal, and people operations, as well as general corporate and director and officer insurance. General and administrative expense also include certain professional services costs, allocated overhead, and other business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280"/>
          </w:cols>
          <w:pgMar w:left="300" w:top="209" w:right="319" w:bottom="1440" w:gutter="0" w:footer="0" w:header="0"/>
        </w:sectPr>
      </w:pPr>
    </w:p>
    <w:bookmarkStart w:id="281" w:name="page282"/>
    <w:bookmarkEnd w:id="281"/>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 and Support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Operations and support expense primarily consists of personnel-related costs, third-party service provider costs, and allocated overhead, inclusive of amortization of internally-developed software costs.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Treasury Stock</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records treasury stock purchases using the cost method, presenting the total acquisition costs of common stock as treasury stock in the consolidated balance sheets. If the Company subsequently reissues the repurchased shares, proceeds in excess of or less than the original cost are recorded to additional paid-in capital in the consolidated balance sheets.</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retirement of shares, the Company reduces the common stock by an amount equal to the number of shares being retired multiplied by the par value and reduces additional paid-in capital for the amount in excess of the par value.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Stock-based compensation related to stock-based awards is recognized based on the fair value of the awards granted. The Company estimates the fair value of stock-based awards using the Black-Scholes-Merton (“BSM”) model, considering factors such as the expected term, fair value of common stock, expected volatility, risk-free interest rate, and dividend yield.</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grants time-based equity awards and performance-based equity awards. Time-based equity awards are vested once the service is rendered and related stock-based compensation expense is recognized on a straight-line basis over the requisite service period. Performance-based conditions are satisfied upon the occurrence of a qualifying event, defined as the earlier of: (i) the closing of certain, specific liquidation or change in control transactions, or (ii) an initial public offering (“IPO”) of the Company’s common stock. The Company records stock-based compensation expense associated with performance-based equity awards on an accelerated attribution method over the requisite service period, and only if performance-based conditions are considered probable to be satisfied. Awards containing time-based and performance-based conditions granted for the fiscal years ended January 31, 2024 and 2025 do not require the grantee to be present upon satisfaction of the performance-based condition.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Company accounts for forfeitures as they occur. Forfeitures were immaterial for the fiscal years ended January 31, 2024 and 2025.</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or adjusted where necessary to reduce deferred tax assets to amounts expected to be realized. The Company evaluates uncertain tax positions taken or expected to be taken each reporting period to determine whether the tax positions are more likely than not of being sustained upon challenge by the applicable tax authority.</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recognizes the effect of income tax positions only if those positions are more likely than not to be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280"/>
          </w:cols>
          <w:pgMar w:left="300" w:top="209" w:right="319" w:bottom="1440" w:gutter="0" w:footer="0" w:header="0"/>
        </w:sectPr>
      </w:pPr>
    </w:p>
    <w:bookmarkStart w:id="282" w:name="page283"/>
    <w:bookmarkEnd w:id="282"/>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unrecognized tax benefits and penalties in other expense (income), net in the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 Attributable to Common Stockholders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Company’s basic earnings per share is calculated by dividing net income attributable to common stockholders by the weighted-average number of common stock outstanding for the period, without consideration of potentially dilutive securities. The diluted earnings per share is calculated by giving effect to all potentially dilutive securities outstanding for the period utilizing the treasury stock method or the if-converted method based on the nature of such securities.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considers all demand deposits held in banks and certain highly liquid investments with original maturities of three months or less to be cash equivalents. Cash equivalents consist of money market funds and certificates of deposit.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Restricted cash comprises cash and certificates of deposit required to be maintained with the Company’s brokerage service partners and third-party banks and is included in other noncurrent assets in the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Segregated and on Deposit for Regulatory Purposes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Cash segregated and on deposit for regulatory purposes represent amounts segregated in accordance with Rule 15c3-3 of the Securities Exchange Act of 1934, as amended (“Rule 15c3-3”). Under Rule 15c3-3, a broker-dealer carrying client accounts is subject to requirements related to maintaining cash or qualified securities in a segregated reserve account for the exclusive benefit of clients.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from Clients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Due from clients represents fully secured amounts owed to the Company. The Company offers its margin lending product to eligible clients collateralized by their respective security and cash holdings. The Company monitors margin levels and requires additional collateral or margin reduction to meet minimum collateral requirements based on fair value. The Company applies the practical expedient based on collateral maintenance provisions in estimating an allowance for credit losses for margin loans. The Company has no expectation of credit losses for amounts due from clients for margin loans that are fully secured, where the fair value of the collateral securing the balance is equal to or in excess of the receivable amount. This is based on an assessment of the composition of the collateral, potential future changes in collateral values, and historical credit loss information relating to fully secured receivables. If the fair value of the collateral is less than the outstanding margin loan due from a client, the Company recognizes an allowance for the difference. If the fair value of the collateral is greater than the amortized cost of the financial asset, and the Company reasonably expects that the collateral will be replenished as required, there is no expectation of credit losses. If the amortized cost exceeds the fair value of collateral, then credit losses are estimated only on the unsecured portion. As of January 31, 2024 and 2025, the allowance for credit losses and related activity were immaterial.</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to Clients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Due to clients primarily relates to client cash balances in their brokerage account. The cash balances typically arise from client cash received by the clearing firm or held in the bank account for the client’s benefit. This cash has not yet been directed towards client investment or cash management, or is pending withdrawal.</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Payable to Clearing Broker</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has a loan payable to its clearing broker related to funds borrowed to finance client margin loans. The securities of clients with margin loan balances are segregated and made available to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280"/>
          </w:cols>
          <w:pgMar w:left="300" w:top="209" w:right="319" w:bottom="1440" w:gutter="0" w:footer="0" w:header="0"/>
        </w:sectPr>
      </w:pPr>
    </w:p>
    <w:bookmarkStart w:id="283" w:name="page284"/>
    <w:bookmarkEnd w:id="283"/>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clearing broker as collateral for the outstanding loan balance. Service charges payable to the clearing broker and interest payable to the clearing broker were immaterial as of January 31, 2024 and 2025.</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Fractional Share Program</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operates a fractional share program for the benefit of its clients and maintains inventory of securities held exclusively for the fractional share program. This proprietary inventory is recorded within other current assets in the consolidated balance sheets.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When a client purchases a fractional share, the Company records the cash received for the client-held fractional shares as pledged collateral and an offsetting liability to repurchase the share. The Company does not meet the criteria for derecognition under the accounting guidance and client-held fractional shares are accounted for as a secured borrowing. Proprietary inventory of securities, client-held fractional shares, and fractional shares repurchase obligation are measured at fair value at each reporting period via the election of the fair value option, with realized and unrealized gains and losses recorded in other expense (income), net in the consolidated statements of operations, which were immaterial during the fiscal years ended January 31, 2024 and 2025. The Company does not earn revenue from its clients when they purchase or sell fractional shares from the Company.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At lease commencement, an operating lease right-of-use (“ROU”) asset and lease liability are recognized based on the present value of lease payments over the lease term. While the operating leases may include options to extend the term, these options are not included when calculating the operating lease ROU asset and lease liability unless it is reasonably certain such options will be exercised. The Company uses the incremental borrowing rate to determine the present value of the future lease payments, which is the theoretical interest rate that the Company would pay to borrow under similar terms and payments on a collateralized basis for the lease. The Company applies the short-term lease measurement and recognition practical expedient to its leases with an initial term of 12 months or less, which are not recorded in the consolidated balance sheets. The Company’s lease agreements include both lease and non-lease components, such as common area maintenance, which are variable and are accounted for together with the lease as a single lease component.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Software, and Equipment, Net</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Property, software, and equipment are stated at cost, net of accumulated depreciation. Expenditures for repairs and maintenance are expensed in the period incurred. Property, software, and equipment, net is included in other noncurrent assets in the consolidated balance sheets. Depreciation is computed using the straight-line method based on estimated useful lives of the respective assets. Depreciation expense is included in the consolidated statements of operations, allocated to operations and support, product development, marketing, and general and administrative expenses based on relative payroll percentages by function.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capitalizes expenses for developing and enhancing internal-use software once the preliminary project stage is complete, it is probable that the project will be completed and the software will be used to perform the function intended. Capitalized costs are amortized over the estimated useful life of the software on a straight-line basis. The useful life of all capitalized internally developed software as of January 31, 2024 and 2025 was three years. Capitalization ceases when the software project is substantially complete and ready for its intended use. The Company capitalizes personnel-related expenses for employees directly involved in the internal-use software development, limited to the time directly spent on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280"/>
          </w:cols>
          <w:pgMar w:left="300" w:top="209" w:right="319" w:bottom="1440" w:gutter="0" w:footer="0" w:header="0"/>
        </w:sectPr>
      </w:pPr>
    </w:p>
    <w:bookmarkStart w:id="284" w:name="page285"/>
    <w:bookmarkEnd w:id="284"/>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20" w:type="dxa"/>
            <w:vAlign w:val="bottom"/>
          </w:tcPr>
          <w:p>
            <w:pPr>
              <w:spacing w:after="0"/>
              <w:rPr>
                <w:sz w:val="16"/>
                <w:szCs w:val="16"/>
                <w:color w:val="auto"/>
              </w:rPr>
            </w:pPr>
          </w:p>
        </w:tc>
        <w:tc>
          <w:tcPr>
            <w:tcW w:w="7860" w:type="dxa"/>
            <w:vAlign w:val="bottom"/>
          </w:tcPr>
          <w:p>
            <w:pPr>
              <w:ind w:left="1140"/>
              <w:spacing w:after="0"/>
              <w:rPr>
                <w:sz w:val="20"/>
                <w:szCs w:val="20"/>
                <w:color w:val="auto"/>
              </w:rPr>
            </w:pPr>
            <w:r>
              <w:rPr>
                <w:rFonts w:ascii="Arial" w:cs="Arial" w:eastAsia="Arial" w:hAnsi="Arial"/>
                <w:sz w:val="14"/>
                <w:szCs w:val="14"/>
                <w:b w:val="1"/>
                <w:bCs w:val="1"/>
                <w:color w:val="auto"/>
              </w:rPr>
              <w:t>WEALTHFRONT CORPORATION</w:t>
            </w:r>
          </w:p>
        </w:tc>
      </w:tr>
      <w:tr>
        <w:trPr>
          <w:trHeight w:val="286"/>
        </w:trPr>
        <w:tc>
          <w:tcPr>
            <w:tcW w:w="3420" w:type="dxa"/>
            <w:vAlign w:val="bottom"/>
          </w:tcPr>
          <w:p>
            <w:pPr>
              <w:spacing w:after="0"/>
              <w:rPr>
                <w:sz w:val="24"/>
                <w:szCs w:val="24"/>
                <w:color w:val="auto"/>
              </w:rPr>
            </w:pPr>
          </w:p>
        </w:tc>
        <w:tc>
          <w:tcPr>
            <w:tcW w:w="7860" w:type="dxa"/>
            <w:vAlign w:val="bottom"/>
          </w:tcPr>
          <w:p>
            <w:pPr>
              <w:ind w:left="860"/>
              <w:spacing w:after="0"/>
              <w:rPr>
                <w:sz w:val="20"/>
                <w:szCs w:val="20"/>
                <w:color w:val="auto"/>
              </w:rPr>
            </w:pPr>
            <w:r>
              <w:rPr>
                <w:rFonts w:ascii="Arial" w:cs="Arial" w:eastAsia="Arial" w:hAnsi="Arial"/>
                <w:sz w:val="14"/>
                <w:szCs w:val="14"/>
                <w:color w:val="auto"/>
              </w:rPr>
              <w:t>Notes to Consolidated Financial Statements</w:t>
            </w:r>
          </w:p>
        </w:tc>
      </w:tr>
      <w:tr>
        <w:trPr>
          <w:trHeight w:val="547"/>
        </w:trPr>
        <w:tc>
          <w:tcPr>
            <w:tcW w:w="3420" w:type="dxa"/>
            <w:vAlign w:val="bottom"/>
          </w:tcPr>
          <w:p>
            <w:pPr>
              <w:spacing w:after="0"/>
              <w:rPr>
                <w:sz w:val="20"/>
                <w:szCs w:val="20"/>
                <w:color w:val="auto"/>
              </w:rPr>
            </w:pPr>
            <w:r>
              <w:rPr>
                <w:rFonts w:ascii="Arial" w:cs="Arial" w:eastAsia="Arial" w:hAnsi="Arial"/>
                <w:sz w:val="14"/>
                <w:szCs w:val="14"/>
                <w:color w:val="auto"/>
              </w:rPr>
              <w:t>The estimated useful lives are as follows:</w:t>
            </w:r>
          </w:p>
        </w:tc>
        <w:tc>
          <w:tcPr>
            <w:tcW w:w="7860" w:type="dxa"/>
            <w:vAlign w:val="bottom"/>
          </w:tcPr>
          <w:p>
            <w:pPr>
              <w:spacing w:after="0"/>
              <w:rPr>
                <w:sz w:val="24"/>
                <w:szCs w:val="24"/>
                <w:color w:val="auto"/>
              </w:rPr>
            </w:pPr>
          </w:p>
        </w:tc>
      </w:tr>
      <w:tr>
        <w:trPr>
          <w:trHeight w:val="145"/>
        </w:trPr>
        <w:tc>
          <w:tcPr>
            <w:tcW w:w="3420" w:type="dxa"/>
            <w:vAlign w:val="bottom"/>
          </w:tcPr>
          <w:p>
            <w:pPr>
              <w:spacing w:after="0"/>
              <w:rPr>
                <w:sz w:val="12"/>
                <w:szCs w:val="12"/>
                <w:color w:val="auto"/>
              </w:rPr>
            </w:pPr>
          </w:p>
        </w:tc>
        <w:tc>
          <w:tcPr>
            <w:tcW w:w="7860" w:type="dxa"/>
            <w:vAlign w:val="bottom"/>
          </w:tcPr>
          <w:p>
            <w:pPr>
              <w:spacing w:after="0"/>
              <w:rPr>
                <w:sz w:val="12"/>
                <w:szCs w:val="12"/>
                <w:color w:val="auto"/>
              </w:rPr>
            </w:pPr>
          </w:p>
        </w:tc>
      </w:tr>
      <w:tr>
        <w:trPr>
          <w:trHeight w:val="17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7860" w:type="dxa"/>
            <w:vAlign w:val="bottom"/>
            <w:shd w:val="clear" w:color="auto" w:fill="CCEEFF"/>
          </w:tcPr>
          <w:p>
            <w:pPr>
              <w:ind w:left="2240"/>
              <w:spacing w:after="0"/>
              <w:rPr>
                <w:sz w:val="20"/>
                <w:szCs w:val="20"/>
                <w:color w:val="auto"/>
              </w:rPr>
            </w:pPr>
            <w:r>
              <w:rPr>
                <w:rFonts w:ascii="Arial" w:cs="Arial" w:eastAsia="Arial" w:hAnsi="Arial"/>
                <w:sz w:val="14"/>
                <w:szCs w:val="14"/>
                <w:color w:val="auto"/>
              </w:rPr>
              <w:t>3 years</w:t>
            </w:r>
          </w:p>
        </w:tc>
      </w:tr>
      <w:tr>
        <w:trPr>
          <w:trHeight w:val="179"/>
        </w:trPr>
        <w:tc>
          <w:tcPr>
            <w:tcW w:w="3420" w:type="dxa"/>
            <w:vAlign w:val="bottom"/>
          </w:tcPr>
          <w:p>
            <w:pPr>
              <w:ind w:left="20"/>
              <w:spacing w:after="0"/>
              <w:rPr>
                <w:sz w:val="20"/>
                <w:szCs w:val="20"/>
                <w:color w:val="auto"/>
              </w:rPr>
            </w:pPr>
            <w:r>
              <w:rPr>
                <w:rFonts w:ascii="Arial" w:cs="Arial" w:eastAsia="Arial" w:hAnsi="Arial"/>
                <w:sz w:val="14"/>
                <w:szCs w:val="14"/>
                <w:color w:val="auto"/>
              </w:rPr>
              <w:t>Network equipment</w:t>
            </w:r>
          </w:p>
        </w:tc>
        <w:tc>
          <w:tcPr>
            <w:tcW w:w="7860" w:type="dxa"/>
            <w:vAlign w:val="bottom"/>
          </w:tcPr>
          <w:p>
            <w:pPr>
              <w:ind w:left="2240"/>
              <w:spacing w:after="0"/>
              <w:rPr>
                <w:sz w:val="20"/>
                <w:szCs w:val="20"/>
                <w:color w:val="auto"/>
              </w:rPr>
            </w:pPr>
            <w:r>
              <w:rPr>
                <w:rFonts w:ascii="Arial" w:cs="Arial" w:eastAsia="Arial" w:hAnsi="Arial"/>
                <w:sz w:val="14"/>
                <w:szCs w:val="14"/>
                <w:color w:val="auto"/>
              </w:rPr>
              <w:t>3 years</w:t>
            </w:r>
          </w:p>
        </w:tc>
      </w:tr>
      <w:tr>
        <w:trPr>
          <w:trHeight w:val="17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furniture and fixtures</w:t>
            </w:r>
          </w:p>
        </w:tc>
        <w:tc>
          <w:tcPr>
            <w:tcW w:w="7860" w:type="dxa"/>
            <w:vAlign w:val="bottom"/>
            <w:shd w:val="clear" w:color="auto" w:fill="CCEEFF"/>
          </w:tcPr>
          <w:p>
            <w:pPr>
              <w:ind w:left="2240"/>
              <w:spacing w:after="0"/>
              <w:rPr>
                <w:sz w:val="20"/>
                <w:szCs w:val="20"/>
                <w:color w:val="auto"/>
              </w:rPr>
            </w:pPr>
            <w:r>
              <w:rPr>
                <w:rFonts w:ascii="Arial" w:cs="Arial" w:eastAsia="Arial" w:hAnsi="Arial"/>
                <w:sz w:val="14"/>
                <w:szCs w:val="14"/>
                <w:color w:val="auto"/>
              </w:rPr>
              <w:t>5 years</w:t>
            </w:r>
          </w:p>
        </w:tc>
      </w:tr>
      <w:tr>
        <w:trPr>
          <w:trHeight w:val="179"/>
        </w:trPr>
        <w:tc>
          <w:tcPr>
            <w:tcW w:w="34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7860" w:type="dxa"/>
            <w:vAlign w:val="bottom"/>
          </w:tcPr>
          <w:p>
            <w:pPr>
              <w:ind w:left="2240"/>
              <w:spacing w:after="0"/>
              <w:rPr>
                <w:sz w:val="20"/>
                <w:szCs w:val="20"/>
                <w:color w:val="auto"/>
              </w:rPr>
            </w:pPr>
            <w:r>
              <w:rPr>
                <w:rFonts w:ascii="Arial" w:cs="Arial" w:eastAsia="Arial" w:hAnsi="Arial"/>
                <w:sz w:val="14"/>
                <w:szCs w:val="14"/>
                <w:color w:val="auto"/>
              </w:rPr>
              <w:t>Shorter of remaining lease term or estimated useful life</w:t>
            </w:r>
          </w:p>
        </w:tc>
      </w:tr>
      <w:tr>
        <w:trPr>
          <w:trHeight w:val="17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Internally developed software</w:t>
            </w:r>
          </w:p>
        </w:tc>
        <w:tc>
          <w:tcPr>
            <w:tcW w:w="7860" w:type="dxa"/>
            <w:vAlign w:val="bottom"/>
            <w:shd w:val="clear" w:color="auto" w:fill="CCEEFF"/>
          </w:tcPr>
          <w:p>
            <w:pPr>
              <w:ind w:left="2240"/>
              <w:spacing w:after="0"/>
              <w:rPr>
                <w:sz w:val="20"/>
                <w:szCs w:val="20"/>
                <w:color w:val="auto"/>
              </w:rPr>
            </w:pPr>
            <w:r>
              <w:rPr>
                <w:rFonts w:ascii="Arial" w:cs="Arial" w:eastAsia="Arial" w:hAnsi="Arial"/>
                <w:sz w:val="14"/>
                <w:szCs w:val="14"/>
                <w:color w:val="auto"/>
              </w:rPr>
              <w:t>3 years</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Long-lived assets, such as equipment, property and improvements, and internally-developed software assets,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occasionally borrows to finance its operating activities. Financing costs, such as bankers’ fees, origination fees, and legal fees, are deferred and amortized over the debt term. The Company capitalizes these costs and reports the amounts as a direct deduction of debt’s carrying amount. The Company calculates the effective interest rate based on the variable index in effect at each reporting period.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Simple Agreement for Future Equity</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Simple Agreement for Future Equity (“SAFE”) grants investors the right to receive the Company’s capital stock upon equity financing. The Company determined that the SAFEs are not legal forms of debt and are classified as liabilities. The Company initially records the SAFEs at fair value in other noncurrent liabilities in the consolidated balance sheets and they are remeasured at each balance sheet date with changes in fair value recognized in other expense (income), net in the Company’s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accounts for warrants as either equity-classified or liability-classified instruments based on an assessment of the warrant’s specific terms. The assessment, which requires the use of professional judgment, is conducted at the time of warrant issuance and at each reporting period while the warrants are outstanding.</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issued or modified warrants that meet all the criteria for equity classification, the warrants are required to be recorded as a component of additional paid-in capital at the time of issuance. For issued or modified warrants that do not meet all the criteria for equity classification, the warrant liabilities are initially recorded at fair value on the date of issuance within other noncurrent liabilities in the consolidated balance sheets and is remeasured at each balance sheet date with changes in fair value recognized in other expense (income), net in the consolidated statements of operations. The fair value of the warrants is estimated using the BSM option-pricing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280"/>
          </w:cols>
          <w:pgMar w:left="300" w:top="209" w:right="319" w:bottom="1440" w:gutter="0" w:footer="0" w:header="0"/>
        </w:sectPr>
      </w:pPr>
    </w:p>
    <w:bookmarkStart w:id="285" w:name="page286"/>
    <w:bookmarkEnd w:id="285"/>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Related-Party Transactions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From time to time, the Company enters into transactions with related parties. The Company defines related parties as members of the board of directors (the “board of directors”), executive officers, existing investors holding 10% or more of the Company’s outstanding stock, principal owners of the Company’s outstanding stock, and any immediate family members of each related party, as well as any other person or entity with significant influence over the management or operations of the Company. Refer to “Bridge Loan” in Note 7. — Financing Activities and Note 17. — Related Party Transactions for more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an emerging growth company as defined in the Jumpstart Our Business Startups Act of 2012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Adopted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In November 2023, the Financial Accounting Standards Board (“FASB”) issued Accounting Standards Update (“ASU”) No. 2023-07, </w:t>
      </w:r>
      <w:r>
        <w:rPr>
          <w:rFonts w:ascii="Arial" w:cs="Arial" w:eastAsia="Arial" w:hAnsi="Arial"/>
          <w:sz w:val="14"/>
          <w:szCs w:val="14"/>
          <w:i w:val="1"/>
          <w:iCs w:val="1"/>
          <w:color w:val="auto"/>
        </w:rPr>
        <w:t>Segment Reporting (Topic 280): Improvements to</w:t>
      </w:r>
      <w:r>
        <w:rPr>
          <w:rFonts w:ascii="Arial" w:cs="Arial" w:eastAsia="Arial" w:hAnsi="Arial"/>
          <w:sz w:val="14"/>
          <w:szCs w:val="14"/>
          <w:color w:val="auto"/>
        </w:rPr>
        <w:t xml:space="preserve"> </w:t>
      </w:r>
      <w:r>
        <w:rPr>
          <w:rFonts w:ascii="Arial" w:cs="Arial" w:eastAsia="Arial" w:hAnsi="Arial"/>
          <w:sz w:val="14"/>
          <w:szCs w:val="14"/>
          <w:i w:val="1"/>
          <w:iCs w:val="1"/>
          <w:color w:val="auto"/>
        </w:rPr>
        <w:t>Reportable Segment Disclosures</w:t>
      </w:r>
      <w:r>
        <w:rPr>
          <w:rFonts w:ascii="Arial" w:cs="Arial" w:eastAsia="Arial" w:hAnsi="Arial"/>
          <w:sz w:val="14"/>
          <w:szCs w:val="14"/>
          <w:color w:val="auto"/>
        </w:rPr>
        <w:t>. The amendments in guidance improve reportable segment disclosure requirements, primarily through enhanced disclosures about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segment expenses. This guidance is effective for fiscal years beginning after December 15, 2023, and interim periods within fiscal years beginning after December 15, 2024. Early adoption is permitted. The Company adopted the pronouncement on February 1, 2024. The Company applied the amendments retrospectively to all prior periods presented in the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Not Yet Adopted</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2023, the FASB issued ASU No. 2023-09, </w:t>
      </w:r>
      <w:r>
        <w:rPr>
          <w:rFonts w:ascii="Arial" w:cs="Arial" w:eastAsia="Arial" w:hAnsi="Arial"/>
          <w:sz w:val="14"/>
          <w:szCs w:val="14"/>
          <w:i w:val="1"/>
          <w:iCs w:val="1"/>
          <w:color w:val="auto"/>
        </w:rPr>
        <w:t>Income taxes (Topic 740): Improvements to Income Taxes Disclosures.</w:t>
      </w:r>
      <w:r>
        <w:rPr>
          <w:rFonts w:ascii="Arial" w:cs="Arial" w:eastAsia="Arial" w:hAnsi="Arial"/>
          <w:sz w:val="14"/>
          <w:szCs w:val="14"/>
          <w:color w:val="auto"/>
        </w:rPr>
        <w:t xml:space="preserve"> This guidance requires annual disclosure of specific categories in the rate reconciliation and provides additional information for reconciling items that meet a quantitative threshold. The guidance is effective for fiscal years beginning after December 15, 2025. Early adoption is permitted. The Company plans to adopt ASU 2023-09 in its annual report for the fiscal year ending January 31, 2026. As ASU 2023-09 affects only disclosures, the Company does not expect adoption of this ASU will have a material impact on its financial position or results of operations.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In November 2024, the FASB issued ASU No. 2024-03, </w:t>
      </w:r>
      <w:r>
        <w:rPr>
          <w:rFonts w:ascii="Arial" w:cs="Arial" w:eastAsia="Arial" w:hAnsi="Arial"/>
          <w:sz w:val="14"/>
          <w:szCs w:val="14"/>
          <w:i w:val="1"/>
          <w:iCs w:val="1"/>
          <w:color w:val="auto"/>
        </w:rPr>
        <w:t>Income Statement Expense Disaggregation Disclosures</w:t>
      </w:r>
      <w:r>
        <w:rPr>
          <w:rFonts w:ascii="Arial" w:cs="Arial" w:eastAsia="Arial" w:hAnsi="Arial"/>
          <w:sz w:val="14"/>
          <w:szCs w:val="14"/>
          <w:color w:val="auto"/>
        </w:rPr>
        <w:t>, which requires additional disclosures about certain amounts included in the expense captions presented on the statement of operations as well as disclosures about selling expenses. In January 2025, the FASB issued ASU No. 2025-01, which provides a delayed implementation timeline to give issuers additional time to prepare for the impacts of adopting ASU No. 2024-03. ASU No. 2024-03 is effective for fiscal years beginning after December 15, 2026, and interim periods within fiscal years beginning after December 15, 2027. Early adoption is permitted. The Company is currently evaluating the impacts of the amendment on the consolidated financial statements.</w:t>
      </w:r>
    </w:p>
    <w:p>
      <w:pPr>
        <w:spacing w:after="0" w:line="98" w:lineRule="exact"/>
        <w:rPr>
          <w:sz w:val="20"/>
          <w:szCs w:val="20"/>
          <w:color w:val="auto"/>
        </w:rPr>
      </w:pPr>
    </w:p>
    <w:p>
      <w:pPr>
        <w:ind w:left="500" w:hanging="496"/>
        <w:spacing w:after="0"/>
        <w:tabs>
          <w:tab w:leader="none" w:pos="500" w:val="left"/>
        </w:tabs>
        <w:numPr>
          <w:ilvl w:val="0"/>
          <w:numId w:val="137"/>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Fair value is defined as the price that would be received from the sale of an asset or paid to transfer a liability in an orderly transaction between market participants on the measurement date. Assets 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280"/>
          </w:cols>
          <w:pgMar w:left="300" w:top="209" w:right="319" w:bottom="1440" w:gutter="0" w:footer="0" w:header="0"/>
        </w:sectPr>
      </w:pPr>
    </w:p>
    <w:bookmarkStart w:id="286" w:name="page287"/>
    <w:bookmarkEnd w:id="286"/>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liabilities recorded at fair value are measured using a three-tier fair value hierarchy, which prioritizes the inputs used in measuring fair value. These tiers are:</w:t>
      </w:r>
    </w:p>
    <w:p>
      <w:pPr>
        <w:spacing w:after="0" w:line="133" w:lineRule="exact"/>
        <w:rPr>
          <w:sz w:val="20"/>
          <w:szCs w:val="20"/>
          <w:color w:val="auto"/>
        </w:rPr>
      </w:pPr>
    </w:p>
    <w:p>
      <w:pPr>
        <w:ind w:left="500" w:hanging="244"/>
        <w:spacing w:after="0"/>
        <w:tabs>
          <w:tab w:leader="none" w:pos="5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Level 1 – Observable inputs that reflect quoted prices (unadjusted) available in active markets for identical assets or liabilities.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Level 2 – Inputs other than quoted prices in active markets that are either directly or indirectly observable.</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38"/>
        </w:numPr>
        <w:rPr>
          <w:rFonts w:ascii="Arial" w:cs="Arial" w:eastAsia="Arial" w:hAnsi="Arial"/>
          <w:sz w:val="14"/>
          <w:szCs w:val="14"/>
          <w:color w:val="auto"/>
        </w:rPr>
      </w:pPr>
      <w:r>
        <w:rPr>
          <w:rFonts w:ascii="Arial" w:cs="Arial" w:eastAsia="Arial" w:hAnsi="Arial"/>
          <w:sz w:val="14"/>
          <w:szCs w:val="14"/>
          <w:color w:val="auto"/>
        </w:rPr>
        <w:t>Level 3 – Unobservable inputs for which little or no market data exists, therefore requiring the Company to develop its own assumptions that market participants would use in pricing the asset or liability, including assumptions about risk.</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 financial instrument’s level within the fair value hierarchy is based on the lowest level of any input that is significant to the fair value measurement. In addition, the Company considers and uses all valuation methods that are appropriate in estimating the fair value of an asset or liability.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financial instruments consist of cash and cash equivalents, cash segregated and on deposit for regulatory purposes, client-held fractional shares, restricted cash, due from/to clients, proprietary inventory in other current assets, accounts payable, accrued liabilities, payable to clearing broker, fractional shares repurchase obligation, convertible note, SAFEs, and warrant liabilities. Cash equivalents, client-held fractional shares, fractional shares repurchase obligation, proprietary inventory, convertible note, SAFEs, and warrant liabilities are stated at fair value. Cash, cash investments segregated and on deposit for regulatory purposes, restricted cash, due from/to clients, accounts payable, accrued liabilities, and payable to clearing broker are stated at their carrying value, which approximates fair value due to the short time these financial instruments are held to the expected receipt or payment date.</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tables summarize the fair value of financial assets and liabilities and their classification by level of input within the fair value hierarchy as of January 31, 2024 and 2025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1"/>
                <w:szCs w:val="11"/>
                <w:b w:val="1"/>
                <w:bCs w:val="1"/>
                <w:color w:val="auto"/>
              </w:rPr>
              <w:t>Financial Assets and Liabilities at Fair Value</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Total</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Level 2</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January 31, 2024</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Assets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1000" w:type="dxa"/>
            <w:vAlign w:val="bottom"/>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80,004</w:t>
            </w:r>
          </w:p>
        </w:tc>
        <w:tc>
          <w:tcPr>
            <w:tcW w:w="80" w:type="dxa"/>
            <w:vAlign w:val="bottom"/>
          </w:tcPr>
          <w:p>
            <w:pPr>
              <w:spacing w:after="0"/>
              <w:rPr>
                <w:sz w:val="15"/>
                <w:szCs w:val="15"/>
                <w:color w:val="auto"/>
              </w:rPr>
            </w:pPr>
          </w:p>
        </w:tc>
        <w:tc>
          <w:tcPr>
            <w:tcW w:w="1020" w:type="dxa"/>
            <w:vAlign w:val="bottom"/>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80,004</w:t>
            </w:r>
          </w:p>
        </w:tc>
        <w:tc>
          <w:tcPr>
            <w:tcW w:w="80" w:type="dxa"/>
            <w:vAlign w:val="bottom"/>
          </w:tcPr>
          <w:p>
            <w:pPr>
              <w:spacing w:after="0"/>
              <w:rPr>
                <w:sz w:val="15"/>
                <w:szCs w:val="15"/>
                <w:color w:val="auto"/>
              </w:rPr>
            </w:pP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Certificates of deposit</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Client-held fractional shares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9,024</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9,024</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Proprietary inventory</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 at fair value</w:t>
            </w:r>
          </w:p>
        </w:tc>
        <w:tc>
          <w:tcPr>
            <w:tcW w:w="100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i w:val="1"/>
                <w:iCs w:val="1"/>
                <w:color w:val="auto"/>
              </w:rPr>
              <w:t>Liabilities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note</w:t>
            </w:r>
          </w:p>
        </w:tc>
        <w:tc>
          <w:tcPr>
            <w:tcW w:w="100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46,953</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SAFEs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4,843</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Warrant liabilities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2,832</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Fractional shares repurchase obligation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color w:val="auto"/>
              </w:rPr>
              <w:t>Total financial liabilities at fair value</w:t>
            </w:r>
          </w:p>
        </w:tc>
        <w:tc>
          <w:tcPr>
            <w:tcW w:w="100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63,652</w:t>
            </w:r>
          </w:p>
        </w:tc>
        <w:tc>
          <w:tcPr>
            <w:tcW w:w="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9,024</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109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54,628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280"/>
          </w:cols>
          <w:pgMar w:left="300" w:top="209" w:right="319" w:bottom="1440" w:gutter="0" w:footer="0" w:header="0"/>
        </w:sectPr>
      </w:pPr>
    </w:p>
    <w:bookmarkStart w:id="287" w:name="page288"/>
    <w:bookmarkEnd w:id="287"/>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1"/>
                <w:szCs w:val="11"/>
                <w:b w:val="1"/>
                <w:bCs w:val="1"/>
                <w:color w:val="auto"/>
              </w:rPr>
              <w:t>Financial Assets and Liabilities at Fair Value</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Level 2</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January 31, 2025</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Assets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118,708</w:t>
            </w:r>
          </w:p>
        </w:tc>
        <w:tc>
          <w:tcPr>
            <w:tcW w:w="80" w:type="dxa"/>
            <w:vAlign w:val="bottom"/>
          </w:tcPr>
          <w:p>
            <w:pPr>
              <w:spacing w:after="0"/>
              <w:rPr>
                <w:sz w:val="15"/>
                <w:szCs w:val="15"/>
                <w:color w:val="auto"/>
              </w:rPr>
            </w:pPr>
          </w:p>
        </w:tc>
        <w:tc>
          <w:tcPr>
            <w:tcW w:w="980" w:type="dxa"/>
            <w:vAlign w:val="bottom"/>
          </w:tcPr>
          <w:p>
            <w:pPr>
              <w:jc w:val="right"/>
              <w:ind w:right="835"/>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118,708</w:t>
            </w:r>
          </w:p>
        </w:tc>
        <w:tc>
          <w:tcPr>
            <w:tcW w:w="80" w:type="dxa"/>
            <w:vAlign w:val="bottom"/>
          </w:tcPr>
          <w:p>
            <w:pPr>
              <w:spacing w:after="0"/>
              <w:rPr>
                <w:sz w:val="15"/>
                <w:szCs w:val="15"/>
                <w:color w:val="auto"/>
              </w:rPr>
            </w:pP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Certificates of deposit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Client-held fractional shares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Proprietary inventory</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149,667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SAFEs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Pr>
          <w:p>
            <w:pPr>
              <w:spacing w:after="0"/>
              <w:rPr>
                <w:sz w:val="15"/>
                <w:szCs w:val="15"/>
                <w:color w:val="auto"/>
              </w:rPr>
            </w:pPr>
          </w:p>
        </w:tc>
        <w:tc>
          <w:tcPr>
            <w:tcW w:w="980" w:type="dxa"/>
            <w:vAlign w:val="bottom"/>
          </w:tcPr>
          <w:p>
            <w:pPr>
              <w:jc w:val="right"/>
              <w:ind w:right="835"/>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6,141</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Fractional shares repurchase obligation</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sets forth a summary of the changes in the fair value of the Company’s Level 3 financial instruments that are measured at fair value on a recurring basis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Convertible Note</w:t>
            </w:r>
          </w:p>
        </w:tc>
        <w:tc>
          <w:tcPr>
            <w:tcW w:w="300" w:type="dxa"/>
            <w:vAlign w:val="bottom"/>
          </w:tcPr>
          <w:p>
            <w:pPr>
              <w:spacing w:after="0"/>
              <w:rPr>
                <w:sz w:val="10"/>
                <w:szCs w:val="1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Warrant</w:t>
            </w:r>
          </w:p>
        </w:tc>
        <w:tc>
          <w:tcPr>
            <w:tcW w:w="360" w:type="dxa"/>
            <w:vAlign w:val="bottom"/>
          </w:tcPr>
          <w:p>
            <w:pPr>
              <w:spacing w:after="0"/>
              <w:rPr>
                <w:sz w:val="10"/>
                <w:szCs w:val="10"/>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SAFEs</w:t>
            </w:r>
          </w:p>
        </w:tc>
        <w:tc>
          <w:tcPr>
            <w:tcW w:w="380" w:type="dxa"/>
            <w:vAlign w:val="bottom"/>
          </w:tcPr>
          <w:p>
            <w:pPr>
              <w:spacing w:after="0"/>
              <w:rPr>
                <w:sz w:val="10"/>
                <w:szCs w:val="10"/>
                <w:color w:val="auto"/>
              </w:rPr>
            </w:pPr>
          </w:p>
        </w:tc>
        <w:tc>
          <w:tcPr>
            <w:tcW w:w="1180" w:type="dxa"/>
            <w:vAlign w:val="bottom"/>
            <w:vMerge w:val="restart"/>
          </w:tcPr>
          <w:p>
            <w:pPr>
              <w:jc w:val="right"/>
              <w:ind w:right="5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Liabilities</w:t>
            </w:r>
          </w:p>
        </w:tc>
        <w:tc>
          <w:tcPr>
            <w:tcW w:w="3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31, 2023</w:t>
            </w: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98,455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102,910</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1,270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1,979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4,490</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interest, including $4,451 PIK interest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(12,194)</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Repayment of principal</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(40,578)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(40,578)</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31, 2024</w:t>
            </w:r>
          </w:p>
        </w:tc>
        <w:tc>
          <w:tcPr>
            <w:tcW w:w="2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46,953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54,628</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(16,927)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(14,951)</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interest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Repayment of principal</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(29,122)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(29,122)</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31, 2025</w:t>
            </w: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There were no transfers between Level 1, Level 2, and Level 3 of the fair value hierarchy during the fiscal years ended January 31, 2024 and 2025. Refer to Note 7. — Financing Activities for more information.</w:t>
      </w:r>
    </w:p>
    <w:p>
      <w:pPr>
        <w:spacing w:after="0" w:line="79" w:lineRule="exact"/>
        <w:rPr>
          <w:sz w:val="20"/>
          <w:szCs w:val="20"/>
          <w:color w:val="auto"/>
        </w:rPr>
      </w:pPr>
    </w:p>
    <w:p>
      <w:pPr>
        <w:ind w:right="9460" w:firstLine="4"/>
        <w:spacing w:after="0" w:line="438" w:lineRule="auto"/>
        <w:tabs>
          <w:tab w:leader="none" w:pos="495" w:val="left"/>
        </w:tabs>
        <w:numPr>
          <w:ilvl w:val="0"/>
          <w:numId w:val="139"/>
        </w:numPr>
        <w:rPr>
          <w:rFonts w:ascii="Arial" w:cs="Arial" w:eastAsia="Arial" w:hAnsi="Arial"/>
          <w:sz w:val="14"/>
          <w:szCs w:val="14"/>
          <w:b w:val="1"/>
          <w:bCs w:val="1"/>
          <w:color w:val="auto"/>
        </w:rPr>
      </w:pPr>
      <w:r>
        <w:rPr>
          <w:rFonts w:ascii="Arial" w:cs="Arial" w:eastAsia="Arial" w:hAnsi="Arial"/>
          <w:sz w:val="14"/>
          <w:szCs w:val="14"/>
          <w:b w:val="1"/>
          <w:bCs w:val="1"/>
          <w:color w:val="auto"/>
        </w:rPr>
        <w:t>Revenue Disaggregation of Revenue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principal categories the Company uses to disaggregate revenue reflect the type of service from which the revenue is generated, which is consistent with the presentation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revenue streams identified as being generated through contracts with clients are outlined in Note 2. — Summary of Significant Accounting Policies are all settled in arrears, in accordance with the Company’s contracts with the applicable counterparties. Receivables relate to the Company’s unconditional right to receive payment for its performance completed under the contract.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280"/>
          </w:cols>
          <w:pgMar w:left="300" w:top="209" w:right="319" w:bottom="1440" w:gutter="0" w:footer="0" w:header="0"/>
        </w:sectPr>
      </w:pPr>
    </w:p>
    <w:bookmarkStart w:id="288" w:name="page289"/>
    <w:bookmarkEnd w:id="288"/>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does not have deferred revenue as of January 31, 2024 and 2025. No other contract assets or liabilities existed for the fiscal years ended January 31, 2024 and 2025.</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sets forth the opening and closing balances for accounts receivable from contracts with clients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Cash Management</w:t>
            </w:r>
          </w:p>
        </w:tc>
        <w:tc>
          <w:tcPr>
            <w:tcW w:w="160" w:type="dxa"/>
            <w:vAlign w:val="bottom"/>
          </w:tcPr>
          <w:p>
            <w:pPr>
              <w:spacing w:after="0"/>
              <w:rPr>
                <w:sz w:val="10"/>
                <w:szCs w:val="1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Investment Advisory</w:t>
            </w:r>
          </w:p>
        </w:tc>
        <w:tc>
          <w:tcPr>
            <w:tcW w:w="220" w:type="dxa"/>
            <w:vAlign w:val="bottom"/>
          </w:tcPr>
          <w:p>
            <w:pPr>
              <w:spacing w:after="0"/>
              <w:rPr>
                <w:sz w:val="10"/>
                <w:szCs w:val="10"/>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Other Receivable</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1"/>
                <w:szCs w:val="11"/>
                <w:b w:val="1"/>
                <w:bCs w:val="1"/>
                <w:color w:val="auto"/>
              </w:rPr>
              <w:t>Total Accounts Receivable</w:t>
            </w:r>
          </w:p>
        </w:tc>
        <w:tc>
          <w:tcPr>
            <w:tcW w:w="0" w:type="dxa"/>
            <w:vAlign w:val="bottom"/>
          </w:tcPr>
          <w:p>
            <w:pPr>
              <w:spacing w:after="0"/>
              <w:rPr>
                <w:sz w:val="1"/>
                <w:szCs w:val="1"/>
                <w:color w:val="auto"/>
              </w:rPr>
            </w:pPr>
          </w:p>
        </w:tc>
      </w:tr>
      <w:tr>
        <w:trPr>
          <w:trHeight w:val="143"/>
        </w:trPr>
        <w:tc>
          <w:tcPr>
            <w:tcW w:w="4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Receivable</w:t>
            </w:r>
          </w:p>
        </w:tc>
        <w:tc>
          <w:tcPr>
            <w:tcW w:w="16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Receivable</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Opening Balance, February 1, 2023</w:t>
            </w: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10,868</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Closing Balance, January 31, 2024</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20,181</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8,946</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Closing Balance, January 31, 2025</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29,127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Cash management receivable increased by 141% and 44% for the fiscal years ended January 31, 2024 and 2025, respectively, compared to the prior year. The increase of the cash management receivable balance was driven by increases in the average Cash Account balances during each period.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20"/>
                <w:szCs w:val="20"/>
                <w:color w:val="auto"/>
              </w:rPr>
            </w:pPr>
            <w:r>
              <w:rPr>
                <w:rFonts w:ascii="Arial" w:cs="Arial" w:eastAsia="Arial" w:hAnsi="Arial"/>
                <w:sz w:val="14"/>
                <w:szCs w:val="14"/>
                <w:b w:val="1"/>
                <w:bCs w:val="1"/>
                <w:color w:val="auto"/>
              </w:rPr>
              <w:t>5.</w:t>
            </w:r>
          </w:p>
        </w:tc>
        <w:tc>
          <w:tcPr>
            <w:tcW w:w="7660" w:type="dxa"/>
            <w:vAlign w:val="bottom"/>
          </w:tcPr>
          <w:p>
            <w:pPr>
              <w:ind w:left="100"/>
              <w:spacing w:after="0"/>
              <w:rPr>
                <w:sz w:val="20"/>
                <w:szCs w:val="20"/>
                <w:color w:val="auto"/>
              </w:rPr>
            </w:pPr>
            <w:r>
              <w:rPr>
                <w:rFonts w:ascii="Arial" w:cs="Arial" w:eastAsia="Arial" w:hAnsi="Arial"/>
                <w:sz w:val="14"/>
                <w:szCs w:val="14"/>
                <w:b w:val="1"/>
                <w:bCs w:val="1"/>
                <w:color w:val="auto"/>
              </w:rPr>
              <w:t>Property, Software and Equipment, Net</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86"/>
        </w:trPr>
        <w:tc>
          <w:tcPr>
            <w:tcW w:w="8060" w:type="dxa"/>
            <w:vAlign w:val="bottom"/>
            <w:gridSpan w:val="2"/>
          </w:tcPr>
          <w:p>
            <w:pPr>
              <w:spacing w:after="0"/>
              <w:rPr>
                <w:sz w:val="20"/>
                <w:szCs w:val="20"/>
                <w:color w:val="auto"/>
              </w:rPr>
            </w:pPr>
            <w:r>
              <w:rPr>
                <w:rFonts w:ascii="Arial" w:cs="Arial" w:eastAsia="Arial" w:hAnsi="Arial"/>
                <w:sz w:val="14"/>
                <w:szCs w:val="14"/>
                <w:color w:val="auto"/>
              </w:rPr>
              <w:t>Property, software, and equipment, net as of January 31, 2024 and 2025 consists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3"/>
        </w:trPr>
        <w:tc>
          <w:tcPr>
            <w:tcW w:w="4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1"/>
                <w:szCs w:val="11"/>
                <w:b w:val="1"/>
                <w:bCs w:val="1"/>
                <w:color w:val="auto"/>
              </w:rPr>
              <w:t>January 31,</w:t>
            </w:r>
          </w:p>
        </w:tc>
        <w:tc>
          <w:tcPr>
            <w:tcW w:w="1100" w:type="dxa"/>
            <w:vAlign w:val="bottom"/>
            <w:tcBorders>
              <w:bottom w:val="single" w:sz="8" w:color="auto"/>
            </w:tcBorders>
          </w:tcPr>
          <w:p>
            <w:pPr>
              <w:spacing w:after="0"/>
              <w:rPr>
                <w:sz w:val="24"/>
                <w:szCs w:val="24"/>
                <w:color w:val="auto"/>
              </w:rPr>
            </w:pPr>
          </w:p>
        </w:tc>
      </w:tr>
      <w:tr>
        <w:trPr>
          <w:trHeight w:val="148"/>
        </w:trPr>
        <w:tc>
          <w:tcPr>
            <w:tcW w:w="400" w:type="dxa"/>
            <w:vAlign w:val="bottom"/>
            <w:tcBorders>
              <w:bottom w:val="single" w:sz="8" w:color="CCEEFF"/>
            </w:tcBorders>
          </w:tcPr>
          <w:p>
            <w:pPr>
              <w:spacing w:after="0"/>
              <w:rPr>
                <w:sz w:val="12"/>
                <w:szCs w:val="12"/>
                <w:color w:val="auto"/>
              </w:rPr>
            </w:pPr>
          </w:p>
        </w:tc>
        <w:tc>
          <w:tcPr>
            <w:tcW w:w="76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r>
      <w:tr>
        <w:trPr>
          <w:trHeight w:val="16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r>
      <w:tr>
        <w:trPr>
          <w:trHeight w:val="179"/>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Computer equipment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4,023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4,539</w:t>
            </w:r>
          </w:p>
        </w:tc>
      </w:tr>
      <w:tr>
        <w:trPr>
          <w:trHeight w:val="17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r>
      <w:tr>
        <w:trPr>
          <w:trHeight w:val="179"/>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Internally developed software</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30,755</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37,702</w:t>
            </w:r>
          </w:p>
        </w:tc>
      </w:tr>
      <w:tr>
        <w:trPr>
          <w:trHeight w:val="169"/>
        </w:trPr>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37,916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45,397</w:t>
            </w:r>
          </w:p>
        </w:tc>
      </w:tr>
      <w:tr>
        <w:trPr>
          <w:trHeight w:val="179"/>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(30,674)</w:t>
            </w:r>
          </w:p>
        </w:tc>
      </w:tr>
      <w:tr>
        <w:trPr>
          <w:trHeight w:val="194"/>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Property, software, and equipment, net</w:t>
            </w:r>
          </w:p>
        </w:tc>
        <w:tc>
          <w:tcPr>
            <w:tcW w:w="98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14,723</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related to property and equipment for the fiscal years ended January 31, 2024 and 2025 was $0.7 million and $0.9 million, respectively.</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capitalized $6.1 million and $6.9 million in internally-developed software costs during the fiscal years ended January 31, 2024 and 2025, respectively. The associated amortization expense was $5.3 million and $5.4 million for the fiscal years ended January 31, 2024 and 2025, respectively. There was no impairment recorded during the fiscal years ended January 31, 2024 and 2025.</w:t>
      </w:r>
    </w:p>
    <w:p>
      <w:pPr>
        <w:spacing w:after="0" w:line="91" w:lineRule="exact"/>
        <w:rPr>
          <w:sz w:val="20"/>
          <w:szCs w:val="20"/>
          <w:color w:val="auto"/>
        </w:rPr>
      </w:pPr>
    </w:p>
    <w:p>
      <w:pPr>
        <w:ind w:left="500" w:hanging="496"/>
        <w:spacing w:after="0"/>
        <w:tabs>
          <w:tab w:leader="none" w:pos="500" w:val="left"/>
        </w:tabs>
        <w:numPr>
          <w:ilvl w:val="0"/>
          <w:numId w:val="140"/>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has two noncancelable operating leases for its offices. One has a lease term expiring in May 2025, and the other has a lease term expiring in June 2028 and included free rent periods and escalating rent payment provisions. Both leases require the Company to pay annual operating, tax or utilities expenses, which are included in the variable lease costs. The Company utilizes its incremental borrowing rate in determining the present value of lease payments, as the implicit rate is not readily determinable.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280"/>
          </w:cols>
          <w:pgMar w:left="300" w:top="209" w:right="319" w:bottom="1440" w:gutter="0" w:footer="0" w:header="0"/>
        </w:sectPr>
      </w:pPr>
    </w:p>
    <w:bookmarkStart w:id="289" w:name="page290"/>
    <w:bookmarkEnd w:id="289"/>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 for operating leases for the fiscal years ended January 31, 2024 and 2025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1"/>
                <w:szCs w:val="11"/>
                <w:b w:val="1"/>
                <w:bCs w:val="1"/>
                <w:color w:val="auto"/>
              </w:rPr>
              <w:t>Fiscal Year Ended January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04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Supplemental cash flow information related to leases was as follows (in thousands):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0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06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1"/>
                <w:szCs w:val="11"/>
                <w:b w:val="1"/>
                <w:bCs w:val="1"/>
                <w:color w:val="auto"/>
              </w:rPr>
              <w:t>Fiscal Year Ended January 31,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Cash paid for amounts included in the measurement of lease liabilities:</w:t>
            </w:r>
          </w:p>
        </w:tc>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60" w:type="dxa"/>
            <w:vAlign w:val="bottom"/>
          </w:tcPr>
          <w:p>
            <w:pPr>
              <w:ind w:left="20"/>
              <w:spacing w:after="0"/>
              <w:rPr>
                <w:sz w:val="20"/>
                <w:szCs w:val="20"/>
                <w:color w:val="auto"/>
              </w:rPr>
            </w:pPr>
            <w:r>
              <w:rPr>
                <w:rFonts w:ascii="Arial" w:cs="Arial" w:eastAsia="Arial" w:hAnsi="Arial"/>
                <w:sz w:val="14"/>
                <w:szCs w:val="14"/>
                <w:color w:val="auto"/>
              </w:rPr>
              <w:t>Payments for operating leases</w:t>
            </w:r>
          </w:p>
        </w:tc>
        <w:tc>
          <w:tcPr>
            <w:tcW w:w="1040" w:type="dxa"/>
            <w:vAlign w:val="bottom"/>
          </w:tcPr>
          <w:p>
            <w:pPr>
              <w:jc w:val="right"/>
              <w:ind w:right="87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4,066</w:t>
            </w:r>
          </w:p>
        </w:tc>
        <w:tc>
          <w:tcPr>
            <w:tcW w:w="80" w:type="dxa"/>
            <w:vAlign w:val="bottom"/>
          </w:tcPr>
          <w:p>
            <w:pPr>
              <w:spacing w:after="0"/>
              <w:rPr>
                <w:sz w:val="16"/>
                <w:szCs w:val="16"/>
                <w:color w:val="auto"/>
              </w:rPr>
            </w:pPr>
          </w:p>
        </w:tc>
        <w:tc>
          <w:tcPr>
            <w:tcW w:w="1020" w:type="dxa"/>
            <w:vAlign w:val="bottom"/>
          </w:tcPr>
          <w:p>
            <w:pPr>
              <w:jc w:val="right"/>
              <w:ind w:right="876"/>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lease-related assets and liabilities recorded in the consolidated balance sheet at January 31, 2024 and 2025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1"/>
                <w:szCs w:val="11"/>
                <w:b w:val="1"/>
                <w:bCs w:val="1"/>
                <w:color w:val="auto"/>
              </w:rPr>
              <w:t>January 31,</w:t>
            </w:r>
          </w:p>
        </w:tc>
        <w:tc>
          <w:tcPr>
            <w:tcW w:w="110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ROU assets</w:t>
            </w:r>
          </w:p>
        </w:tc>
        <w:tc>
          <w:tcPr>
            <w:tcW w:w="1000" w:type="dxa"/>
            <w:vAlign w:val="bottom"/>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11,229</w:t>
            </w:r>
          </w:p>
        </w:tc>
      </w:tr>
      <w:tr>
        <w:trPr>
          <w:trHeight w:val="210"/>
        </w:trPr>
        <w:tc>
          <w:tcPr>
            <w:tcW w:w="8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9,796</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lease liabilities</w:t>
            </w:r>
          </w:p>
        </w:tc>
        <w:tc>
          <w:tcPr>
            <w:tcW w:w="100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Lease term and discount rate were as follows:</w:t>
      </w:r>
    </w:p>
    <w:p>
      <w:pPr>
        <w:spacing w:after="0" w:line="173" w:lineRule="exact"/>
        <w:rPr>
          <w:sz w:val="20"/>
          <w:szCs w:val="20"/>
          <w:color w:val="auto"/>
        </w:rPr>
      </w:pPr>
    </w:p>
    <w:p>
      <w:pPr>
        <w:ind w:left="8760"/>
        <w:spacing w:after="0"/>
        <w:rPr>
          <w:sz w:val="20"/>
          <w:szCs w:val="20"/>
          <w:color w:val="auto"/>
        </w:rPr>
      </w:pPr>
      <w:r>
        <w:rPr>
          <w:rFonts w:ascii="Arial" w:cs="Arial" w:eastAsia="Arial" w:hAnsi="Arial"/>
          <w:sz w:val="11"/>
          <w:szCs w:val="11"/>
          <w:b w:val="1"/>
          <w:bCs w:val="1"/>
          <w:color w:val="auto"/>
        </w:rPr>
        <w:t>Fiscal Year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8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2025</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3.40</w:t>
            </w:r>
          </w:p>
        </w:tc>
      </w:tr>
      <w:tr>
        <w:trPr>
          <w:trHeight w:val="185"/>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580" w:type="dxa"/>
            <w:vAlign w:val="bottom"/>
          </w:tcPr>
          <w:p>
            <w:pPr>
              <w:ind w:left="120"/>
              <w:spacing w:after="0"/>
              <w:rPr>
                <w:sz w:val="20"/>
                <w:szCs w:val="20"/>
                <w:color w:val="auto"/>
              </w:rPr>
            </w:pPr>
            <w:r>
              <w:rPr>
                <w:rFonts w:ascii="Arial" w:cs="Arial" w:eastAsia="Arial" w:hAnsi="Arial"/>
                <w:sz w:val="14"/>
                <w:szCs w:val="14"/>
                <w:color w:val="auto"/>
              </w:rPr>
              <w:t>5.23 %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ind w:left="780"/>
              <w:spacing w:after="0"/>
              <w:rPr>
                <w:sz w:val="20"/>
                <w:szCs w:val="20"/>
                <w:color w:val="auto"/>
              </w:rPr>
            </w:pPr>
            <w:r>
              <w:rPr>
                <w:rFonts w:ascii="Arial" w:cs="Arial" w:eastAsia="Arial" w:hAnsi="Arial"/>
                <w:sz w:val="14"/>
                <w:szCs w:val="14"/>
                <w:color w:val="auto"/>
              </w:rPr>
              <w:t>5.25 %</w:t>
            </w:r>
          </w:p>
        </w:tc>
      </w:tr>
      <w:tr>
        <w:trPr>
          <w:trHeight w:val="364"/>
        </w:trPr>
        <w:tc>
          <w:tcPr>
            <w:tcW w:w="8940" w:type="dxa"/>
            <w:vAlign w:val="bottom"/>
            <w:gridSpan w:val="2"/>
          </w:tcPr>
          <w:p>
            <w:pPr>
              <w:spacing w:after="0"/>
              <w:rPr>
                <w:sz w:val="20"/>
                <w:szCs w:val="20"/>
                <w:color w:val="auto"/>
              </w:rPr>
            </w:pPr>
            <w:r>
              <w:rPr>
                <w:rFonts w:ascii="Arial" w:cs="Arial" w:eastAsia="Arial" w:hAnsi="Arial"/>
                <w:sz w:val="14"/>
                <w:szCs w:val="14"/>
                <w:color w:val="auto"/>
              </w:rPr>
              <w:t>The following table provides the maturities of lease liabilities on January 31, 2025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3"/>
        </w:trPr>
        <w:tc>
          <w:tcPr>
            <w:tcW w:w="78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Amount</w:t>
            </w:r>
          </w:p>
        </w:tc>
      </w:tr>
      <w:tr>
        <w:trPr>
          <w:trHeight w:val="159"/>
        </w:trPr>
        <w:tc>
          <w:tcPr>
            <w:tcW w:w="89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Maturity of lease liabilities at January 31:</w:t>
            </w: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4"/>
                <w:szCs w:val="14"/>
                <w:color w:val="auto"/>
              </w:rPr>
              <w:t>2026</w:t>
            </w:r>
          </w:p>
        </w:tc>
        <w:tc>
          <w:tcPr>
            <w:tcW w:w="1080" w:type="dxa"/>
            <w:vAlign w:val="bottom"/>
          </w:tcPr>
          <w:p>
            <w:pPr>
              <w:spacing w:after="0"/>
              <w:rPr>
                <w:sz w:val="15"/>
                <w:szCs w:val="15"/>
                <w:color w:val="auto"/>
              </w:rPr>
            </w:pPr>
          </w:p>
        </w:tc>
        <w:tc>
          <w:tcPr>
            <w:tcW w:w="1100" w:type="dxa"/>
            <w:vAlign w:val="bottom"/>
            <w:gridSpan w:val="4"/>
          </w:tcPr>
          <w:p>
            <w:pPr>
              <w:jc w:val="right"/>
              <w:ind w:right="17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4,171</w:t>
            </w:r>
          </w:p>
        </w:tc>
      </w:tr>
      <w:tr>
        <w:trPr>
          <w:trHeight w:val="17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4,226</w:t>
            </w:r>
          </w:p>
        </w:tc>
      </w:tr>
      <w:tr>
        <w:trPr>
          <w:trHeight w:val="179"/>
        </w:trPr>
        <w:tc>
          <w:tcPr>
            <w:tcW w:w="7860" w:type="dxa"/>
            <w:vAlign w:val="bottom"/>
          </w:tcPr>
          <w:p>
            <w:pPr>
              <w:ind w:left="20"/>
              <w:spacing w:after="0"/>
              <w:rPr>
                <w:sz w:val="20"/>
                <w:szCs w:val="20"/>
                <w:color w:val="auto"/>
              </w:rPr>
            </w:pPr>
            <w:r>
              <w:rPr>
                <w:rFonts w:ascii="Arial" w:cs="Arial" w:eastAsia="Arial" w:hAnsi="Arial"/>
                <w:sz w:val="14"/>
                <w:szCs w:val="14"/>
                <w:color w:val="auto"/>
              </w:rPr>
              <w:t>2028</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4,363</w:t>
            </w:r>
          </w:p>
        </w:tc>
      </w:tr>
      <w:tr>
        <w:trPr>
          <w:trHeight w:val="17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w:t>
            </w:r>
          </w:p>
        </w:tc>
      </w:tr>
      <w:tr>
        <w:trPr>
          <w:trHeight w:val="169"/>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Total future undiscounted lease payments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14,632</w:t>
            </w:r>
          </w:p>
        </w:tc>
      </w:tr>
      <w:tr>
        <w:trPr>
          <w:trHeight w:val="17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w w:val="99"/>
              </w:rPr>
              <w:t>(1,280)</w:t>
            </w:r>
          </w:p>
        </w:tc>
      </w:tr>
      <w:tr>
        <w:trPr>
          <w:trHeight w:val="169"/>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Present value of lease liabilities</w:t>
            </w:r>
          </w:p>
        </w:tc>
        <w:tc>
          <w:tcPr>
            <w:tcW w:w="780" w:type="dxa"/>
            <w:vAlign w:val="bottom"/>
            <w:gridSpan w:val="3"/>
          </w:tcPr>
          <w:p>
            <w:pPr>
              <w:spacing w:after="0"/>
              <w:rPr>
                <w:sz w:val="14"/>
                <w:szCs w:val="14"/>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13,352</w:t>
            </w:r>
          </w:p>
        </w:tc>
      </w:tr>
      <w:tr>
        <w:trPr>
          <w:trHeight w:val="20"/>
        </w:trPr>
        <w:tc>
          <w:tcPr>
            <w:tcW w:w="7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2025, the Company did not have additional operating and finance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280"/>
          </w:cols>
          <w:pgMar w:left="300" w:top="209" w:right="319" w:bottom="1440" w:gutter="0" w:footer="0" w:header="0"/>
        </w:sectPr>
      </w:pPr>
    </w:p>
    <w:bookmarkStart w:id="290" w:name="page291"/>
    <w:bookmarkEnd w:id="290"/>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ind w:right="9460" w:firstLine="4"/>
        <w:spacing w:after="0" w:line="438" w:lineRule="auto"/>
        <w:tabs>
          <w:tab w:leader="none" w:pos="495" w:val="left"/>
        </w:tabs>
        <w:numPr>
          <w:ilvl w:val="0"/>
          <w:numId w:val="141"/>
        </w:numPr>
        <w:rPr>
          <w:rFonts w:ascii="Arial" w:cs="Arial" w:eastAsia="Arial" w:hAnsi="Arial"/>
          <w:sz w:val="14"/>
          <w:szCs w:val="14"/>
          <w:b w:val="1"/>
          <w:bCs w:val="1"/>
          <w:color w:val="auto"/>
        </w:rPr>
      </w:pPr>
      <w:r>
        <w:rPr>
          <w:rFonts w:ascii="Arial" w:cs="Arial" w:eastAsia="Arial" w:hAnsi="Arial"/>
          <w:sz w:val="14"/>
          <w:szCs w:val="14"/>
          <w:b w:val="1"/>
          <w:bCs w:val="1"/>
          <w:color w:val="auto"/>
        </w:rPr>
        <w:t>Financing Activities Bridge Loan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January 14, 2022, the Company entered into a loan agreement with an investor and member of the Company’s board of directors to allow borrowings of up to $20.0 million (the “Bridge Loan”). The Company amended this loan agreement on August 7, 2023 to extend the maturity date to September 30, 2025 and increased the interest rate from 10% to 12.5% per annum as of April 3, 2024. The Company was required to repay all outstanding principal and accrued interest on the maturity date and was allowed to make voluntary prepayment at any time prior to the maturity date without penalty or premium.</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Bridge Loan interest expense was $2.0 million and $2.3 million for the fiscal years ended January 31, 2024 and 2025, respectively, recorded as interest expense in the consolidated statements of operations. The weighted-average interest rate was 10% and 12% for the fiscal years ended January 31, 2024 and 2025, respectively. At January 31, 2024, the Bridge Loan balance was $20.0 million and reflected within related-party long-term debt in the consolidated balance sheets. In November 2024, the Bridge Loan was paid off in full.</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Note</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September 2, 2022, the Company issued a $69.7 million convertible note with a maturity date of September 2, 2025. The convertible note accumulated interest at the Secured Overnight Financing Rate (“SOFR”), plus 9.0% per annum, compounding annually and was payable semiannually in arrears either in cash or by increasing the principal amount (“PIK Interest”).</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noteholder had the right to exchange the convertible note for Series H-1 or Series H-2 redeemable convertible preferred stock after the filing of the restated certificate of incorporation, as provided in the convertible note purchase agreement and the convertible note, and prior to the repayment at maturity, at a conversion price of $9.54 per share.</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had the option to prepay the convertible note with 30 days’ notice. The noteholder had the right to convert the convertible note at any time prior to prepayment by the Company. Upon a fundamental change prior to the payment or conversion of the convertible note, the Company was obligated to prepay the convertible note at the repayment amount, plus outstanding principal, PIK Interest, accrued interest, and unpaid interest.</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convertible note is accounted for as a liability in the Company’s consolidated balance sheets. The Company has made an irrevocable election to account for the convertible note under the fair value option in lieu of bifurcating certain features in the convertible note agreement. The primary reason for electing the fair value option is for simplification and cost benefit considerations of accounting for the convertible note at fair value. As a result of applying the fair value option, direct costs and fees related to the convertible note are expensed as incurred and are not deferred. The Company has elected not to present interest expense such as PIK Interest payment on the convertible note separately from the overall change in the fair value.</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accordance with ASC 825-10-45-5, the convertible note was initially measured at fair value with subsequent fair value changes recognized in other expense (income), net in the Company’s consolidated statements of operations every reporting period. The fair value change due to instrument-specific credit risk was immaterial for the fiscal years ended January 31, 2024 and 2025. As of January 31, 2024, the fair value of the convertible note was $47.0 million, comprising $29.4 million of debt and a $17.5 million call option. In March 2024, the convertible note was paid off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80"/>
          </w:cols>
          <w:pgMar w:left="300" w:top="209" w:right="319" w:bottom="1440" w:gutter="0" w:footer="0" w:header="0"/>
        </w:sectPr>
      </w:pPr>
    </w:p>
    <w:bookmarkStart w:id="291" w:name="page292"/>
    <w:bookmarkEnd w:id="291"/>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fair value of the convertible note is estimated based on a bond plus call option method using Discounted Cash Flow and the BSM option-pricing model. The key inputs into the convertible note valuation model were as follows for the fiscal year ended January 31,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60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Arial" w:cs="Arial" w:eastAsia="Arial" w:hAnsi="Arial"/>
                <w:sz w:val="11"/>
                <w:szCs w:val="11"/>
                <w:b w:val="1"/>
                <w:bCs w:val="1"/>
                <w:color w:val="auto"/>
              </w:rPr>
              <w:t>Fiscal Year Ended January 31,</w:t>
            </w:r>
          </w:p>
        </w:tc>
      </w:tr>
      <w:tr>
        <w:trPr>
          <w:trHeight w:val="158"/>
        </w:trPr>
        <w:tc>
          <w:tcPr>
            <w:tcW w:w="96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2024</w:t>
            </w:r>
          </w:p>
        </w:tc>
      </w:tr>
      <w:tr>
        <w:trPr>
          <w:trHeight w:val="16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79"/>
        </w:trPr>
        <w:tc>
          <w:tcPr>
            <w:tcW w:w="96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38.30 %</w:t>
            </w:r>
          </w:p>
        </w:tc>
      </w:tr>
      <w:tr>
        <w:trPr>
          <w:trHeight w:val="17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term (in years)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0.08</w:t>
            </w:r>
          </w:p>
        </w:tc>
      </w:tr>
      <w:tr>
        <w:trPr>
          <w:trHeight w:val="179"/>
        </w:trPr>
        <w:tc>
          <w:tcPr>
            <w:tcW w:w="96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5.40 %</w:t>
            </w:r>
          </w:p>
        </w:tc>
      </w:tr>
      <w:tr>
        <w:trPr>
          <w:trHeight w:val="17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conversion shares</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14.01</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Revolving Line of Credit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October 31, 2024, the Company entered into a credit agreement (the “Credit Agreement”) with a third-party financial institution to provide a revolving line of up to $50.0 million (the “Revolver”) with a maturity date of October 30, 2025. Interest accrued on the outstanding principal balance is at (i) the base rate, plus 1.0% per annum or (ii) Adjusted Daily Simple SOFR (as defined in the Credit Agreement), plus 2.0% per annum. The base rate is defined as the highest of (i) the Prime Rate (as defined in the Credit Agreement); (ii) the Federal Funds Rate (as defined in the Credit Agreement), plus 0.50%, and (c) Adjusted Daily Simple SOFR plus 1.00%, and is payable on a monthly basis. The Revolver was not drawn on during the fiscal year ended January 31, 2025.</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Simple Agreement for Future Equity</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November 2019, the Company entered into a series of SAFEs with new investors associated with a small “acquihire” for an aggregate purchase amount of $2.2 million (the “Purchase Amount”). Upon equity financing or termination, the SAFE holders will receive an aggregate number of shares of common stock equal to the Purchase Amount divided by the conversion price.</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Upon a liquidity event (and at the election of the Majority Holders, whose investment represents a majority of the Purchase Amount), the holders will receive in aggregate either: (i) a cash payment equal to the Purchase Amount or (ii) a number of shares of common stock equal to the Purchase Amount divided by the product of the liquidity price and the discount rate (such product, the “Discounted Price”). On March 10, 2022, the Company amended the Discounted Price of the SAFEs to $5.00 with respect to a specified strategic transaction. If there are insufficient funds to pay the holders, available funds will be distributed on a pro rata basis among the SAFE holders. In a dissolution event, the holders will receive the Purchase Amount. If the Company has insufficient funds to pay the SAFE holders, the Company will be liable to distribute available assets on a pro rata basis among the holders for the remaining amount.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SAFEs represent an obligation to issue a variable number of shares of the Company’s common stock, the monetary value of which is known when entering into the SAFEs.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SAFEs was estimated using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1"/>
                <w:szCs w:val="11"/>
                <w:b w:val="1"/>
                <w:bCs w:val="1"/>
                <w:color w:val="auto"/>
              </w:rPr>
              <w:t>Fiscal Year Ended January 31,</w:t>
            </w:r>
          </w:p>
        </w:tc>
        <w:tc>
          <w:tcPr>
            <w:tcW w:w="54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2"/>
                <w:szCs w:val="12"/>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Amount (in thousands)</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3"/>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Discounted Price</w:t>
            </w:r>
          </w:p>
        </w:tc>
        <w:tc>
          <w:tcPr>
            <w:tcW w:w="1040" w:type="dxa"/>
            <w:vAlign w:val="bottom"/>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1020" w:type="dxa"/>
            <w:vAlign w:val="bottom"/>
          </w:tcPr>
          <w:p>
            <w:pPr>
              <w:jc w:val="right"/>
              <w:ind w:right="87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3"/>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280"/>
          </w:cols>
          <w:pgMar w:left="300" w:top="209" w:right="319" w:bottom="1440" w:gutter="0" w:footer="0" w:header="0"/>
        </w:sectPr>
      </w:pPr>
    </w:p>
    <w:bookmarkStart w:id="292" w:name="page293"/>
    <w:bookmarkEnd w:id="292"/>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ind w:right="8560" w:firstLine="4"/>
        <w:spacing w:after="0" w:line="438" w:lineRule="auto"/>
        <w:tabs>
          <w:tab w:leader="none" w:pos="495" w:val="left"/>
        </w:tabs>
        <w:numPr>
          <w:ilvl w:val="0"/>
          <w:numId w:val="142"/>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Commitments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January 31, 2025, the Company had two noncancelable contracts. One is related to platform minimum expenses with a third-party bank primarily in connection with the Company’s demand deposit account. The Company is committed to a cumulative minimum amount during the term of the contract with specific annual minimum commitments. Payments made to this third-party bank in the fiscal years ended January 31, 2024 and 2025 towards this contract were immaterial. Future minimum service payments under this noncancelable contract are immaterial.</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During the fiscal year ended January 31, 2025, the Company entered into another noncancelable contract for cloud computing services with a third-party provider. The Company is committed to a minimum spend during the term of the contract. Payments made to this third-party provider during the fiscal year ended January 31, 2025 were $5.9 million. The following table provides the future minimum payments over the term of the noncancelable contract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7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Amount</w:t>
            </w:r>
          </w:p>
        </w:tc>
      </w:tr>
      <w:tr>
        <w:trPr>
          <w:trHeight w:val="159"/>
        </w:trPr>
        <w:tc>
          <w:tcPr>
            <w:tcW w:w="97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Fiscal Year Ended January 31:</w:t>
            </w: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2026</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4,500</w:t>
            </w: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4,700</w:t>
            </w:r>
          </w:p>
        </w:tc>
      </w:tr>
      <w:tr>
        <w:trPr>
          <w:trHeight w:val="17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2028</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r>
      <w:tr>
        <w:trPr>
          <w:trHeight w:val="19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reviews its lawsuits, regulatory inquiries, and other legal proceedings on an ongoing basis and provides disclosure and records loss contingencies in accordance with the loss contingencies accounting guidance. The Company establishes an accrual for losses at management’s best estimate when it assesses that it is probable that a loss has been incurred and the amount of the loss can be reasonably estimated. If an estimated loss is only reasonably possible rather than probable, no liability is recognized. However, where a material loss is reasonably possible, the Company will disclose details of the legal proceeding or claim and an estimate of the possible loss or range of losses if an estimate can be reasonably made. An event is defined as reasonably possible if the chance of the loss to the Company is more than remote but less than probable. The Company monitors these matters for developments that would affect the likelihood of a loss and the accrued amount, if any, and adjusts the amount as appropriate. As of January 31, 2024 and 2025, the Company’s loss contingencies were immaterial.</w:t>
      </w:r>
    </w:p>
    <w:p>
      <w:pPr>
        <w:spacing w:after="0" w:line="101" w:lineRule="exact"/>
        <w:rPr>
          <w:sz w:val="20"/>
          <w:szCs w:val="20"/>
          <w:color w:val="auto"/>
        </w:rPr>
      </w:pPr>
    </w:p>
    <w:p>
      <w:pPr>
        <w:ind w:left="500" w:hanging="496"/>
        <w:spacing w:after="0"/>
        <w:tabs>
          <w:tab w:leader="none" w:pos="500" w:val="left"/>
        </w:tabs>
        <w:numPr>
          <w:ilvl w:val="0"/>
          <w:numId w:val="143"/>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Convertible Preferred Stock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authorized, issued, and outstanding redeemable convertible preferred shares of Series A, Series B, Series C, Series D, Series E, Series F, Series G, Series G-1,</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Series H-1, and Series H-2 (collectively “redeemable convertible preferred stock”) as of January 31, 2024 and 2025 is as follows (in thousands, except per share and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1"/>
                <w:szCs w:val="11"/>
                <w:b w:val="1"/>
                <w:bCs w:val="1"/>
                <w:color w:val="auto"/>
              </w:rPr>
              <w:t>Per Share</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720" w:type="dxa"/>
            <w:vAlign w:val="bottom"/>
          </w:tcPr>
          <w:p>
            <w:pPr>
              <w:spacing w:after="0"/>
              <w:rPr>
                <w:sz w:val="8"/>
                <w:szCs w:val="8"/>
                <w:color w:val="auto"/>
              </w:rPr>
            </w:pPr>
          </w:p>
        </w:tc>
        <w:tc>
          <w:tcPr>
            <w:tcW w:w="1540" w:type="dxa"/>
            <w:vAlign w:val="bottom"/>
            <w:gridSpan w:val="2"/>
          </w:tcPr>
          <w:p>
            <w:pPr>
              <w:jc w:val="center"/>
              <w:ind w:right="80"/>
              <w:spacing w:after="0" w:line="96" w:lineRule="exact"/>
              <w:rPr>
                <w:sz w:val="20"/>
                <w:szCs w:val="20"/>
                <w:color w:val="auto"/>
              </w:rPr>
            </w:pPr>
            <w:r>
              <w:rPr>
                <w:rFonts w:ascii="Arial" w:cs="Arial" w:eastAsia="Arial" w:hAnsi="Arial"/>
                <w:sz w:val="11"/>
                <w:szCs w:val="11"/>
                <w:b w:val="1"/>
                <w:bCs w:val="1"/>
                <w:color w:val="auto"/>
              </w:rPr>
              <w:t>Shares</w:t>
            </w:r>
          </w:p>
        </w:tc>
        <w:tc>
          <w:tcPr>
            <w:tcW w:w="1440" w:type="dxa"/>
            <w:vAlign w:val="bottom"/>
          </w:tcPr>
          <w:p>
            <w:pPr>
              <w:jc w:val="center"/>
              <w:spacing w:after="0" w:line="96" w:lineRule="exact"/>
              <w:rPr>
                <w:sz w:val="20"/>
                <w:szCs w:val="20"/>
                <w:color w:val="auto"/>
              </w:rPr>
            </w:pPr>
            <w:r>
              <w:rPr>
                <w:rFonts w:ascii="Arial" w:cs="Arial" w:eastAsia="Arial" w:hAnsi="Arial"/>
                <w:sz w:val="11"/>
                <w:szCs w:val="11"/>
                <w:b w:val="1"/>
                <w:bCs w:val="1"/>
                <w:color w:val="auto"/>
              </w:rPr>
              <w:t>Shares Issued and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Issuance Price</w:t>
            </w:r>
          </w:p>
        </w:tc>
        <w:tc>
          <w:tcPr>
            <w:tcW w:w="300" w:type="dxa"/>
            <w:vAlign w:val="bottom"/>
          </w:tcPr>
          <w:p>
            <w:pPr>
              <w:spacing w:after="0"/>
              <w:rPr>
                <w:sz w:val="8"/>
                <w:szCs w:val="8"/>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Dividend</w:t>
            </w:r>
          </w:p>
        </w:tc>
        <w:tc>
          <w:tcPr>
            <w:tcW w:w="120" w:type="dxa"/>
            <w:vAlign w:val="bottom"/>
          </w:tcPr>
          <w:p>
            <w:pPr>
              <w:spacing w:after="0"/>
              <w:rPr>
                <w:sz w:val="8"/>
                <w:szCs w:val="8"/>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Net Carrying Value</w:t>
            </w:r>
          </w:p>
        </w:tc>
        <w:tc>
          <w:tcPr>
            <w:tcW w:w="13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Liquidation Preference</w:t>
            </w:r>
          </w:p>
        </w:tc>
        <w:tc>
          <w:tcPr>
            <w:tcW w:w="0" w:type="dxa"/>
            <w:vAlign w:val="bottom"/>
          </w:tcPr>
          <w:p>
            <w:pPr>
              <w:spacing w:after="0"/>
              <w:rPr>
                <w:sz w:val="1"/>
                <w:szCs w:val="1"/>
                <w:color w:val="auto"/>
              </w:rPr>
            </w:pPr>
          </w:p>
        </w:tc>
      </w:tr>
      <w:tr>
        <w:trPr>
          <w:trHeight w:val="147"/>
        </w:trPr>
        <w:tc>
          <w:tcPr>
            <w:tcW w:w="272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Authorized</w:t>
            </w: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Outstanding</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1,350,000</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1,350,000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0.0089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97"/>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79"/>
        </w:trPr>
        <w:tc>
          <w:tcPr>
            <w:tcW w:w="2720" w:type="dxa"/>
            <w:vAlign w:val="bottom"/>
          </w:tcPr>
          <w:p>
            <w:pPr>
              <w:ind w:left="20"/>
              <w:spacing w:after="0"/>
              <w:rPr>
                <w:sz w:val="20"/>
                <w:szCs w:val="20"/>
                <w:color w:val="auto"/>
              </w:rPr>
            </w:pPr>
            <w:r>
              <w:rPr>
                <w:rFonts w:ascii="Arial" w:cs="Arial" w:eastAsia="Arial" w:hAnsi="Arial"/>
                <w:sz w:val="14"/>
                <w:szCs w:val="14"/>
                <w:color w:val="auto"/>
              </w:rPr>
              <w:t>Series B</w:t>
            </w:r>
          </w:p>
        </w:tc>
        <w:tc>
          <w:tcPr>
            <w:tcW w:w="1440" w:type="dxa"/>
            <w:vAlign w:val="bottom"/>
          </w:tcPr>
          <w:p>
            <w:pPr>
              <w:jc w:val="right"/>
              <w:spacing w:after="0"/>
              <w:rPr>
                <w:sz w:val="20"/>
                <w:szCs w:val="20"/>
                <w:color w:val="auto"/>
              </w:rPr>
            </w:pPr>
            <w:r>
              <w:rPr>
                <w:rFonts w:ascii="Arial" w:cs="Arial" w:eastAsia="Arial" w:hAnsi="Arial"/>
                <w:sz w:val="14"/>
                <w:szCs w:val="14"/>
                <w:color w:val="auto"/>
              </w:rPr>
              <w:t>7,658,874</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7,658,868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0.0310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2,951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C</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6,169,302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5,952,858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7,560</w:t>
            </w:r>
          </w:p>
        </w:tc>
        <w:tc>
          <w:tcPr>
            <w:tcW w:w="0" w:type="dxa"/>
            <w:vAlign w:val="bottom"/>
          </w:tcPr>
          <w:p>
            <w:pPr>
              <w:spacing w:after="0"/>
              <w:rPr>
                <w:sz w:val="1"/>
                <w:szCs w:val="1"/>
                <w:color w:val="auto"/>
              </w:rPr>
            </w:pPr>
          </w:p>
        </w:tc>
      </w:tr>
      <w:tr>
        <w:trPr>
          <w:trHeight w:val="179"/>
        </w:trPr>
        <w:tc>
          <w:tcPr>
            <w:tcW w:w="2720" w:type="dxa"/>
            <w:vAlign w:val="bottom"/>
          </w:tcPr>
          <w:p>
            <w:pPr>
              <w:ind w:left="20"/>
              <w:spacing w:after="0"/>
              <w:rPr>
                <w:sz w:val="20"/>
                <w:szCs w:val="20"/>
                <w:color w:val="auto"/>
              </w:rPr>
            </w:pPr>
            <w:r>
              <w:rPr>
                <w:rFonts w:ascii="Arial" w:cs="Arial" w:eastAsia="Arial" w:hAnsi="Arial"/>
                <w:sz w:val="14"/>
                <w:szCs w:val="14"/>
                <w:color w:val="auto"/>
              </w:rPr>
              <w:t>Series D</w:t>
            </w:r>
          </w:p>
        </w:tc>
        <w:tc>
          <w:tcPr>
            <w:tcW w:w="1440" w:type="dxa"/>
            <w:vAlign w:val="bottom"/>
          </w:tcPr>
          <w:p>
            <w:pPr>
              <w:jc w:val="right"/>
              <w:spacing w:after="0"/>
              <w:rPr>
                <w:sz w:val="20"/>
                <w:szCs w:val="20"/>
                <w:color w:val="auto"/>
              </w:rPr>
            </w:pPr>
            <w:r>
              <w:rPr>
                <w:rFonts w:ascii="Arial" w:cs="Arial" w:eastAsia="Arial" w:hAnsi="Arial"/>
                <w:sz w:val="14"/>
                <w:szCs w:val="14"/>
                <w:color w:val="auto"/>
              </w:rPr>
              <w:t>14,431,860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14,431,844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0.1086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19,482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19,627</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8,780,133</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8,780,133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280"/>
          </w:cols>
          <w:pgMar w:left="300" w:top="209" w:right="319" w:bottom="1440" w:gutter="0" w:footer="0" w:header="0"/>
        </w:sectPr>
      </w:pPr>
    </w:p>
    <w:bookmarkStart w:id="293" w:name="page294"/>
    <w:bookmarkEnd w:id="293"/>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1040"/>
              <w:spacing w:after="0"/>
              <w:rPr>
                <w:sz w:val="20"/>
                <w:szCs w:val="20"/>
                <w:color w:val="auto"/>
              </w:rPr>
            </w:pPr>
            <w:r>
              <w:rPr>
                <w:rFonts w:ascii="Arial" w:cs="Arial" w:eastAsia="Arial" w:hAnsi="Arial"/>
                <w:sz w:val="11"/>
                <w:szCs w:val="11"/>
                <w:b w:val="1"/>
                <w:bCs w:val="1"/>
                <w:color w:val="auto"/>
              </w:rPr>
              <w:t>Per Share</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720" w:type="dxa"/>
            <w:vAlign w:val="bottom"/>
          </w:tcPr>
          <w:p>
            <w:pPr>
              <w:spacing w:after="0"/>
              <w:rPr>
                <w:sz w:val="8"/>
                <w:szCs w:val="8"/>
                <w:color w:val="auto"/>
              </w:rPr>
            </w:pPr>
          </w:p>
        </w:tc>
        <w:tc>
          <w:tcPr>
            <w:tcW w:w="154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rPr>
              <w:t>Shares</w:t>
            </w:r>
          </w:p>
        </w:tc>
        <w:tc>
          <w:tcPr>
            <w:tcW w:w="1440" w:type="dxa"/>
            <w:vAlign w:val="bottom"/>
          </w:tcPr>
          <w:p>
            <w:pPr>
              <w:jc w:val="right"/>
              <w:ind w:right="173"/>
              <w:spacing w:after="0" w:line="100" w:lineRule="exact"/>
              <w:rPr>
                <w:sz w:val="20"/>
                <w:szCs w:val="20"/>
                <w:color w:val="auto"/>
              </w:rPr>
            </w:pPr>
            <w:r>
              <w:rPr>
                <w:rFonts w:ascii="Arial" w:cs="Arial" w:eastAsia="Arial" w:hAnsi="Arial"/>
                <w:sz w:val="11"/>
                <w:szCs w:val="11"/>
                <w:b w:val="1"/>
                <w:bCs w:val="1"/>
                <w:color w:val="auto"/>
              </w:rPr>
              <w:t>Shares Issued and</w:t>
            </w:r>
          </w:p>
        </w:tc>
        <w:tc>
          <w:tcPr>
            <w:tcW w:w="80" w:type="dxa"/>
            <w:vAlign w:val="bottom"/>
          </w:tcPr>
          <w:p>
            <w:pPr>
              <w:spacing w:after="0"/>
              <w:rPr>
                <w:sz w:val="8"/>
                <w:szCs w:val="8"/>
                <w:color w:val="auto"/>
              </w:rPr>
            </w:pPr>
          </w:p>
        </w:tc>
        <w:tc>
          <w:tcPr>
            <w:tcW w:w="170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Issuance Price</w:t>
            </w:r>
          </w:p>
        </w:tc>
        <w:tc>
          <w:tcPr>
            <w:tcW w:w="1220" w:type="dxa"/>
            <w:vAlign w:val="bottom"/>
            <w:gridSpan w:val="3"/>
            <w:vMerge w:val="restart"/>
          </w:tcPr>
          <w:p>
            <w:pPr>
              <w:jc w:val="right"/>
              <w:ind w:right="570"/>
              <w:spacing w:after="0"/>
              <w:rPr>
                <w:sz w:val="20"/>
                <w:szCs w:val="20"/>
                <w:color w:val="auto"/>
              </w:rPr>
            </w:pPr>
            <w:r>
              <w:rPr>
                <w:rFonts w:ascii="Arial" w:cs="Arial" w:eastAsia="Arial" w:hAnsi="Arial"/>
                <w:sz w:val="11"/>
                <w:szCs w:val="11"/>
                <w:b w:val="1"/>
                <w:bCs w:val="1"/>
                <w:color w:val="auto"/>
              </w:rPr>
              <w:t>Dividend</w:t>
            </w:r>
          </w:p>
        </w:tc>
        <w:tc>
          <w:tcPr>
            <w:tcW w:w="12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Net Carrying Value</w:t>
            </w:r>
          </w:p>
        </w:tc>
        <w:tc>
          <w:tcPr>
            <w:tcW w:w="13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Liquidation Preference</w:t>
            </w:r>
          </w:p>
        </w:tc>
        <w:tc>
          <w:tcPr>
            <w:tcW w:w="0" w:type="dxa"/>
            <w:vAlign w:val="bottom"/>
          </w:tcPr>
          <w:p>
            <w:pPr>
              <w:spacing w:after="0"/>
              <w:rPr>
                <w:sz w:val="1"/>
                <w:szCs w:val="1"/>
                <w:color w:val="auto"/>
              </w:rPr>
            </w:pPr>
          </w:p>
        </w:tc>
      </w:tr>
      <w:tr>
        <w:trPr>
          <w:trHeight w:val="143"/>
        </w:trPr>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Series F</w:t>
            </w:r>
          </w:p>
        </w:tc>
        <w:tc>
          <w:tcPr>
            <w:tcW w:w="15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Authorized</w:t>
            </w:r>
          </w:p>
        </w:tc>
        <w:tc>
          <w:tcPr>
            <w:tcW w:w="1440" w:type="dxa"/>
            <w:vAlign w:val="bottom"/>
          </w:tcPr>
          <w:p>
            <w:pPr>
              <w:jc w:val="right"/>
              <w:ind w:right="333"/>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20" w:type="dxa"/>
            <w:vAlign w:val="bottom"/>
            <w:vMerge w:val="continue"/>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7,938,238</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7,816,435</w:t>
            </w:r>
          </w:p>
        </w:tc>
        <w:tc>
          <w:tcPr>
            <w:tcW w:w="80" w:type="dxa"/>
            <w:vAlign w:val="bottom"/>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0.6568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64,087</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64,173</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G</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19,516,000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18,889,279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72,132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74,990</w:t>
            </w:r>
          </w:p>
        </w:tc>
        <w:tc>
          <w:tcPr>
            <w:tcW w:w="0" w:type="dxa"/>
            <w:vAlign w:val="bottom"/>
          </w:tcPr>
          <w:p>
            <w:pPr>
              <w:spacing w:after="0"/>
              <w:rPr>
                <w:sz w:val="1"/>
                <w:szCs w:val="1"/>
                <w:color w:val="auto"/>
              </w:rPr>
            </w:pPr>
          </w:p>
        </w:tc>
      </w:tr>
      <w:tr>
        <w:trPr>
          <w:trHeight w:val="179"/>
        </w:trPr>
        <w:tc>
          <w:tcPr>
            <w:tcW w:w="2720" w:type="dxa"/>
            <w:vAlign w:val="bottom"/>
          </w:tcPr>
          <w:p>
            <w:pPr>
              <w:ind w:left="20"/>
              <w:spacing w:after="0" w:line="179" w:lineRule="exact"/>
              <w:rPr>
                <w:sz w:val="20"/>
                <w:szCs w:val="20"/>
                <w:color w:val="auto"/>
              </w:rPr>
            </w:pPr>
            <w:r>
              <w:rPr>
                <w:rFonts w:ascii="Arial" w:cs="Arial" w:eastAsia="Arial" w:hAnsi="Arial"/>
                <w:sz w:val="14"/>
                <w:szCs w:val="14"/>
                <w:color w:val="auto"/>
              </w:rPr>
              <w:t>Series G-1</w:t>
            </w:r>
            <w:r>
              <w:rPr>
                <w:rFonts w:ascii="Arial" w:cs="Arial" w:eastAsia="Arial" w:hAnsi="Arial"/>
                <w:sz w:val="18"/>
                <w:szCs w:val="18"/>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4"/>
                <w:szCs w:val="14"/>
                <w:color w:val="auto"/>
              </w:rPr>
              <w:t>5,034,942</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5,034,942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0.3973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25,956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25,024</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line="179" w:lineRule="exact"/>
              <w:rPr>
                <w:sz w:val="20"/>
                <w:szCs w:val="20"/>
                <w:color w:val="auto"/>
              </w:rPr>
            </w:pPr>
            <w:r>
              <w:rPr>
                <w:rFonts w:ascii="Arial" w:cs="Arial" w:eastAsia="Arial" w:hAnsi="Arial"/>
                <w:sz w:val="14"/>
                <w:szCs w:val="14"/>
                <w:color w:val="auto"/>
              </w:rPr>
              <w:t>Series H-1</w:t>
            </w:r>
            <w:r>
              <w:rPr>
                <w:rFonts w:ascii="Arial" w:cs="Arial" w:eastAsia="Arial" w:hAnsi="Arial"/>
                <w:sz w:val="18"/>
                <w:szCs w:val="18"/>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7,305,567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720" w:type="dxa"/>
            <w:vAlign w:val="bottom"/>
          </w:tcPr>
          <w:p>
            <w:pPr>
              <w:ind w:left="20"/>
              <w:spacing w:after="0" w:line="179" w:lineRule="exact"/>
              <w:rPr>
                <w:sz w:val="20"/>
                <w:szCs w:val="20"/>
                <w:color w:val="auto"/>
              </w:rPr>
            </w:pPr>
            <w:r>
              <w:rPr>
                <w:rFonts w:ascii="Arial" w:cs="Arial" w:eastAsia="Arial" w:hAnsi="Arial"/>
                <w:sz w:val="14"/>
                <w:szCs w:val="14"/>
                <w:color w:val="auto"/>
              </w:rPr>
              <w:t>Series H-2</w:t>
            </w:r>
            <w:r>
              <w:rPr>
                <w:rFonts w:ascii="Arial" w:cs="Arial" w:eastAsia="Arial" w:hAnsi="Arial"/>
                <w:sz w:val="18"/>
                <w:szCs w:val="18"/>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4"/>
                <w:szCs w:val="14"/>
                <w:color w:val="auto"/>
              </w:rPr>
              <w:t>7,305,567</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0.7633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7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85,490,483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69,914,359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229,543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7" w:lineRule="exact"/>
        <w:rPr>
          <w:sz w:val="20"/>
          <w:szCs w:val="20"/>
          <w:color w:val="auto"/>
        </w:rPr>
      </w:pPr>
    </w:p>
    <w:p>
      <w:pPr>
        <w:ind w:left="260" w:hanging="256"/>
        <w:spacing w:after="0"/>
        <w:tabs>
          <w:tab w:leader="none" w:pos="2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Dividend per share per annum when and if declared by the board of directors.</w:t>
      </w:r>
    </w:p>
    <w:p>
      <w:pPr>
        <w:ind w:left="260" w:hanging="256"/>
        <w:spacing w:after="0"/>
        <w:tabs>
          <w:tab w:leader="none" w:pos="2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convertible note to purchase shares of Series H-1 and H-2 redeemable convertible preferred stock was paid off in full in March 2024.</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holders of redeemable convertible preferred stock have various rights and preferences, as follows: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Each share of redeemable convertible preferred stock, except for Series H-2, has voting rights equal to an equivalent number of shares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Holders of redeemable convertible preferred stock are entitled to receive noncumulative dividends out of funds legally available, prior and in preference to any declaration or payment of any cash dividend on the common stock of the Company. The per annum dividend rate per share is disclosed in the above table.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No dividends on redeemable convertible preferred stock or common stock have been declared since the inception of the Company through January 31, 2025.</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additional dividends or distributions paid in common stock shall be distributed among all holders of common stock and redeemable convertible preferred stock in proportion to the number of shares of common stock that would be held by each such holder if all shares of redeemable convertible preferred stock are converted to common stock at the then-effective conversion rate; provided, however, that holders of a series of stock that does not carry voting rights shall receive such stock dividend in non-voting common stock and holders of series of stock with voting rights shall receive such stock dividend in voting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Redemption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redeemable convertible preferred stock is not mandatorily redeemable at the option of the holder. However, as the redeemable convertible preferred stock is contingently redeemable upon certain deemed liquidation events such as a merger or change in control, which constitute a redemption event outside the Company’s control, all shares of redeemable convertible preferred stock are presented outside of stockholders’ deficit in redeemable convertible preferred stock in the consolidated balance sheets. The Company is not permitted to redeem any shares of redeemable convertible preferred stock or any of its other capital stock in violation of any applicable beneficial ownership limitations or in the event that a regulated stockholder reasonably concludes that such redemption would result in adverse regulatory or reputational consequences to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280"/>
          </w:cols>
          <w:pgMar w:left="300" w:top="209" w:right="319" w:bottom="1440" w:gutter="0" w:footer="0" w:header="0"/>
        </w:sectPr>
      </w:pPr>
    </w:p>
    <w:bookmarkStart w:id="294" w:name="page295"/>
    <w:bookmarkEnd w:id="294"/>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Liquidation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Upon any liquidation, dissolution, or winding up of the Company (each, a “Liquidation Event”), whether voluntary or involuntary, and under certain change of control and sale transactions by the Company, holders of redeemable convertible preferred stock will be entitled to receive, prior and in preference to holders of common stock, an amount per share up to the original issue price (as adjusted for any stock dividends, splits, combinations, recapitalizations, and the like) in addition to all declared but unpaid dividends, if any.</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January 31, 2024 and 2025, no adjustments to the liquidation preferences have been made. If upon occurrence of any such event, the assets and funds of the Company legally available for distribution are insufficient to permit payment of the preferential amounts, then the assets and funds of the Company legally available for distribution shall be distributed ratably among the redeemable convertible preferred stockholders in proportion to the full preferential amount that each such stockholder is otherwise entitled to receive. If there are any available funds and assets remaining after the payment or distribution (or the setting aside for payment or distribution) to the holders of the redeemable convertible preferred stock of their full preferential amounts described above, any remaining assets of the Company legally available for distribution shall be distributed ratably to the holders of common stock.</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Notwithstanding the above, for purposes of determining the amount that each holder of shares of redeemable convertible preferred stock is entitled to receive with respect to a Liquidation Event, each such holder of shares of a series of redeemable convertible preferred stock shall be deemed to have converted (regardless of whether such holder actually converted) such holder’s shares of such series into equal shares of fully paid and nonassessable common stock immediately prior to the liquidation event if, as a result of an actual conversion, such holder would receive, in the aggregate, an amount greater than the amount that would be distributed to such holder if such holder did not convert such series of redeemable convertible preferred stock into shares of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Other than shares of Series H-2 redeemable convertible preferred stock, each share of redeemable convertible preferred stock outstanding is convertible at the option of the holder thereof into one share of common stock at any time or from time to time prior to the date fixed for redemption of such share, subject to certain beneficial ownership limitations applicable to the Series H-1 redeemable convertible preferred stock.</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Each outstanding share of redeemable convertible preferred stock, other than Series H-2, will automatically convert into one fully paid and nonassessable share of voting common stock immediately prior to the closing of an IPO that results in aggregate net proceeds to the Company of at least $35.0 million.</w:t>
      </w:r>
    </w:p>
    <w:p>
      <w:pPr>
        <w:spacing w:after="0" w:line="79" w:lineRule="exact"/>
        <w:rPr>
          <w:sz w:val="20"/>
          <w:szCs w:val="20"/>
          <w:color w:val="auto"/>
        </w:rPr>
      </w:pPr>
    </w:p>
    <w:p>
      <w:pPr>
        <w:ind w:left="500" w:hanging="496"/>
        <w:spacing w:after="0"/>
        <w:tabs>
          <w:tab w:leader="none" w:pos="500" w:val="left"/>
        </w:tabs>
        <w:numPr>
          <w:ilvl w:val="0"/>
          <w:numId w:val="145"/>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January 31, 2024 and January 31, 2025, the Company was authorized to issue 214,611,134 shares of common stock, with a par value of $0.0001 per share. Each share of voting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to dividends, and subject to beneficial ownership limitations applicable to certain regulated stockholders. No dividends have been declared by the board of directors from the Company’s inception through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280"/>
          </w:cols>
          <w:pgMar w:left="300" w:top="209" w:right="319" w:bottom="1440" w:gutter="0" w:footer="0" w:header="0"/>
        </w:sectPr>
      </w:pPr>
    </w:p>
    <w:bookmarkStart w:id="295" w:name="page296"/>
    <w:bookmarkEnd w:id="295"/>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Reserved for Future Issuance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At January 31, 2024 and 2025, the Company reserved the following shares of common stock for issuance: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1"/>
                <w:szCs w:val="11"/>
                <w:b w:val="1"/>
                <w:bCs w:val="1"/>
                <w:color w:val="auto"/>
              </w:rPr>
              <w:t>January 31,</w:t>
            </w:r>
          </w:p>
        </w:tc>
        <w:tc>
          <w:tcPr>
            <w:tcW w:w="110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r>
      <w:tr>
        <w:trPr>
          <w:trHeight w:val="169"/>
        </w:trPr>
        <w:tc>
          <w:tcPr>
            <w:tcW w:w="8060" w:type="dxa"/>
            <w:vAlign w:val="bottom"/>
            <w:shd w:val="clear" w:color="auto" w:fill="CCEEFF"/>
          </w:tcPr>
          <w:p>
            <w:pPr>
              <w:ind w:left="20"/>
              <w:spacing w:after="0" w:line="170" w:lineRule="exact"/>
              <w:rPr>
                <w:sz w:val="20"/>
                <w:szCs w:val="20"/>
                <w:color w:val="auto"/>
              </w:rPr>
            </w:pPr>
            <w:r>
              <w:rPr>
                <w:rFonts w:ascii="Arial" w:cs="Arial" w:eastAsia="Arial" w:hAnsi="Arial"/>
                <w:sz w:val="14"/>
                <w:szCs w:val="14"/>
                <w:color w:val="auto"/>
              </w:rPr>
              <w:t>Redeemable convertible preferred stock, all series</w:t>
            </w:r>
            <w:r>
              <w:rPr>
                <w:rFonts w:ascii="Arial" w:cs="Arial" w:eastAsia="Arial" w:hAnsi="Arial"/>
                <w:sz w:val="18"/>
                <w:szCs w:val="18"/>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84,525,493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84,525,493</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Series G redeemable convertible preferred stock warrant</w:t>
            </w:r>
          </w:p>
        </w:tc>
        <w:tc>
          <w:tcPr>
            <w:tcW w:w="1580" w:type="dxa"/>
            <w:vAlign w:val="bottom"/>
          </w:tcPr>
          <w:p>
            <w:pPr>
              <w:jc w:val="right"/>
              <w:spacing w:after="0"/>
              <w:rPr>
                <w:sz w:val="20"/>
                <w:szCs w:val="20"/>
                <w:color w:val="auto"/>
              </w:rPr>
            </w:pPr>
            <w:r>
              <w:rPr>
                <w:rFonts w:ascii="Arial" w:cs="Arial" w:eastAsia="Arial" w:hAnsi="Arial"/>
                <w:sz w:val="14"/>
                <w:szCs w:val="14"/>
                <w:color w:val="auto"/>
              </w:rPr>
              <w:t>251,750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251,750</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1,701,713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1,701,713</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Other stock awards issued</w:t>
            </w:r>
          </w:p>
        </w:tc>
        <w:tc>
          <w:tcPr>
            <w:tcW w:w="1580" w:type="dxa"/>
            <w:vAlign w:val="bottom"/>
          </w:tcPr>
          <w:p>
            <w:pPr>
              <w:jc w:val="right"/>
              <w:spacing w:after="0"/>
              <w:rPr>
                <w:sz w:val="20"/>
                <w:szCs w:val="20"/>
                <w:color w:val="auto"/>
              </w:rPr>
            </w:pPr>
            <w:r>
              <w:rPr>
                <w:rFonts w:ascii="Arial" w:cs="Arial" w:eastAsia="Arial" w:hAnsi="Arial"/>
                <w:sz w:val="14"/>
                <w:szCs w:val="14"/>
                <w:color w:val="auto"/>
              </w:rPr>
              <w:t>56,959,637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62,903,172</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Authorized for future stock awards or stock options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1,132,959</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5,795,839</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Total shares of common stock reserved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144,571,552</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155,177,967</w:t>
            </w:r>
          </w:p>
        </w:tc>
      </w:tr>
      <w:tr>
        <w:trPr>
          <w:trHeight w:val="20"/>
        </w:trPr>
        <w:tc>
          <w:tcPr>
            <w:tcW w:w="8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  Includes Series H-2 redeemable convertible preferred stock, which is convertible into shares of nonvoting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Repurchase Transaction and Secondary Sales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August 2024, the Company initiated a tender offer to purchase up to an aggregate of 2,468,413 shares of common stock held by then-current employees at a price of $11.76 per share. In September 2024, the Company repurchased 1,996,765 shares of common stock with an aggregate purchase price of $23.5 million. The repurchase transaction was recorded as treasury stock at cost. Subsequently, in December 2024, the Company entered into a series of stock purchase agreements with certain stockholders for the private placement of 1,929,731 shares of common stock at a price of $11.76 per share. The aggregate purchase price was $22.7 million. The sales in the December 2024 private placement were recorded as a reissuance of the treasury stock at repurchase cost.</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November 2024, the Company initiated a tender offer to purchase up to an aggregate of 2,000,000 shares of common stock held by former employees at a price of $10.00 per share. In December 2024, the Company repurchased 1,355,459 shares of common stock with an aggregate purchase price of $13.6 million. The repurchase transaction was recorded as treasury stock and additional paid-in capital in the consolidated balance sheets.</w:t>
      </w:r>
    </w:p>
    <w:p>
      <w:pPr>
        <w:spacing w:after="0" w:line="91" w:lineRule="exact"/>
        <w:rPr>
          <w:sz w:val="20"/>
          <w:szCs w:val="20"/>
          <w:color w:val="auto"/>
        </w:rPr>
      </w:pPr>
    </w:p>
    <w:p>
      <w:pPr>
        <w:ind w:left="500" w:hanging="496"/>
        <w:spacing w:after="0"/>
        <w:tabs>
          <w:tab w:leader="none" w:pos="500" w:val="left"/>
        </w:tabs>
        <w:numPr>
          <w:ilvl w:val="0"/>
          <w:numId w:val="146"/>
        </w:numPr>
        <w:rPr>
          <w:rFonts w:ascii="Arial" w:cs="Arial" w:eastAsia="Arial" w:hAnsi="Arial"/>
          <w:sz w:val="14"/>
          <w:szCs w:val="14"/>
          <w:b w:val="1"/>
          <w:bCs w:val="1"/>
          <w:color w:val="auto"/>
        </w:rPr>
      </w:pPr>
      <w:r>
        <w:rPr>
          <w:rFonts w:ascii="Arial" w:cs="Arial" w:eastAsia="Arial" w:hAnsi="Arial"/>
          <w:sz w:val="14"/>
          <w:szCs w:val="14"/>
          <w:b w:val="1"/>
          <w:bCs w:val="1"/>
          <w:color w:val="auto"/>
        </w:rPr>
        <w:t>Warrants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Equity-Classified Warrants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From 2019 to 2023, the Company issued warrants to purchase an aggregate of 1,641,713 shares of common stock with a weighted-average exercise price of $2.60. All warrants expire 10 years from the date of grant. As of January 31, 2025, none of the equity-classified warrants had vested or been exercised.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Liability-Classified Warrants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warrant liabilities are included in other noncurrent liabilities in the consolidated balance sheets. The fair value of the warrants is remeasured at the end of every reporting period, with changes in fair value during the period recorded as a component of other expense (income), net in the consolidated statements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Warrant</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April 2020, the Company issued a warrant to purchase 60,000 shares of common stock at an exercise price of $1.16 per share. On January 31, 2024 and 2025, the warrant was recorded at a fair value of approximately $0.6 million and $0.8 million, respectively. The warrant expires in April 2030.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280"/>
          </w:cols>
          <w:pgMar w:left="300" w:top="209" w:right="319" w:bottom="1440" w:gutter="0" w:footer="0" w:header="0"/>
        </w:sectPr>
      </w:pPr>
    </w:p>
    <w:bookmarkStart w:id="296" w:name="page297"/>
    <w:bookmarkEnd w:id="296"/>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common stock warrant was estimated using the BSM option-pricing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1"/>
                <w:szCs w:val="11"/>
                <w:b w:val="1"/>
                <w:bCs w:val="1"/>
                <w:color w:val="auto"/>
              </w:rPr>
              <w:t>January 31,</w:t>
            </w:r>
          </w:p>
        </w:tc>
        <w:tc>
          <w:tcPr>
            <w:tcW w:w="1180" w:type="dxa"/>
            <w:vAlign w:val="bottom"/>
            <w:tcBorders>
              <w:bottom w:val="single" w:sz="8" w:color="auto"/>
            </w:tcBorders>
          </w:tcPr>
          <w:p>
            <w:pPr>
              <w:spacing w:after="0"/>
              <w:rPr>
                <w:sz w:val="13"/>
                <w:szCs w:val="13"/>
                <w:color w:val="auto"/>
              </w:rPr>
            </w:pPr>
          </w:p>
        </w:tc>
      </w:tr>
      <w:tr>
        <w:trPr>
          <w:trHeight w:val="148"/>
        </w:trPr>
        <w:tc>
          <w:tcPr>
            <w:tcW w:w="78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2025</w:t>
            </w:r>
          </w:p>
        </w:tc>
      </w:tr>
      <w:tr>
        <w:trPr>
          <w:trHeight w:val="16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6.24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5.24</w:t>
            </w:r>
          </w:p>
        </w:tc>
      </w:tr>
      <w:tr>
        <w:trPr>
          <w:trHeight w:val="179"/>
        </w:trPr>
        <w:tc>
          <w:tcPr>
            <w:tcW w:w="78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49.30 %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54.40 %</w:t>
            </w:r>
          </w:p>
        </w:tc>
      </w:tr>
      <w:tr>
        <w:trPr>
          <w:trHeight w:val="17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3.93 %</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r>
      <w:tr>
        <w:trPr>
          <w:trHeight w:val="179"/>
        </w:trPr>
        <w:tc>
          <w:tcPr>
            <w:tcW w:w="788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10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7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060" w:type="dxa"/>
            <w:vAlign w:val="bottom"/>
            <w:shd w:val="clear" w:color="auto" w:fill="CCEEFF"/>
          </w:tcPr>
          <w:p>
            <w:pPr>
              <w:jc w:val="right"/>
              <w:ind w:right="917"/>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14.04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Series G Warrant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At January 31, 2024 and 2025, a warrant to purchase 251,750 shares of Series G redeemable convertible preferred stock (the “Series G Warrant”) at an exercise price of $3.97 was outstanding, with a fair value of $2.2 million and $2.7 million, respectively. The Series G Warrant is immediately exercisable and expires five years from the effective date of an IPO.</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Series G Warrant was estimated using the BSM option-pricing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1"/>
                <w:szCs w:val="11"/>
                <w:b w:val="1"/>
                <w:bCs w:val="1"/>
                <w:color w:val="auto"/>
              </w:rPr>
              <w:t>January 31,</w:t>
            </w:r>
          </w:p>
        </w:tc>
        <w:tc>
          <w:tcPr>
            <w:tcW w:w="1180" w:type="dxa"/>
            <w:vAlign w:val="bottom"/>
            <w:tcBorders>
              <w:bottom w:val="single" w:sz="8" w:color="auto"/>
            </w:tcBorders>
          </w:tcPr>
          <w:p>
            <w:pPr>
              <w:spacing w:after="0"/>
              <w:rPr>
                <w:sz w:val="13"/>
                <w:szCs w:val="13"/>
                <w:color w:val="auto"/>
              </w:rPr>
            </w:pPr>
          </w:p>
        </w:tc>
      </w:tr>
      <w:tr>
        <w:trPr>
          <w:trHeight w:val="148"/>
        </w:trPr>
        <w:tc>
          <w:tcPr>
            <w:tcW w:w="78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2025</w:t>
            </w:r>
          </w:p>
        </w:tc>
      </w:tr>
      <w:tr>
        <w:trPr>
          <w:trHeight w:val="16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5.50</w:t>
            </w:r>
          </w:p>
        </w:tc>
      </w:tr>
      <w:tr>
        <w:trPr>
          <w:trHeight w:val="179"/>
        </w:trPr>
        <w:tc>
          <w:tcPr>
            <w:tcW w:w="78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48.30 %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53.40 %</w:t>
            </w:r>
          </w:p>
        </w:tc>
      </w:tr>
      <w:tr>
        <w:trPr>
          <w:trHeight w:val="17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3.93 %</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r>
      <w:tr>
        <w:trPr>
          <w:trHeight w:val="179"/>
        </w:trPr>
        <w:tc>
          <w:tcPr>
            <w:tcW w:w="788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10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7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Series G redeemable convertible preferred stock</w:t>
            </w:r>
          </w:p>
        </w:tc>
        <w:tc>
          <w:tcPr>
            <w:tcW w:w="1060" w:type="dxa"/>
            <w:vAlign w:val="bottom"/>
            <w:shd w:val="clear" w:color="auto" w:fill="CCEEFF"/>
          </w:tcPr>
          <w:p>
            <w:pPr>
              <w:jc w:val="right"/>
              <w:ind w:right="917"/>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13.28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16.15</w:t>
            </w:r>
          </w:p>
        </w:tc>
      </w:tr>
    </w:tbl>
    <w:p>
      <w:pPr>
        <w:spacing w:after="0" w:line="175" w:lineRule="exact"/>
        <w:rPr>
          <w:sz w:val="20"/>
          <w:szCs w:val="20"/>
          <w:color w:val="auto"/>
        </w:rPr>
      </w:pPr>
    </w:p>
    <w:p>
      <w:pPr>
        <w:ind w:left="500" w:hanging="496"/>
        <w:spacing w:after="0"/>
        <w:tabs>
          <w:tab w:leader="none" w:pos="500"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January 2008, the Company adopted the 2008 Employee Incentive Plan (the “2008 Plan”), which was most recently amended in October 2017 and subsequently terminated in connection with the adoption of the Company’s 2017 Plan (as defined below). The 2008 Plan allowed stock options to be granted to Company employees, officers, directors, advisors, consultants, and other service providers as either incentive stock options (“ISOs”) or non-statutory stock options (“NSOs”). ISOs could be granted only to the Company’s employees. NSOs could be granted to the Company’s service providers who were not employees.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the 2008 Plan, options could be granted for terms no longer than 10 years from the date of the grant. In the case of an ISO grant to an optionee who, at the time the option is granted, owned stock representing more than 10% of the voting power of all classes of stock of the Company or any parent or subsidiary, the term of the option was five years from the date of grant. ISOs and NSOs generally vested at a rate of 25% on the first anniversary of the grant date and then ratably over the next three years. Upon termination of employment, any unvested shares were automatically returned to the Company. Those shares were added back to the plan and made available for future grants. The 2008 Plan was terminated in 2017, but the awards granted previously still vest. At January 31, 2024 and 2025, no shares from the 2008 Plan remained available for future grants.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December 2017, the Company adopted the 2017 Employee Incentive Plan (the “2017 Plan” and, together with 2008 Plan, the “Plans”). The 2017 Plan allows stock options to be granted to Company employees, officers, directors, advisors, consultants, and other service providers as either stock options, restricted stock awards, restricted stock units (“RSUs”), stock appreciation rights, and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280"/>
          </w:cols>
          <w:pgMar w:left="300" w:top="209" w:right="319" w:bottom="1440" w:gutter="0" w:footer="0" w:header="0"/>
        </w:sectPr>
      </w:pPr>
    </w:p>
    <w:bookmarkStart w:id="297" w:name="page298"/>
    <w:bookmarkEnd w:id="297"/>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awards. The 2017 Plan was initially adopted with substantively similar plan features as the 2008 Plan. In August 2018, the 2017 Plan was amended to extend the post-termination exercise period for vested awards, other than terminations for cause, to up to 10 years. At January 31, 2024 and 2025, 1,132,959 and 5,795,839 shares, respectively, from the 2017 Plan remained available for future grants.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accordance with the Plans, the exercise price of an ISO and NSO shall not be less than 100% of the estimated fair value of the shares on the date of grant unless expressly determined in writing by the board of directors or its designated committee, and the exercise price of an ISO granted to a 10% stockholder shall not be less than 110% of the estimated fair value of the shares on the date of grant.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 summary of stock option activity as of and for the fiscal year ended January 31, 2025 under the Plans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Number of Options</w:t>
            </w:r>
          </w:p>
        </w:tc>
        <w:tc>
          <w:tcPr>
            <w:tcW w:w="16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Weighted-Average Exercise</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Weighted-Average</w:t>
            </w:r>
          </w:p>
        </w:tc>
        <w:tc>
          <w:tcPr>
            <w:tcW w:w="100" w:type="dxa"/>
            <w:vAlign w:val="bottom"/>
          </w:tcPr>
          <w:p>
            <w:pPr>
              <w:spacing w:after="0"/>
              <w:rPr>
                <w:sz w:val="10"/>
                <w:szCs w:val="10"/>
                <w:color w:val="auto"/>
              </w:rPr>
            </w:pPr>
          </w:p>
        </w:tc>
        <w:tc>
          <w:tcPr>
            <w:tcW w:w="1460" w:type="dxa"/>
            <w:vAlign w:val="bottom"/>
          </w:tcPr>
          <w:p>
            <w:pPr>
              <w:jc w:val="center"/>
              <w:ind w:right="35"/>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11"/>
        </w:trPr>
        <w:tc>
          <w:tcPr>
            <w:tcW w:w="4760" w:type="dxa"/>
            <w:vAlign w:val="bottom"/>
          </w:tcPr>
          <w:p>
            <w:pPr>
              <w:spacing w:after="0"/>
              <w:rPr>
                <w:sz w:val="9"/>
                <w:szCs w:val="9"/>
                <w:color w:val="auto"/>
              </w:rPr>
            </w:pPr>
          </w:p>
        </w:tc>
        <w:tc>
          <w:tcPr>
            <w:tcW w:w="1660" w:type="dxa"/>
            <w:vAlign w:val="bottom"/>
            <w:gridSpan w:val="2"/>
          </w:tcPr>
          <w:p>
            <w:pPr>
              <w:jc w:val="center"/>
              <w:ind w:right="80"/>
              <w:spacing w:after="0" w:line="112" w:lineRule="exact"/>
              <w:rPr>
                <w:sz w:val="20"/>
                <w:szCs w:val="20"/>
                <w:color w:val="auto"/>
              </w:rPr>
            </w:pPr>
            <w:r>
              <w:rPr>
                <w:rFonts w:ascii="Arial" w:cs="Arial" w:eastAsia="Arial" w:hAnsi="Arial"/>
                <w:sz w:val="11"/>
                <w:szCs w:val="11"/>
                <w:b w:val="1"/>
                <w:bCs w:val="1"/>
                <w:color w:val="auto"/>
              </w:rPr>
              <w:t>Outstanding Under the</w:t>
            </w:r>
          </w:p>
        </w:tc>
        <w:tc>
          <w:tcPr>
            <w:tcW w:w="1640" w:type="dxa"/>
            <w:vAlign w:val="bottom"/>
            <w:gridSpan w:val="3"/>
            <w:vMerge w:val="continue"/>
          </w:tcPr>
          <w:p>
            <w:pPr>
              <w:spacing w:after="0"/>
              <w:rPr>
                <w:sz w:val="9"/>
                <w:szCs w:val="9"/>
                <w:color w:val="auto"/>
              </w:rPr>
            </w:pPr>
          </w:p>
        </w:tc>
        <w:tc>
          <w:tcPr>
            <w:tcW w:w="1660" w:type="dxa"/>
            <w:vAlign w:val="bottom"/>
            <w:gridSpan w:val="2"/>
          </w:tcPr>
          <w:p>
            <w:pPr>
              <w:jc w:val="center"/>
              <w:ind w:right="80"/>
              <w:spacing w:after="0" w:line="112" w:lineRule="exact"/>
              <w:rPr>
                <w:sz w:val="20"/>
                <w:szCs w:val="20"/>
                <w:color w:val="auto"/>
              </w:rPr>
            </w:pPr>
            <w:r>
              <w:rPr>
                <w:rFonts w:ascii="Arial" w:cs="Arial" w:eastAsia="Arial" w:hAnsi="Arial"/>
                <w:sz w:val="11"/>
                <w:szCs w:val="11"/>
                <w:b w:val="1"/>
                <w:bCs w:val="1"/>
                <w:color w:val="auto"/>
              </w:rPr>
              <w:t>Remaining Contractual</w:t>
            </w:r>
          </w:p>
        </w:tc>
        <w:tc>
          <w:tcPr>
            <w:tcW w:w="100" w:type="dxa"/>
            <w:vAlign w:val="bottom"/>
          </w:tcPr>
          <w:p>
            <w:pPr>
              <w:spacing w:after="0"/>
              <w:rPr>
                <w:sz w:val="9"/>
                <w:szCs w:val="9"/>
                <w:color w:val="auto"/>
              </w:rPr>
            </w:pPr>
          </w:p>
        </w:tc>
        <w:tc>
          <w:tcPr>
            <w:tcW w:w="1460" w:type="dxa"/>
            <w:vAlign w:val="bottom"/>
          </w:tcPr>
          <w:p>
            <w:pPr>
              <w:jc w:val="center"/>
              <w:ind w:right="75"/>
              <w:spacing w:after="0" w:line="112" w:lineRule="exact"/>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Plans</w:t>
            </w:r>
          </w:p>
        </w:tc>
        <w:tc>
          <w:tcPr>
            <w:tcW w:w="1100" w:type="dxa"/>
            <w:vAlign w:val="bottom"/>
          </w:tcPr>
          <w:p>
            <w:pPr>
              <w:jc w:val="right"/>
              <w:ind w:right="116"/>
              <w:spacing w:after="0"/>
              <w:rPr>
                <w:sz w:val="20"/>
                <w:szCs w:val="20"/>
                <w:color w:val="auto"/>
              </w:rPr>
            </w:pPr>
            <w:r>
              <w:rPr>
                <w:rFonts w:ascii="Arial" w:cs="Arial" w:eastAsia="Arial" w:hAnsi="Arial"/>
                <w:sz w:val="11"/>
                <w:szCs w:val="11"/>
                <w:b w:val="1"/>
                <w:bCs w:val="1"/>
                <w:color w:val="auto"/>
              </w:rPr>
              <w:t>Price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Term (Years)</w:t>
            </w:r>
          </w:p>
        </w:tc>
        <w:tc>
          <w:tcPr>
            <w:tcW w:w="100" w:type="dxa"/>
            <w:vAlign w:val="bottom"/>
          </w:tcPr>
          <w:p>
            <w:pPr>
              <w:spacing w:after="0"/>
              <w:rPr>
                <w:sz w:val="12"/>
                <w:szCs w:val="12"/>
                <w:color w:val="auto"/>
              </w:rPr>
            </w:pPr>
          </w:p>
        </w:tc>
        <w:tc>
          <w:tcPr>
            <w:tcW w:w="1460" w:type="dxa"/>
            <w:vAlign w:val="bottom"/>
          </w:tcPr>
          <w:p>
            <w:pPr>
              <w:jc w:val="center"/>
              <w:ind w:right="35"/>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2024*</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34,307,051</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313,540</w:t>
            </w:r>
          </w:p>
        </w:tc>
        <w:tc>
          <w:tcPr>
            <w:tcW w:w="0" w:type="dxa"/>
            <w:vAlign w:val="bottom"/>
          </w:tcPr>
          <w:p>
            <w:pPr>
              <w:spacing w:after="0"/>
              <w:rPr>
                <w:sz w:val="1"/>
                <w:szCs w:val="1"/>
                <w:color w:val="auto"/>
              </w:rPr>
            </w:pPr>
          </w:p>
        </w:tc>
      </w:tr>
      <w:tr>
        <w:trPr>
          <w:trHeight w:val="169"/>
        </w:trPr>
        <w:tc>
          <w:tcPr>
            <w:tcW w:w="4760" w:type="dxa"/>
            <w:vAlign w:val="bottom"/>
          </w:tcPr>
          <w:p>
            <w:pPr>
              <w:ind w:left="180"/>
              <w:spacing w:after="0"/>
              <w:rPr>
                <w:sz w:val="20"/>
                <w:szCs w:val="20"/>
                <w:color w:val="auto"/>
              </w:rPr>
            </w:pPr>
            <w:r>
              <w:rPr>
                <w:rFonts w:ascii="Arial" w:cs="Arial" w:eastAsia="Arial" w:hAnsi="Arial"/>
                <w:sz w:val="14"/>
                <w:szCs w:val="14"/>
                <w:color w:val="auto"/>
              </w:rPr>
              <w:t>Exercised</w:t>
            </w:r>
          </w:p>
        </w:tc>
        <w:tc>
          <w:tcPr>
            <w:tcW w:w="1580" w:type="dxa"/>
            <w:vAlign w:val="bottom"/>
          </w:tcPr>
          <w:p>
            <w:pPr>
              <w:jc w:val="right"/>
              <w:spacing w:after="0"/>
              <w:rPr>
                <w:sz w:val="20"/>
                <w:szCs w:val="20"/>
                <w:color w:val="auto"/>
              </w:rPr>
            </w:pPr>
            <w:r>
              <w:rPr>
                <w:rFonts w:ascii="Arial" w:cs="Arial" w:eastAsia="Arial" w:hAnsi="Arial"/>
                <w:sz w:val="14"/>
                <w:szCs w:val="14"/>
                <w:color w:val="auto"/>
              </w:rPr>
              <w:t>(2,568,044)</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25,259</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(573,002)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(33,012)</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31,132,993</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376,555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760" w:type="dxa"/>
            <w:vAlign w:val="bottom"/>
          </w:tcPr>
          <w:p>
            <w:pPr>
              <w:ind w:left="20"/>
              <w:spacing w:after="0" w:line="141" w:lineRule="exact"/>
              <w:rPr>
                <w:sz w:val="20"/>
                <w:szCs w:val="20"/>
                <w:color w:val="auto"/>
              </w:rPr>
            </w:pPr>
            <w:r>
              <w:rPr>
                <w:rFonts w:ascii="Arial" w:cs="Arial" w:eastAsia="Arial" w:hAnsi="Arial"/>
                <w:sz w:val="14"/>
                <w:szCs w:val="14"/>
                <w:color w:val="auto"/>
              </w:rPr>
              <w:t>Exercisable at January 31, 2025</w:t>
            </w:r>
          </w:p>
        </w:tc>
        <w:tc>
          <w:tcPr>
            <w:tcW w:w="1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30,824,500</w:t>
            </w:r>
          </w:p>
        </w:tc>
        <w:tc>
          <w:tcPr>
            <w:tcW w:w="80" w:type="dxa"/>
            <w:vAlign w:val="bottom"/>
          </w:tcPr>
          <w:p>
            <w:pPr>
              <w:spacing w:after="0"/>
              <w:rPr>
                <w:sz w:val="12"/>
                <w:szCs w:val="12"/>
                <w:color w:val="auto"/>
              </w:rPr>
            </w:pPr>
          </w:p>
        </w:tc>
        <w:tc>
          <w:tcPr>
            <w:tcW w:w="1100" w:type="dxa"/>
            <w:vAlign w:val="bottom"/>
            <w:tcBorders>
              <w:bottom w:val="single" w:sz="8" w:color="auto"/>
            </w:tcBorders>
          </w:tcPr>
          <w:p>
            <w:pPr>
              <w:jc w:val="right"/>
              <w:ind w:right="956"/>
              <w:spacing w:after="0" w:line="141"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373,115</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3"/>
                <w:szCs w:val="13"/>
                <w:color w:val="auto"/>
              </w:rPr>
              <w:t>______________</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520" w:type="dxa"/>
            <w:vAlign w:val="bottom"/>
            <w:gridSpan w:val="4"/>
          </w:tcPr>
          <w:p>
            <w:pPr>
              <w:spacing w:after="0"/>
              <w:rPr>
                <w:sz w:val="20"/>
                <w:szCs w:val="20"/>
                <w:color w:val="auto"/>
              </w:rPr>
            </w:pPr>
            <w:r>
              <w:rPr>
                <w:rFonts w:ascii="Arial" w:cs="Arial" w:eastAsia="Arial" w:hAnsi="Arial"/>
                <w:sz w:val="13"/>
                <w:szCs w:val="13"/>
                <w:color w:val="auto"/>
                <w:w w:val="99"/>
              </w:rPr>
              <w:t>*   The Plans allow for early exercise of stock options and exercised/forfeited balances include only vested stock options exercised.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4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2"/>
                <w:szCs w:val="22"/>
                <w:color w:val="auto"/>
              </w:rPr>
            </w:pPr>
          </w:p>
        </w:tc>
        <w:tc>
          <w:tcPr>
            <w:tcW w:w="1460" w:type="dxa"/>
            <w:vAlign w:val="bottom"/>
          </w:tcPr>
          <w:p>
            <w:pPr>
              <w:jc w:val="center"/>
              <w:ind w:right="15"/>
              <w:spacing w:after="0"/>
              <w:rPr>
                <w:sz w:val="20"/>
                <w:szCs w:val="20"/>
                <w:color w:val="auto"/>
              </w:rPr>
            </w:pPr>
            <w:r>
              <w:rPr>
                <w:rFonts w:ascii="Arial" w:cs="Arial" w:eastAsia="Arial" w:hAnsi="Arial"/>
                <w:sz w:val="11"/>
                <w:szCs w:val="11"/>
                <w:b w:val="1"/>
                <w:bCs w:val="1"/>
                <w:color w:val="auto"/>
              </w:rPr>
              <w:t>Weighted-Average Grant-</w:t>
            </w:r>
          </w:p>
        </w:tc>
        <w:tc>
          <w:tcPr>
            <w:tcW w:w="0" w:type="dxa"/>
            <w:vAlign w:val="bottom"/>
          </w:tcPr>
          <w:p>
            <w:pPr>
              <w:spacing w:after="0"/>
              <w:rPr>
                <w:sz w:val="1"/>
                <w:szCs w:val="1"/>
                <w:color w:val="auto"/>
              </w:rPr>
            </w:pPr>
          </w:p>
        </w:tc>
      </w:tr>
      <w:tr>
        <w:trPr>
          <w:trHeight w:val="143"/>
        </w:trPr>
        <w:tc>
          <w:tcPr>
            <w:tcW w:w="47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35"/>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January 31, 2024</w:t>
            </w:r>
          </w:p>
        </w:tc>
        <w:tc>
          <w:tcPr>
            <w:tcW w:w="1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2,141,008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Vested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(1,799,503)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(33,012)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color w:val="auto"/>
              </w:rPr>
              <w:t>Unvested at January 31, 2025</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308,493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aggregate fair value of stock options vested during the fiscal years ended January 31, 2024 and 2025 was $6.1 million and $4.8 million, respectively.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January 31, 2025, unrecognized stock-based compensation expense related to unvested stock options was $1.3 million, which is expected to be recognized over a weighted-average period of 1.1 years.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fair value of each stock option grant is estimated on the date of grant using the BSM option-pricing model. No options were granted during the fiscal years ended January 31, 2024 and 2025. The following weighted-average assumptions were used to estimate the fair value of options issued, if any:</w:t>
      </w:r>
    </w:p>
    <w:p>
      <w:pPr>
        <w:spacing w:after="0" w:line="79" w:lineRule="exact"/>
        <w:rPr>
          <w:sz w:val="20"/>
          <w:szCs w:val="20"/>
          <w:color w:val="auto"/>
        </w:rPr>
      </w:pPr>
    </w:p>
    <w:p>
      <w:pPr>
        <w:ind w:left="500" w:hanging="244"/>
        <w:spacing w:after="0" w:line="286" w:lineRule="auto"/>
        <w:tabs>
          <w:tab w:leader="none" w:pos="49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Expected volatility—As there is no public market for the Company’s common stock, the expected volatility was determined using the historical volatilities of publicly listed peer companies over a period equivalent to the expected term of the awards.</w:t>
      </w:r>
    </w:p>
    <w:p>
      <w:pPr>
        <w:spacing w:after="0" w:line="78"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Expected term—The expected term represents the period that the stock-based awards are expected to be outstanding. For option grants that are considered to be “plain vanilla,” the Company determines the expected term using the simplified method. The simplified method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280"/>
          </w:cols>
          <w:pgMar w:left="300" w:top="209" w:right="319" w:bottom="1440" w:gutter="0" w:footer="0" w:header="0"/>
        </w:sectPr>
      </w:pPr>
    </w:p>
    <w:bookmarkStart w:id="298" w:name="page299"/>
    <w:bookmarkEnd w:id="298"/>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deems the term to be the average of the time-to-vesting and the contractual life of the stock options.</w:t>
      </w:r>
    </w:p>
    <w:p>
      <w:pPr>
        <w:spacing w:after="0" w:line="133" w:lineRule="exact"/>
        <w:rPr>
          <w:sz w:val="20"/>
          <w:szCs w:val="20"/>
          <w:color w:val="auto"/>
        </w:rPr>
      </w:pPr>
    </w:p>
    <w:p>
      <w:pPr>
        <w:ind w:left="500" w:hanging="244"/>
        <w:spacing w:after="0" w:line="286" w:lineRule="auto"/>
        <w:tabs>
          <w:tab w:leader="none" w:pos="496" w:val="left"/>
        </w:tabs>
        <w:numPr>
          <w:ilvl w:val="0"/>
          <w:numId w:val="149"/>
        </w:numPr>
        <w:rPr>
          <w:rFonts w:ascii="Arial" w:cs="Arial" w:eastAsia="Arial" w:hAnsi="Arial"/>
          <w:sz w:val="14"/>
          <w:szCs w:val="14"/>
          <w:color w:val="auto"/>
        </w:rPr>
      </w:pPr>
      <w:r>
        <w:rPr>
          <w:rFonts w:ascii="Arial" w:cs="Arial" w:eastAsia="Arial" w:hAnsi="Arial"/>
          <w:sz w:val="14"/>
          <w:szCs w:val="14"/>
          <w:color w:val="auto"/>
        </w:rPr>
        <w:t>Risk-free interest rate—The risk-free interest rate is based on the implied yield available on U.S. Treasury zero-coupon issues with an equivalent expected term of the stock options for each stock option group.</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Expected dividend yield—The expected dividend is assumed to be zero as the Company has never paid dividends and has no current plans to do so.</w:t>
      </w:r>
    </w:p>
    <w:p>
      <w:pPr>
        <w:spacing w:after="0" w:line="133" w:lineRule="exact"/>
        <w:rPr>
          <w:rFonts w:ascii="Arial" w:cs="Arial" w:eastAsia="Arial" w:hAnsi="Arial"/>
          <w:sz w:val="14"/>
          <w:szCs w:val="14"/>
          <w:color w:val="auto"/>
        </w:rPr>
      </w:pPr>
    </w:p>
    <w:p>
      <w:pPr>
        <w:jc w:val="both"/>
        <w:ind w:left="500" w:hanging="244"/>
        <w:spacing w:after="0" w:line="256" w:lineRule="auto"/>
        <w:tabs>
          <w:tab w:leader="none" w:pos="496" w:val="left"/>
        </w:tabs>
        <w:numPr>
          <w:ilvl w:val="0"/>
          <w:numId w:val="149"/>
        </w:numPr>
        <w:rPr>
          <w:rFonts w:ascii="Arial" w:cs="Arial" w:eastAsia="Arial" w:hAnsi="Arial"/>
          <w:sz w:val="14"/>
          <w:szCs w:val="14"/>
          <w:color w:val="auto"/>
        </w:rPr>
      </w:pPr>
      <w:r>
        <w:rPr>
          <w:rFonts w:ascii="Arial" w:cs="Arial" w:eastAsia="Arial" w:hAnsi="Arial"/>
          <w:sz w:val="14"/>
          <w:szCs w:val="14"/>
          <w:color w:val="auto"/>
        </w:rPr>
        <w:t>Fair value per share of the Company’s common stock—The fair value of the common stock underlying the Company’s stock options is determined by the board of directors. The board of directors, with input from management, exercises significant judgment and considers numerous objective and subjective factors to determine the fair value of common stock at each grant date. The factors considered include, but are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the Company’s actual operating and financial performance and estimated trends and prospects for its future performance, current business conditions and financial projections; (v) the likelihood of achieving a liquidity event, such as an IPO, direct listing, or sale of the Company, given prevailing market conditions; and, (vi) precedent transactions involving the Company’s shares.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Early Exercise of Unvested Options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the Plans, employees are offered the option to elect early exercise of their stock options prior to vesting. The Company has the right to repurchase any unvested (but issued) shares of common stock upon termination of service of an employee, either voluntarily or involuntarily, at the lower of: (i) the exercise price paid per share or (ii) the fair market value per share of common stock at the time of the employee’s termination. The consideration received for early exercise of a stock option is initially recorded as a liability and is reclassified to stockholders’ deficit as the stock options vest. As of January 31, 2024 and 2025, the Company recorded a liability of $0.3 million and $0.1 million, respectively, for 1,639,797 and 1,519,220 unvested shares, respectively, that were early exercised by employees and subject to repurchase at the respective year ends.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Stock Options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has, from time to time, modified the terms of stock options granted to its employees. The Company accounts for the incremental increase in the fair value over the original award on the date of the modification as an expense for vested awards or over the remaining service (vesting) period for unvested awards. The incremental compensation cost is the excess of the fair value-based measure of the modified award on the date of modification over the fair value of the original award immediately before the modification.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During the fiscal years ended January 31, 2024 and 2025, the Company did not have any modification of 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Units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RSUs are issued at no cost to the recipient and can be settled only in shares after the RSUs have vested. RSUs do not provide the holder with voting rights or cash dividends. The majority of RSUs vest upon satisfaction of time-based service and performance-based conditions (“dual-trigger RSUs”). As of January 31, 2024 and 2025, no stock-based compensation expense was recognized for dual-trigger RSUs as the performance condition, the occurrence of a qualifying event such as an IPO, was not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280"/>
          </w:cols>
          <w:pgMar w:left="300" w:top="209" w:right="319"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A summary of RSU activity for the fiscal year ended January 31, 2025 under the Plans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10"/>
                <w:szCs w:val="10"/>
                <w:color w:val="auto"/>
              </w:rPr>
            </w:pPr>
          </w:p>
        </w:tc>
        <w:tc>
          <w:tcPr>
            <w:tcW w:w="1460" w:type="dxa"/>
            <w:vAlign w:val="bottom"/>
          </w:tcPr>
          <w:p>
            <w:pPr>
              <w:jc w:val="right"/>
              <w:ind w:right="54"/>
              <w:spacing w:after="0"/>
              <w:rPr>
                <w:sz w:val="20"/>
                <w:szCs w:val="20"/>
                <w:color w:val="auto"/>
              </w:rPr>
            </w:pPr>
            <w:r>
              <w:rPr>
                <w:rFonts w:ascii="Arial" w:cs="Arial" w:eastAsia="Arial" w:hAnsi="Arial"/>
                <w:sz w:val="11"/>
                <w:szCs w:val="11"/>
                <w:b w:val="1"/>
                <w:bCs w:val="1"/>
                <w:color w:val="auto"/>
              </w:rPr>
              <w:t>Weighted-Average Grant</w:t>
            </w:r>
          </w:p>
        </w:tc>
        <w:tc>
          <w:tcPr>
            <w:tcW w:w="0" w:type="dxa"/>
            <w:vAlign w:val="bottom"/>
          </w:tcPr>
          <w:p>
            <w:pPr>
              <w:spacing w:after="0"/>
              <w:rPr>
                <w:sz w:val="1"/>
                <w:szCs w:val="1"/>
                <w:color w:val="auto"/>
              </w:rPr>
            </w:pPr>
          </w:p>
        </w:tc>
      </w:tr>
      <w:tr>
        <w:trPr>
          <w:trHeight w:val="143"/>
        </w:trPr>
        <w:tc>
          <w:tcPr>
            <w:tcW w:w="80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314"/>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6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22,177,257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10,257,879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(1,136,286)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31,294,850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January 31, 2024 and 2025, unrecognized stock-based compensation expense related to unvested RSUs was $147.6 million and $268.5 million, respectively, which is expected to be recognized over a weighted-average period of 2.1 years and 1.9 years,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Allocation of Stock-Based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recognized in the consolidated statements of operations for the fiscal years ended January 31, 2024 and 2025 was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1"/>
                <w:szCs w:val="11"/>
                <w:b w:val="1"/>
                <w:bCs w:val="1"/>
                <w:color w:val="auto"/>
              </w:rPr>
              <w:t>Fiscal Year Ended January 31,</w:t>
            </w:r>
          </w:p>
        </w:tc>
        <w:tc>
          <w:tcPr>
            <w:tcW w:w="56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bottom w:val="single" w:sz="8" w:color="auto"/>
            </w:tcBorders>
          </w:tcPr>
          <w:p>
            <w:pPr>
              <w:spacing w:after="0"/>
              <w:rPr>
                <w:sz w:val="12"/>
                <w:szCs w:val="12"/>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5"/>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7,325</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2,647</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2,041</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Operations and support</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w:t>
            </w: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w:t>
            </w: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Capitalized stock-based compensation expense</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(1,637)</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 net of amounts capitalized</w:t>
            </w:r>
          </w:p>
        </w:tc>
        <w:tc>
          <w:tcPr>
            <w:tcW w:w="100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11,846</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hanging="496"/>
        <w:spacing w:after="0"/>
        <w:tabs>
          <w:tab w:leader="none" w:pos="500" w:val="left"/>
        </w:tabs>
        <w:numPr>
          <w:ilvl w:val="0"/>
          <w:numId w:val="150"/>
        </w:numPr>
        <w:rPr>
          <w:rFonts w:ascii="Arial" w:cs="Arial" w:eastAsia="Arial" w:hAnsi="Arial"/>
          <w:sz w:val="14"/>
          <w:szCs w:val="14"/>
          <w:b w:val="1"/>
          <w:bCs w:val="1"/>
          <w:color w:val="auto"/>
        </w:rPr>
      </w:pPr>
      <w:r>
        <w:rPr>
          <w:rFonts w:ascii="Arial" w:cs="Arial" w:eastAsia="Arial" w:hAnsi="Arial"/>
          <w:sz w:val="14"/>
          <w:szCs w:val="14"/>
          <w:b w:val="1"/>
          <w:bCs w:val="1"/>
          <w:color w:val="auto"/>
        </w:rPr>
        <w:t>Employee Benefit Plan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sponsors a 401(k) defined contribution plan for its employees. This plan provides for tax-deferred salary deductions for all employees. Employee contributions are voluntary. Employees may contribute up to 90% of their annual compensation to this plan, as limited by an annual maximum amount as determined by the Internal Revenue Service. The Company may match employee contributions in amounts to be determined at the Company’s sole discretion. The Company made no contributions to the plan for the fiscal years ended January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280"/>
          </w:cols>
          <w:pgMar w:left="300" w:top="209" w:right="319" w:bottom="1440" w:gutter="0" w:footer="0" w:header="0"/>
        </w:sectPr>
      </w:pPr>
    </w:p>
    <w:bookmarkStart w:id="300" w:name="page301"/>
    <w:bookmarkEnd w:id="300"/>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spacing w:after="0"/>
              <w:rPr>
                <w:sz w:val="20"/>
                <w:szCs w:val="20"/>
                <w:color w:val="auto"/>
              </w:rPr>
            </w:pPr>
            <w:r>
              <w:rPr>
                <w:rFonts w:ascii="Arial" w:cs="Arial" w:eastAsia="Arial" w:hAnsi="Arial"/>
                <w:sz w:val="14"/>
                <w:szCs w:val="14"/>
                <w:b w:val="1"/>
                <w:bCs w:val="1"/>
                <w:color w:val="auto"/>
              </w:rPr>
              <w:t>14.</w:t>
            </w:r>
          </w:p>
        </w:tc>
        <w:tc>
          <w:tcPr>
            <w:tcW w:w="7560" w:type="dxa"/>
            <w:vAlign w:val="bottom"/>
          </w:tcPr>
          <w:p>
            <w:pPr>
              <w:spacing w:after="0"/>
              <w:rPr>
                <w:sz w:val="20"/>
                <w:szCs w:val="20"/>
                <w:color w:val="auto"/>
              </w:rPr>
            </w:pPr>
            <w:r>
              <w:rPr>
                <w:rFonts w:ascii="Arial" w:cs="Arial" w:eastAsia="Arial" w:hAnsi="Arial"/>
                <w:sz w:val="14"/>
                <w:szCs w:val="14"/>
                <w:b w:val="1"/>
                <w:bCs w:val="1"/>
                <w:color w:val="auto"/>
              </w:rPr>
              <w:t>Income Taxes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86"/>
        </w:trPr>
        <w:tc>
          <w:tcPr>
            <w:tcW w:w="8060" w:type="dxa"/>
            <w:vAlign w:val="bottom"/>
            <w:gridSpan w:val="2"/>
          </w:tcPr>
          <w:p>
            <w:pPr>
              <w:spacing w:after="0"/>
              <w:rPr>
                <w:sz w:val="20"/>
                <w:szCs w:val="20"/>
                <w:color w:val="auto"/>
              </w:rPr>
            </w:pPr>
            <w:r>
              <w:rPr>
                <w:rFonts w:ascii="Arial" w:cs="Arial" w:eastAsia="Arial" w:hAnsi="Arial"/>
                <w:sz w:val="14"/>
                <w:szCs w:val="14"/>
                <w:color w:val="auto"/>
              </w:rPr>
              <w:t>The provision for (benefit from) income taxes consisted of the following (in thousands):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3"/>
        </w:trPr>
        <w:tc>
          <w:tcPr>
            <w:tcW w:w="5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1"/>
                <w:szCs w:val="11"/>
                <w:b w:val="1"/>
                <w:bCs w:val="1"/>
                <w:color w:val="auto"/>
              </w:rPr>
              <w:t>Fiscal Year Ended January 31,</w:t>
            </w:r>
          </w:p>
        </w:tc>
        <w:tc>
          <w:tcPr>
            <w:tcW w:w="600" w:type="dxa"/>
            <w:vAlign w:val="bottom"/>
            <w:tcBorders>
              <w:bottom w:val="single" w:sz="8" w:color="auto"/>
            </w:tcBorders>
          </w:tcPr>
          <w:p>
            <w:pPr>
              <w:spacing w:after="0"/>
              <w:rPr>
                <w:sz w:val="24"/>
                <w:szCs w:val="24"/>
                <w:color w:val="auto"/>
              </w:rPr>
            </w:pPr>
          </w:p>
        </w:tc>
      </w:tr>
      <w:tr>
        <w:trPr>
          <w:trHeight w:val="148"/>
        </w:trPr>
        <w:tc>
          <w:tcPr>
            <w:tcW w:w="500" w:type="dxa"/>
            <w:vAlign w:val="bottom"/>
            <w:tcBorders>
              <w:bottom w:val="single" w:sz="8" w:color="CCEEFF"/>
            </w:tcBorders>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r>
      <w:tr>
        <w:trPr>
          <w:trHeight w:val="159"/>
        </w:trPr>
        <w:tc>
          <w:tcPr>
            <w:tcW w:w="8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Current expense (benefit):</w:t>
            </w:r>
          </w:p>
        </w:tc>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9"/>
        </w:trPr>
        <w:tc>
          <w:tcPr>
            <w:tcW w:w="500" w:type="dxa"/>
            <w:vAlign w:val="bottom"/>
          </w:tcPr>
          <w:p>
            <w:pPr>
              <w:ind w:left="20"/>
              <w:spacing w:after="0"/>
              <w:rPr>
                <w:sz w:val="20"/>
                <w:szCs w:val="20"/>
                <w:color w:val="auto"/>
              </w:rPr>
            </w:pPr>
            <w:r>
              <w:rPr>
                <w:rFonts w:ascii="Arial" w:cs="Arial" w:eastAsia="Arial" w:hAnsi="Arial"/>
                <w:sz w:val="14"/>
                <w:szCs w:val="14"/>
                <w:color w:val="auto"/>
                <w:w w:val="96"/>
              </w:rPr>
              <w:t>Federal</w:t>
            </w:r>
          </w:p>
        </w:tc>
        <w:tc>
          <w:tcPr>
            <w:tcW w:w="7560" w:type="dxa"/>
            <w:vAlign w:val="bottom"/>
          </w:tcPr>
          <w:p>
            <w:pPr>
              <w:spacing w:after="0"/>
              <w:rPr>
                <w:sz w:val="15"/>
                <w:szCs w:val="15"/>
                <w:color w:val="auto"/>
              </w:rPr>
            </w:pPr>
          </w:p>
        </w:tc>
        <w:tc>
          <w:tcPr>
            <w:tcW w:w="1040" w:type="dxa"/>
            <w:vAlign w:val="bottom"/>
          </w:tcPr>
          <w:p>
            <w:pPr>
              <w:jc w:val="right"/>
              <w:ind w:right="877"/>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15"/>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179"/>
        </w:trPr>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w:t>
            </w:r>
          </w:p>
        </w:tc>
        <w:tc>
          <w:tcPr>
            <w:tcW w:w="7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w:t>
            </w:r>
          </w:p>
        </w:tc>
      </w:tr>
      <w:tr>
        <w:trPr>
          <w:trHeight w:val="210"/>
        </w:trPr>
        <w:tc>
          <w:tcPr>
            <w:tcW w:w="80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7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expense (benefit):</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9"/>
        </w:trPr>
        <w:tc>
          <w:tcPr>
            <w:tcW w:w="500" w:type="dxa"/>
            <w:vAlign w:val="bottom"/>
          </w:tcPr>
          <w:p>
            <w:pPr>
              <w:ind w:left="20"/>
              <w:spacing w:after="0"/>
              <w:rPr>
                <w:sz w:val="20"/>
                <w:szCs w:val="20"/>
                <w:color w:val="auto"/>
              </w:rPr>
            </w:pPr>
            <w:r>
              <w:rPr>
                <w:rFonts w:ascii="Arial" w:cs="Arial" w:eastAsia="Arial" w:hAnsi="Arial"/>
                <w:sz w:val="14"/>
                <w:szCs w:val="14"/>
                <w:color w:val="auto"/>
                <w:w w:val="96"/>
              </w:rPr>
              <w:t>Federal</w:t>
            </w:r>
          </w:p>
        </w:tc>
        <w:tc>
          <w:tcPr>
            <w:tcW w:w="7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(43,252)</w:t>
            </w:r>
          </w:p>
        </w:tc>
      </w:tr>
      <w:tr>
        <w:trPr>
          <w:trHeight w:val="179"/>
        </w:trPr>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w:t>
            </w:r>
          </w:p>
        </w:tc>
        <w:tc>
          <w:tcPr>
            <w:tcW w:w="7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(16,940)</w:t>
            </w: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Total provision for (benefit from) income taxes</w:t>
            </w: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1,623</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(55,218)</w:t>
            </w:r>
          </w:p>
        </w:tc>
      </w:tr>
      <w:tr>
        <w:trPr>
          <w:trHeight w:val="20"/>
        </w:trPr>
        <w:tc>
          <w:tcPr>
            <w:tcW w:w="5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statutory Federal income tax rate to the Company’s effective tax rate was as follows:</w:t>
      </w:r>
    </w:p>
    <w:p>
      <w:pPr>
        <w:spacing w:after="0" w:line="173" w:lineRule="exact"/>
        <w:rPr>
          <w:sz w:val="20"/>
          <w:szCs w:val="20"/>
          <w:color w:val="auto"/>
        </w:rPr>
      </w:pPr>
    </w:p>
    <w:p>
      <w:pPr>
        <w:ind w:left="8760"/>
        <w:spacing w:after="0"/>
        <w:rPr>
          <w:sz w:val="20"/>
          <w:szCs w:val="20"/>
          <w:color w:val="auto"/>
        </w:rPr>
      </w:pPr>
      <w:r>
        <w:rPr>
          <w:rFonts w:ascii="Arial" w:cs="Arial" w:eastAsia="Arial" w:hAnsi="Arial"/>
          <w:sz w:val="11"/>
          <w:szCs w:val="11"/>
          <w:b w:val="1"/>
          <w:bCs w:val="1"/>
          <w:color w:val="auto"/>
        </w:rPr>
        <w:t>Fiscal Year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8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2025</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tax (benefit) at statutory rate</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79"/>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State tax (benefit) at statutory rate, net of federal benefit</w:t>
            </w: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1660" w:type="dxa"/>
            <w:vAlign w:val="bottom"/>
          </w:tcPr>
          <w:p>
            <w:pPr>
              <w:jc w:val="right"/>
              <w:ind w:right="111"/>
              <w:spacing w:after="0"/>
              <w:rPr>
                <w:sz w:val="20"/>
                <w:szCs w:val="20"/>
                <w:color w:val="auto"/>
              </w:rPr>
            </w:pPr>
            <w:r>
              <w:rPr>
                <w:rFonts w:ascii="Arial" w:cs="Arial" w:eastAsia="Arial" w:hAnsi="Arial"/>
                <w:sz w:val="14"/>
                <w:szCs w:val="14"/>
                <w:color w:val="auto"/>
              </w:rPr>
              <w:t>1.9</w:t>
            </w:r>
          </w:p>
        </w:tc>
      </w:tr>
      <w:tr>
        <w:trPr>
          <w:trHeight w:val="17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(57.6)</w:t>
            </w:r>
          </w:p>
        </w:tc>
      </w:tr>
      <w:tr>
        <w:trPr>
          <w:trHeight w:val="179"/>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660" w:type="dxa"/>
            <w:vAlign w:val="bottom"/>
          </w:tcPr>
          <w:p>
            <w:pPr>
              <w:jc w:val="right"/>
              <w:ind w:right="71"/>
              <w:spacing w:after="0"/>
              <w:rPr>
                <w:sz w:val="20"/>
                <w:szCs w:val="20"/>
                <w:color w:val="auto"/>
              </w:rPr>
            </w:pPr>
            <w:r>
              <w:rPr>
                <w:rFonts w:ascii="Arial" w:cs="Arial" w:eastAsia="Arial" w:hAnsi="Arial"/>
                <w:sz w:val="14"/>
                <w:szCs w:val="14"/>
                <w:color w:val="auto"/>
              </w:rPr>
              <w:t>(2.7)</w:t>
            </w:r>
          </w:p>
        </w:tc>
      </w:tr>
      <w:tr>
        <w:trPr>
          <w:trHeight w:val="17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Financial instrument fair value change</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(2.3)</w:t>
            </w:r>
          </w:p>
        </w:tc>
      </w:tr>
      <w:tr>
        <w:trPr>
          <w:trHeight w:val="179"/>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Credit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660" w:type="dxa"/>
            <w:vAlign w:val="bottom"/>
          </w:tcPr>
          <w:p>
            <w:pPr>
              <w:jc w:val="right"/>
              <w:ind w:right="71"/>
              <w:spacing w:after="0"/>
              <w:rPr>
                <w:sz w:val="20"/>
                <w:szCs w:val="20"/>
                <w:color w:val="auto"/>
              </w:rPr>
            </w:pPr>
            <w:r>
              <w:rPr>
                <w:rFonts w:ascii="Arial" w:cs="Arial" w:eastAsia="Arial" w:hAnsi="Arial"/>
                <w:sz w:val="14"/>
                <w:szCs w:val="14"/>
                <w:color w:val="auto"/>
              </w:rPr>
              <w:t>(1.1)</w:t>
            </w:r>
          </w:p>
        </w:tc>
      </w:tr>
      <w:tr>
        <w:trPr>
          <w:trHeight w:val="17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1.0</w:t>
            </w:r>
          </w:p>
        </w:tc>
      </w:tr>
      <w:tr>
        <w:trPr>
          <w:trHeight w:val="169"/>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60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20"/>
        </w:trPr>
        <w:tc>
          <w:tcPr>
            <w:tcW w:w="7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280"/>
          </w:cols>
          <w:pgMar w:left="300" w:top="209" w:right="319" w:bottom="1440" w:gutter="0" w:footer="0" w:header="0"/>
        </w:sectPr>
      </w:pPr>
    </w:p>
    <w:bookmarkStart w:id="301" w:name="page302"/>
    <w:bookmarkEnd w:id="301"/>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net consisted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1"/>
                <w:szCs w:val="11"/>
                <w:b w:val="1"/>
                <w:bCs w:val="1"/>
                <w:color w:val="auto"/>
              </w:rPr>
              <w:t>January 31,</w:t>
            </w:r>
          </w:p>
        </w:tc>
        <w:tc>
          <w:tcPr>
            <w:tcW w:w="110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r>
      <w:tr>
        <w:trPr>
          <w:trHeight w:val="159"/>
        </w:trPr>
        <w:tc>
          <w:tcPr>
            <w:tcW w:w="80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Deferred tax assets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9"/>
        </w:trPr>
        <w:tc>
          <w:tcPr>
            <w:tcW w:w="8060" w:type="dxa"/>
            <w:vAlign w:val="bottom"/>
          </w:tcPr>
          <w:p>
            <w:pPr>
              <w:ind w:left="40"/>
              <w:spacing w:after="0"/>
              <w:rPr>
                <w:sz w:val="20"/>
                <w:szCs w:val="20"/>
                <w:color w:val="auto"/>
              </w:rPr>
            </w:pPr>
            <w:r>
              <w:rPr>
                <w:rFonts w:ascii="Arial" w:cs="Arial" w:eastAsia="Arial" w:hAnsi="Arial"/>
                <w:sz w:val="14"/>
                <w:szCs w:val="14"/>
                <w:color w:val="auto"/>
              </w:rPr>
              <w:t>Accruals</w:t>
            </w:r>
          </w:p>
        </w:tc>
        <w:tc>
          <w:tcPr>
            <w:tcW w:w="980" w:type="dxa"/>
            <w:vAlign w:val="bottom"/>
          </w:tcPr>
          <w:p>
            <w:pPr>
              <w:jc w:val="right"/>
              <w:ind w:right="815"/>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179"/>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Fixed assets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79"/>
        </w:trPr>
        <w:tc>
          <w:tcPr>
            <w:tcW w:w="8060" w:type="dxa"/>
            <w:vAlign w:val="bottom"/>
          </w:tcPr>
          <w:p>
            <w:pPr>
              <w:ind w:left="60"/>
              <w:spacing w:after="0"/>
              <w:rPr>
                <w:sz w:val="20"/>
                <w:szCs w:val="20"/>
                <w:color w:val="auto"/>
              </w:rPr>
            </w:pPr>
            <w:r>
              <w:rPr>
                <w:rFonts w:ascii="Arial" w:cs="Arial" w:eastAsia="Arial" w:hAnsi="Arial"/>
                <w:sz w:val="14"/>
                <w:szCs w:val="14"/>
                <w:color w:val="auto"/>
              </w:rPr>
              <w:t>Net operating loss carryforwards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56,362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27,853</w:t>
            </w:r>
          </w:p>
        </w:tc>
      </w:tr>
      <w:tr>
        <w:trPr>
          <w:trHeight w:val="179"/>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Stock-based compensation expense</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15,315</w:t>
            </w:r>
          </w:p>
        </w:tc>
      </w:tr>
      <w:tr>
        <w:trPr>
          <w:trHeight w:val="179"/>
        </w:trPr>
        <w:tc>
          <w:tcPr>
            <w:tcW w:w="8060" w:type="dxa"/>
            <w:vAlign w:val="bottom"/>
          </w:tcPr>
          <w:p>
            <w:pPr>
              <w:ind w:left="60"/>
              <w:spacing w:after="0"/>
              <w:rPr>
                <w:sz w:val="20"/>
                <w:szCs w:val="20"/>
                <w:color w:val="auto"/>
              </w:rPr>
            </w:pPr>
            <w:r>
              <w:rPr>
                <w:rFonts w:ascii="Arial" w:cs="Arial" w:eastAsia="Arial" w:hAnsi="Arial"/>
                <w:sz w:val="14"/>
                <w:szCs w:val="14"/>
                <w:color w:val="auto"/>
              </w:rPr>
              <w:t>Lease liability</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4,392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3,488</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experimental expenditures capitalization</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16,063</w:t>
            </w:r>
          </w:p>
        </w:tc>
      </w:tr>
      <w:tr>
        <w:trPr>
          <w:trHeight w:val="179"/>
        </w:trPr>
        <w:tc>
          <w:tcPr>
            <w:tcW w:w="80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r>
      <w:tr>
        <w:trPr>
          <w:trHeight w:val="169"/>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Gross deferred tax assets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84,944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64,050</w:t>
            </w:r>
          </w:p>
        </w:tc>
      </w:tr>
      <w:tr>
        <w:trPr>
          <w:trHeight w:val="179"/>
        </w:trPr>
        <w:tc>
          <w:tcPr>
            <w:tcW w:w="80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Valuation allowance</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(80,164)</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Deferred tax assets, net of valuation allowance</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4,780</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64,050</w:t>
            </w:r>
          </w:p>
        </w:tc>
      </w:tr>
      <w:tr>
        <w:trPr>
          <w:trHeight w:val="190"/>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(922)</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ROU asset</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(2,934)</w:t>
            </w:r>
          </w:p>
        </w:tc>
      </w:tr>
      <w:tr>
        <w:trPr>
          <w:trHeight w:val="169"/>
        </w:trPr>
        <w:tc>
          <w:tcPr>
            <w:tcW w:w="80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Total deferred tax liabilities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(3,856)</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98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60,194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valuation allowance decreased by $13.5 million during the fiscal year ended January 31, 2024 and decreased by $80.2 million during the fiscal year ended January 31, 2025. The Company recorded a full valuation allowance against the deferred tax assets, net due to the uncertainty as to whether such assets would be realized during the fiscal year ended January 31, 2024. During the fiscal year ended January 31, 2025, the Company determined sufficient positive evidence existed to conclude that the U.S. Federal and State deferred tax assets are more likely than not realizable and released the valuation allowance of $80.2 million. The determination was based on an analysis of the Company’s deferred tax assets, net which considered positive and negative evidence, including cumulative income (loss) position, revenue growth, continuing and improved profitability, and expectations regarding future profitability. Although the Company believes its estimates are reasonable, the ultimate determination of the appropriate amount of valuation allowance involves judgment.</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January 31, 2025, the Company had $39.1 million of Federal net operating losses (“NOLs”) and $125.7 million of State NOLs available to offset future taxable income. The Federal pre-Tax Cuts and Jobs Act (“TCJA”) NOLs have been fully utilized, and the post-TCJA NOLs can be carried forward indefinitely. The State NOL carryforwards will begin to expire in 2032, if not utilized. The Company also has Federal and State research and development tax credits of approximately $12.2 million and $7.4 million, respectively. The Federal tax credits will begin to expire in 2039, if not utilized, and the State tax credits have no expiration.</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ability to utilize the NOLs and tax credit carryforwards is subject to limitations in the event of an ownership change as defined in Section 382 of the Internal Revenue Code of 1986, as amended (the “Code”), and similar state law. In general, an ownership change occurs if the aggregate stock ownership of certain stockholders increases by more than 50 percentage points over such stockholders’ lowest percentage ownership during the testing period. In the event that the Company has had a change in ownership, utilization of the carryforwards could be restricted. The Company assessed whether it had an ownership change, as defined by Section 382 of the Code, from its formation through January 31, 2025. Based upon this assessment, the Company experienced three ownership changes in the prior years. However, the Company does not expect any previous ownership changes to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280"/>
          </w:cols>
          <w:pgMar w:left="300" w:top="209" w:right="319" w:bottom="1440" w:gutter="0" w:footer="0" w:header="0"/>
        </w:sectPr>
      </w:pPr>
    </w:p>
    <w:bookmarkStart w:id="302" w:name="page303"/>
    <w:bookmarkEnd w:id="302"/>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limitation that will reduce the total amount of NOLs and tax credit carryforwards that can be utilized. Additional ownership changes in the future could result in additional limitations on the Company’s NOL and tax credit carryforwards.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unrecognized tax benefits as outlined in the tabular reconciliation below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1"/>
                <w:szCs w:val="11"/>
                <w:b w:val="1"/>
                <w:bCs w:val="1"/>
                <w:color w:val="auto"/>
              </w:rPr>
              <w:t>Fiscal Year Ended January 31,</w:t>
            </w:r>
          </w:p>
        </w:tc>
        <w:tc>
          <w:tcPr>
            <w:tcW w:w="54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2"/>
                <w:szCs w:val="12"/>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benefits as of the beginning of the year</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6,661</w:t>
            </w: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 related to current-year tax provisions</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Unrecognized tax benefits as of the end of the year</w:t>
            </w: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6,660</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The Company follows the provisions of Accounting Standards Codification (“ASC”) 740-10, </w:t>
      </w:r>
      <w:r>
        <w:rPr>
          <w:rFonts w:ascii="Arial" w:cs="Arial" w:eastAsia="Arial" w:hAnsi="Arial"/>
          <w:sz w:val="14"/>
          <w:szCs w:val="14"/>
          <w:i w:val="1"/>
          <w:iCs w:val="1"/>
          <w:color w:val="auto"/>
        </w:rPr>
        <w:t>Accounting for Uncertainty in Income Taxes</w:t>
      </w:r>
      <w:r>
        <w:rPr>
          <w:rFonts w:ascii="Arial" w:cs="Arial" w:eastAsia="Arial" w:hAnsi="Arial"/>
          <w:sz w:val="14"/>
          <w:szCs w:val="14"/>
          <w:color w:val="auto"/>
        </w:rPr>
        <w:t>. ASC 740-10 prescribes a comprehensive model for the recognition, measurement, presentation, and disclosure in the consolidated financial statements of uncertain tax positions that have been taken, or expected to be taken on a tax return. The Company’s liability for unrecognized tax benefits was approximately $6.7 million and $8.1 million as of January 31, 2024 and 2025, respectively.</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January 31, 2025, the Company had no accrued interest and penalties related to unrecognized tax benefits. If realized, $8.1 million of unrecognized tax benefits would impact the effective tax rate. The Company does not expect any significant increases or decreases to its unrecognized benefits within the next 12 months.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files income tax returns in the United States and in various State tax jurisdictions. As of January 31, 2025, the Company’s Federal tax returns through 2020 and State tax returns through 2019 are no longer subject to examination. However, prior periods may still be examined to the extent they include NOL or tax credit carryforwards utilized in subsequent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280"/>
          </w:cols>
          <w:pgMar w:left="300" w:top="209" w:right="319" w:bottom="1440" w:gutter="0" w:footer="0" w:header="0"/>
        </w:sectPr>
      </w:pPr>
    </w:p>
    <w:bookmarkStart w:id="303" w:name="page304"/>
    <w:bookmarkEnd w:id="303"/>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ind w:left="500" w:hanging="496"/>
        <w:spacing w:after="0"/>
        <w:tabs>
          <w:tab w:leader="none" w:pos="500" w:val="left"/>
        </w:tabs>
        <w:numPr>
          <w:ilvl w:val="0"/>
          <w:numId w:val="151"/>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 Attributable to Common Stockholders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sets forth the computation of basic and diluted earnings per share attributable to common stockholders for the periods presented (in thousands, except per share and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1"/>
                <w:szCs w:val="11"/>
                <w:b w:val="1"/>
                <w:bCs w:val="1"/>
                <w:color w:val="auto"/>
              </w:rPr>
              <w:t>Fiscal Year Ended January 31,</w:t>
            </w:r>
          </w:p>
        </w:tc>
      </w:tr>
      <w:tr>
        <w:trPr>
          <w:trHeight w:val="148"/>
        </w:trPr>
        <w:tc>
          <w:tcPr>
            <w:tcW w:w="80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Basic earnings per share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Numerator: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194,447</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Denominator: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number of common stock outstanding used in computing earnings per share, basic</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37,297,221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38,990,556</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Earnings per share attributable to common stockholders, basic</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8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Numerator:</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basic</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76,966</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194,447</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adjustment for the convertible note, net of tax effect</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(12,695)</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dilutive</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77,919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181,752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0"/>
        </w:trPr>
        <w:tc>
          <w:tcPr>
            <w:tcW w:w="806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b w:val="1"/>
                <w:bCs w:val="1"/>
                <w:i w:val="1"/>
                <w:iCs w:val="1"/>
                <w:color w:val="auto"/>
              </w:rPr>
              <w:t>Denominator:</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Weighted-average number of common stock outstanding used in computing earnings per share, basic</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37,297,221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38,990,556</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the convertible note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6,888,298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492,096</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Conversion of redeemable convertible preferred stock, all series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69,914,359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69,914,359</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stock options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28,567,993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27,962,907</w:t>
            </w: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Dilutive effect of equity-classified common stock warrants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1,210,425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1,300,400</w:t>
            </w: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number of common stock outstanding used in computing earnings per share, dilutive</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143,878,296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138,660,318</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Earnings per share attributable to common stockholders, diluted</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r>
      <w:tr>
        <w:trPr>
          <w:trHeight w:val="20"/>
        </w:trPr>
        <w:tc>
          <w:tcPr>
            <w:tcW w:w="8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common stock equivalents were excluded from the computation of diluted earnings per share attributable to common stockholders because including them would have been antidilutive (outstanding):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32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1"/>
                <w:szCs w:val="11"/>
                <w:b w:val="1"/>
                <w:bCs w:val="1"/>
                <w:color w:val="auto"/>
              </w:rPr>
              <w:t>Fiscal Year Ended January 31,</w:t>
            </w:r>
          </w:p>
        </w:tc>
      </w:tr>
      <w:tr>
        <w:trPr>
          <w:trHeight w:val="148"/>
        </w:trPr>
        <w:tc>
          <w:tcPr>
            <w:tcW w:w="806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Liability-classified common stock warrant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Series G Warrant</w:t>
            </w:r>
          </w:p>
        </w:tc>
        <w:tc>
          <w:tcPr>
            <w:tcW w:w="1580" w:type="dxa"/>
            <w:vAlign w:val="bottom"/>
          </w:tcPr>
          <w:p>
            <w:pPr>
              <w:jc w:val="right"/>
              <w:spacing w:after="0"/>
              <w:rPr>
                <w:sz w:val="20"/>
                <w:szCs w:val="20"/>
                <w:color w:val="auto"/>
              </w:rPr>
            </w:pPr>
            <w:r>
              <w:rPr>
                <w:rFonts w:ascii="Arial" w:cs="Arial" w:eastAsia="Arial" w:hAnsi="Arial"/>
                <w:sz w:val="14"/>
                <w:szCs w:val="14"/>
                <w:color w:val="auto"/>
              </w:rPr>
              <w:t>251,750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251,750</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Dual-trigger RSUs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22,177,257</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31,308,443</w:t>
            </w:r>
          </w:p>
        </w:tc>
      </w:tr>
      <w:tr>
        <w:trPr>
          <w:trHeight w:val="185"/>
        </w:trPr>
        <w:tc>
          <w:tcPr>
            <w:tcW w:w="8060" w:type="dxa"/>
            <w:vAlign w:val="bottom"/>
          </w:tcPr>
          <w:p>
            <w:pPr>
              <w:ind w:left="20"/>
              <w:spacing w:after="0"/>
              <w:rPr>
                <w:sz w:val="20"/>
                <w:szCs w:val="20"/>
                <w:color w:val="auto"/>
              </w:rPr>
            </w:pPr>
            <w:r>
              <w:rPr>
                <w:rFonts w:ascii="Arial" w:cs="Arial" w:eastAsia="Arial" w:hAnsi="Arial"/>
                <w:sz w:val="14"/>
                <w:szCs w:val="14"/>
                <w:color w:val="auto"/>
              </w:rPr>
              <w:t>SAFEs</w:t>
            </w:r>
          </w:p>
        </w:tc>
        <w:tc>
          <w:tcPr>
            <w:tcW w:w="1660" w:type="dxa"/>
            <w:vAlign w:val="bottom"/>
            <w:gridSpan w:val="2"/>
          </w:tcPr>
          <w:p>
            <w:pPr>
              <w:ind w:left="1100"/>
              <w:spacing w:after="0"/>
              <w:rPr>
                <w:sz w:val="20"/>
                <w:szCs w:val="20"/>
                <w:color w:val="auto"/>
              </w:rPr>
            </w:pPr>
            <w:r>
              <w:rPr>
                <w:rFonts w:ascii="Arial" w:cs="Arial" w:eastAsia="Arial" w:hAnsi="Arial"/>
                <w:sz w:val="14"/>
                <w:szCs w:val="14"/>
                <w:color w:val="auto"/>
              </w:rPr>
              <w:t>Various</w:t>
            </w:r>
          </w:p>
        </w:tc>
        <w:tc>
          <w:tcPr>
            <w:tcW w:w="1560" w:type="dxa"/>
            <w:vAlign w:val="bottom"/>
          </w:tcPr>
          <w:p>
            <w:pPr>
              <w:jc w:val="right"/>
              <w:spacing w:after="0"/>
              <w:rPr>
                <w:sz w:val="20"/>
                <w:szCs w:val="20"/>
                <w:color w:val="auto"/>
              </w:rPr>
            </w:pPr>
            <w:r>
              <w:rPr>
                <w:rFonts w:ascii="Arial" w:cs="Arial" w:eastAsia="Arial" w:hAnsi="Arial"/>
                <w:sz w:val="14"/>
                <w:szCs w:val="14"/>
                <w:color w:val="auto"/>
              </w:rPr>
              <w:t>Various</w:t>
            </w:r>
          </w:p>
        </w:tc>
      </w:tr>
    </w:tbl>
    <w:p>
      <w:pPr>
        <w:spacing w:after="0" w:line="168" w:lineRule="exact"/>
        <w:rPr>
          <w:sz w:val="20"/>
          <w:szCs w:val="20"/>
          <w:color w:val="auto"/>
        </w:rPr>
      </w:pPr>
    </w:p>
    <w:p>
      <w:pPr>
        <w:ind w:left="500" w:hanging="496"/>
        <w:spacing w:after="0"/>
        <w:tabs>
          <w:tab w:leader="none" w:pos="500" w:val="left"/>
        </w:tabs>
        <w:numPr>
          <w:ilvl w:val="0"/>
          <w:numId w:val="152"/>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Instruments with Off-Balance Sheet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a securities broker, the Company executes transactions with and on behalf of clients. The Company clears these transactions with its clearing firm on an omnibus basis.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the normal course of business, the Company’s client activities involve the execution of securities transactions and settlement by its clearing broker. The agreement between the Company and its clearing broker provides that the Company is obligated to assume any exposure related to nonperformance by its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280"/>
          </w:cols>
          <w:pgMar w:left="300" w:top="209" w:right="319" w:bottom="1440" w:gutter="0" w:footer="0" w:header="0"/>
        </w:sectPr>
      </w:pPr>
    </w:p>
    <w:bookmarkStart w:id="304" w:name="page305"/>
    <w:bookmarkEnd w:id="304"/>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clients. These activities may expose the Company to off-balance sheet risk in the event the client is unable to fulfill its contracted obligations. In the event the client fails to satisfy its obligations, the Company may be required to purchase or sell financial instruments at the prevailing market price in order to fulfill the client’s obligation. The Company seeks to control off-balance sheet credit risk by monitoring its client transactions and reviewing information it receives from its clearing broker on a daily basis and reserving for doubtful accounts when necessary.</w:t>
      </w:r>
    </w:p>
    <w:p>
      <w:pPr>
        <w:spacing w:after="0" w:line="96" w:lineRule="exact"/>
        <w:rPr>
          <w:sz w:val="20"/>
          <w:szCs w:val="20"/>
          <w:color w:val="auto"/>
        </w:rPr>
      </w:pPr>
    </w:p>
    <w:p>
      <w:pPr>
        <w:ind w:left="500" w:hanging="496"/>
        <w:spacing w:after="0"/>
        <w:tabs>
          <w:tab w:leader="none" w:pos="500" w:val="left"/>
        </w:tabs>
        <w:numPr>
          <w:ilvl w:val="0"/>
          <w:numId w:val="153"/>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Related party transactions may include any transaction between the Company and entities under common control or with a related party. The Company has defined related parties as members of the board of directors, executive officers, existing investors holding 10% or more of the Company’s outstanding stock, principal owners of the Company’s outstanding stock and any immediate family members of each related party, as well as any other person or entity with significant influence over the management or operations of the Company.</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During the fiscal year ended January 31, 2024, Apeksha Garga, the spouse of the Company’s Chief Executive Officer, was employed by the Company in a non-executive officer role. During the fiscal year ended January 31, 2024, Ms. Garga received a base salary, equity compensation, and bonus payment in connection with her employment by the Company in a non-executive officer role that were immaterial to the Company’s consolidated financial statements.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July 2024, in connection with the acquisition of Unified National Mortgage LLC (renamed Wealthfront Home Lending, LLC), the Company entered into a series of agreements with the Company’s Chief Executive Officer, Wealthfront Home Lending, and Wealthfront Holdings LLC, the purchasing entity. Through related management and financing agreements, the Company directs the significant activities of Wealthfront Home Lending and absorbs all associated benefits and losses. As of and during the fiscal year ended January 31, 2025, the assets, liabilities and activities of Wealthfront Home Lending and Wealthfront Holdings were immaterial to the Company’s consolidated financial statements.</w:t>
      </w:r>
    </w:p>
    <w:p>
      <w:pPr>
        <w:spacing w:after="0" w:line="96" w:lineRule="exact"/>
        <w:rPr>
          <w:sz w:val="20"/>
          <w:szCs w:val="20"/>
          <w:color w:val="auto"/>
        </w:rPr>
      </w:pPr>
    </w:p>
    <w:p>
      <w:pPr>
        <w:ind w:left="500" w:hanging="496"/>
        <w:spacing w:after="0"/>
        <w:tabs>
          <w:tab w:leader="none" w:pos="500" w:val="left"/>
        </w:tabs>
        <w:numPr>
          <w:ilvl w:val="0"/>
          <w:numId w:val="154"/>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evaluated subsequent events from the consolidated balance sheets date through June 18, 2025, the issuance date of the consolidated financial statements.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There have been no other material subsequent events other than previously disclosed that occurred during such period that would require disclosure or would be required to be recognized in the consolidated financial statements as of January 31, 2025.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280"/>
          </w:cols>
          <w:pgMar w:left="300" w:top="209" w:right="319" w:bottom="1440" w:gutter="0" w:footer="0" w:header="0"/>
        </w:sectPr>
      </w:pPr>
    </w:p>
    <w:bookmarkStart w:id="305" w:name="page306"/>
    <w:bookmarkEnd w:id="305"/>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and share amounts)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January 31,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ind w:right="524"/>
              <w:spacing w:after="0"/>
              <w:rPr>
                <w:sz w:val="20"/>
                <w:szCs w:val="20"/>
                <w:color w:val="auto"/>
              </w:rPr>
            </w:pPr>
            <w:r>
              <w:rPr>
                <w:rFonts w:ascii="Arial" w:cs="Arial" w:eastAsia="Arial" w:hAnsi="Arial"/>
                <w:sz w:val="11"/>
                <w:szCs w:val="11"/>
                <w:b w:val="1"/>
                <w:bCs w:val="1"/>
                <w:color w:val="auto"/>
              </w:rPr>
              <w:t>July 31,</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8"/>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1100" w:type="dxa"/>
            <w:vAlign w:val="bottom"/>
            <w:shd w:val="clear" w:color="auto" w:fill="CCEEFF"/>
          </w:tcPr>
          <w:p>
            <w:pPr>
              <w:jc w:val="right"/>
              <w:ind w:right="964"/>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142,860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222,749</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Cash segregated and on deposit for regulatory purposes</w:t>
            </w:r>
          </w:p>
        </w:tc>
        <w:tc>
          <w:tcPr>
            <w:tcW w:w="110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9,083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10,850</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from clients</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118,518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157,779</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Accounts receivable</w:t>
            </w:r>
          </w:p>
        </w:tc>
        <w:tc>
          <w:tcPr>
            <w:tcW w:w="110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29,127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30,945</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Client-held fractional shares</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28,057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121,162</w:t>
            </w:r>
          </w:p>
        </w:tc>
        <w:tc>
          <w:tcPr>
            <w:tcW w:w="0" w:type="dxa"/>
            <w:vAlign w:val="bottom"/>
          </w:tcPr>
          <w:p>
            <w:pPr>
              <w:spacing w:after="0"/>
              <w:rPr>
                <w:sz w:val="1"/>
                <w:szCs w:val="1"/>
                <w:color w:val="auto"/>
              </w:rPr>
            </w:pPr>
          </w:p>
        </w:tc>
      </w:tr>
      <w:tr>
        <w:trPr>
          <w:trHeight w:val="155"/>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current assets</w:t>
            </w: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18,805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29,887</w:t>
            </w:r>
          </w:p>
        </w:tc>
        <w:tc>
          <w:tcPr>
            <w:tcW w:w="0" w:type="dxa"/>
            <w:vAlign w:val="bottom"/>
          </w:tcPr>
          <w:p>
            <w:pPr>
              <w:spacing w:after="0"/>
              <w:rPr>
                <w:sz w:val="1"/>
                <w:szCs w:val="1"/>
                <w:color w:val="auto"/>
              </w:rPr>
            </w:pPr>
          </w:p>
        </w:tc>
      </w:tr>
      <w:tr>
        <w:trPr>
          <w:trHeight w:val="151"/>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346,450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573,372</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Deferred tax assets, net</w:t>
            </w:r>
          </w:p>
        </w:tc>
        <w:tc>
          <w:tcPr>
            <w:tcW w:w="110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60,194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50,467</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11,229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10,224</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Property, software, and equipment, net</w:t>
            </w:r>
          </w:p>
        </w:tc>
        <w:tc>
          <w:tcPr>
            <w:tcW w:w="110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14,723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10,940</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2,610</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2,610</w:t>
            </w:r>
          </w:p>
        </w:tc>
        <w:tc>
          <w:tcPr>
            <w:tcW w:w="0" w:type="dxa"/>
            <w:vAlign w:val="bottom"/>
          </w:tcPr>
          <w:p>
            <w:pPr>
              <w:spacing w:after="0"/>
              <w:rPr>
                <w:sz w:val="1"/>
                <w:szCs w:val="1"/>
                <w:color w:val="auto"/>
              </w:rPr>
            </w:pPr>
          </w:p>
        </w:tc>
      </w:tr>
      <w:tr>
        <w:trPr>
          <w:trHeight w:val="151"/>
        </w:trPr>
        <w:tc>
          <w:tcPr>
            <w:tcW w:w="8060" w:type="dxa"/>
            <w:vAlign w:val="bottom"/>
          </w:tcPr>
          <w:p>
            <w:pPr>
              <w:ind w:left="360"/>
              <w:spacing w:after="0"/>
              <w:rPr>
                <w:sz w:val="20"/>
                <w:szCs w:val="20"/>
                <w:color w:val="auto"/>
              </w:rPr>
            </w:pPr>
            <w:r>
              <w:rPr>
                <w:rFonts w:ascii="Arial" w:cs="Arial" w:eastAsia="Arial" w:hAnsi="Arial"/>
                <w:sz w:val="11"/>
                <w:szCs w:val="11"/>
                <w:color w:val="auto"/>
              </w:rPr>
              <w:t>Total assets</w:t>
            </w:r>
          </w:p>
        </w:tc>
        <w:tc>
          <w:tcPr>
            <w:tcW w:w="1100" w:type="dxa"/>
            <w:vAlign w:val="bottom"/>
            <w:tcBorders>
              <w:bottom w:val="single" w:sz="8" w:color="auto"/>
            </w:tcBorders>
          </w:tcPr>
          <w:p>
            <w:pPr>
              <w:jc w:val="right"/>
              <w:ind w:right="964"/>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435,206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647,613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0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Liabilities, redeemable convertible preferred stock, and stockholders’ equity</w:t>
            </w: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payable</w:t>
            </w:r>
          </w:p>
        </w:tc>
        <w:tc>
          <w:tcPr>
            <w:tcW w:w="1100" w:type="dxa"/>
            <w:vAlign w:val="bottom"/>
            <w:shd w:val="clear" w:color="auto" w:fill="CCEEFF"/>
          </w:tcPr>
          <w:p>
            <w:pPr>
              <w:jc w:val="right"/>
              <w:ind w:right="964"/>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6,467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6,432</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Accrued liabilities</w:t>
            </w:r>
          </w:p>
        </w:tc>
        <w:tc>
          <w:tcPr>
            <w:tcW w:w="110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7,517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16,550</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to clients</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9,452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10,915</w:t>
            </w:r>
          </w:p>
        </w:tc>
        <w:tc>
          <w:tcPr>
            <w:tcW w:w="0" w:type="dxa"/>
            <w:vAlign w:val="bottom"/>
          </w:tcPr>
          <w:p>
            <w:pPr>
              <w:spacing w:after="0"/>
              <w:rPr>
                <w:sz w:val="1"/>
                <w:szCs w:val="1"/>
                <w:color w:val="auto"/>
              </w:rPr>
            </w:pPr>
          </w:p>
        </w:tc>
      </w:tr>
      <w:tr>
        <w:trPr>
          <w:trHeight w:val="155"/>
        </w:trPr>
        <w:tc>
          <w:tcPr>
            <w:tcW w:w="8060" w:type="dxa"/>
            <w:vAlign w:val="bottom"/>
          </w:tcPr>
          <w:p>
            <w:pPr>
              <w:ind w:left="180"/>
              <w:spacing w:after="0"/>
              <w:rPr>
                <w:sz w:val="20"/>
                <w:szCs w:val="20"/>
                <w:color w:val="auto"/>
              </w:rPr>
            </w:pPr>
            <w:r>
              <w:rPr>
                <w:rFonts w:ascii="Arial" w:cs="Arial" w:eastAsia="Arial" w:hAnsi="Arial"/>
                <w:sz w:val="11"/>
                <w:szCs w:val="11"/>
                <w:color w:val="auto"/>
              </w:rPr>
              <w:t>Payable to clearing broker</w:t>
            </w:r>
          </w:p>
        </w:tc>
        <w:tc>
          <w:tcPr>
            <w:tcW w:w="110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118,174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157,833</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Current portion of operating lease liabilities</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3,556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3,827</w:t>
            </w:r>
          </w:p>
        </w:tc>
        <w:tc>
          <w:tcPr>
            <w:tcW w:w="0" w:type="dxa"/>
            <w:vAlign w:val="bottom"/>
          </w:tcPr>
          <w:p>
            <w:pPr>
              <w:spacing w:after="0"/>
              <w:rPr>
                <w:sz w:val="1"/>
                <w:szCs w:val="1"/>
                <w:color w:val="auto"/>
              </w:rPr>
            </w:pPr>
          </w:p>
        </w:tc>
      </w:tr>
      <w:tr>
        <w:trPr>
          <w:trHeight w:val="155"/>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Fractional shares repurchase obligation</w:t>
            </w: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28,057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121,162</w:t>
            </w:r>
          </w:p>
        </w:tc>
        <w:tc>
          <w:tcPr>
            <w:tcW w:w="0" w:type="dxa"/>
            <w:vAlign w:val="bottom"/>
          </w:tcPr>
          <w:p>
            <w:pPr>
              <w:spacing w:after="0"/>
              <w:rPr>
                <w:sz w:val="1"/>
                <w:szCs w:val="1"/>
                <w:color w:val="auto"/>
              </w:rPr>
            </w:pPr>
          </w:p>
        </w:tc>
      </w:tr>
      <w:tr>
        <w:trPr>
          <w:trHeight w:val="151"/>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173,223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316,719</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Operating lease liabilities, net of current portion</w:t>
            </w:r>
          </w:p>
        </w:tc>
        <w:tc>
          <w:tcPr>
            <w:tcW w:w="110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9,796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8,327</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liabilities</w:t>
            </w:r>
          </w:p>
        </w:tc>
        <w:tc>
          <w:tcPr>
            <w:tcW w:w="1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9,651</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11,010</w:t>
            </w:r>
          </w:p>
        </w:tc>
        <w:tc>
          <w:tcPr>
            <w:tcW w:w="0" w:type="dxa"/>
            <w:vAlign w:val="bottom"/>
          </w:tcPr>
          <w:p>
            <w:pPr>
              <w:spacing w:after="0"/>
              <w:rPr>
                <w:sz w:val="1"/>
                <w:szCs w:val="1"/>
                <w:color w:val="auto"/>
              </w:rPr>
            </w:pPr>
          </w:p>
        </w:tc>
      </w:tr>
      <w:tr>
        <w:trPr>
          <w:trHeight w:val="145"/>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Total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192,670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336,056</w:t>
            </w:r>
          </w:p>
        </w:tc>
        <w:tc>
          <w:tcPr>
            <w:tcW w:w="0" w:type="dxa"/>
            <w:vAlign w:val="bottom"/>
          </w:tcPr>
          <w:p>
            <w:pPr>
              <w:spacing w:after="0"/>
              <w:rPr>
                <w:sz w:val="1"/>
                <w:szCs w:val="1"/>
                <w:color w:val="auto"/>
              </w:rPr>
            </w:pPr>
          </w:p>
        </w:tc>
      </w:tr>
      <w:tr>
        <w:trPr>
          <w:trHeight w:val="14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8)</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060" w:type="dxa"/>
            <w:vAlign w:val="bottom"/>
          </w:tcPr>
          <w:p>
            <w:pPr>
              <w:ind w:left="20"/>
              <w:spacing w:after="0" w:line="120" w:lineRule="exact"/>
              <w:rPr>
                <w:sz w:val="20"/>
                <w:szCs w:val="20"/>
                <w:color w:val="auto"/>
              </w:rPr>
            </w:pPr>
            <w:r>
              <w:rPr>
                <w:rFonts w:ascii="Arial" w:cs="Arial" w:eastAsia="Arial" w:hAnsi="Arial"/>
                <w:sz w:val="11"/>
                <w:szCs w:val="11"/>
                <w:color w:val="auto"/>
              </w:rPr>
              <w:t>Redeemable convertible preferred stock, $0.0001 par value per share; 85,490,483 shares authorized as of January 31, 2025 and July 31, 2025; 69,914,359 and</w:t>
            </w: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60" w:type="dxa"/>
            <w:vAlign w:val="bottom"/>
          </w:tcPr>
          <w:p>
            <w:pPr>
              <w:ind w:left="140"/>
              <w:spacing w:after="0" w:line="116" w:lineRule="exact"/>
              <w:rPr>
                <w:sz w:val="20"/>
                <w:szCs w:val="20"/>
                <w:color w:val="auto"/>
              </w:rPr>
            </w:pPr>
            <w:r>
              <w:rPr>
                <w:rFonts w:ascii="Arial" w:cs="Arial" w:eastAsia="Arial" w:hAnsi="Arial"/>
                <w:sz w:val="11"/>
                <w:szCs w:val="11"/>
                <w:color w:val="auto"/>
              </w:rPr>
              <w:t>69,852,421 shares issued and outstanding as of January 31, 2025 and July 31, 2025, respectively; aggregate liquidation preference of $229,543 and $229,393</w:t>
            </w:r>
          </w:p>
        </w:tc>
        <w:tc>
          <w:tcPr>
            <w:tcW w:w="1100" w:type="dxa"/>
            <w:vAlign w:val="bottom"/>
          </w:tcPr>
          <w:p>
            <w:pPr>
              <w:spacing w:after="0"/>
              <w:rPr>
                <w:sz w:val="10"/>
                <w:szCs w:val="10"/>
                <w:color w:val="auto"/>
              </w:rPr>
            </w:pPr>
          </w:p>
        </w:tc>
        <w:tc>
          <w:tcPr>
            <w:tcW w:w="480" w:type="dxa"/>
            <w:vAlign w:val="bottom"/>
            <w:vMerge w:val="restart"/>
          </w:tcPr>
          <w:p>
            <w:pPr>
              <w:jc w:val="right"/>
              <w:ind w:right="4"/>
              <w:spacing w:after="0"/>
              <w:rPr>
                <w:sz w:val="20"/>
                <w:szCs w:val="20"/>
                <w:color w:val="auto"/>
              </w:rPr>
            </w:pPr>
            <w:r>
              <w:rPr>
                <w:rFonts w:ascii="Arial" w:cs="Arial" w:eastAsia="Arial" w:hAnsi="Arial"/>
                <w:sz w:val="11"/>
                <w:szCs w:val="11"/>
                <w:color w:val="auto"/>
              </w:rPr>
              <w:t>227,198</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1"/>
                <w:szCs w:val="11"/>
                <w:color w:val="auto"/>
              </w:rPr>
              <w:t>227,198</w:t>
            </w:r>
          </w:p>
        </w:tc>
        <w:tc>
          <w:tcPr>
            <w:tcW w:w="0" w:type="dxa"/>
            <w:vAlign w:val="bottom"/>
          </w:tcPr>
          <w:p>
            <w:pPr>
              <w:spacing w:after="0"/>
              <w:rPr>
                <w:sz w:val="1"/>
                <w:szCs w:val="1"/>
                <w:color w:val="auto"/>
              </w:rPr>
            </w:pPr>
          </w:p>
        </w:tc>
      </w:tr>
      <w:tr>
        <w:trPr>
          <w:trHeight w:val="143"/>
        </w:trPr>
        <w:tc>
          <w:tcPr>
            <w:tcW w:w="8060" w:type="dxa"/>
            <w:vAlign w:val="bottom"/>
          </w:tcPr>
          <w:p>
            <w:pPr>
              <w:ind w:left="140"/>
              <w:spacing w:after="0"/>
              <w:rPr>
                <w:sz w:val="20"/>
                <w:szCs w:val="20"/>
                <w:color w:val="auto"/>
              </w:rPr>
            </w:pPr>
            <w:r>
              <w:rPr>
                <w:rFonts w:ascii="Arial" w:cs="Arial" w:eastAsia="Arial" w:hAnsi="Arial"/>
                <w:sz w:val="11"/>
                <w:szCs w:val="11"/>
                <w:color w:val="auto"/>
              </w:rPr>
              <w:t>as of January 31, 2025 and July 31, 2025, respectively</w:t>
            </w:r>
          </w:p>
        </w:tc>
        <w:tc>
          <w:tcPr>
            <w:tcW w:w="1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8060" w:type="dxa"/>
            <w:vAlign w:val="bottom"/>
          </w:tcPr>
          <w:p>
            <w:pPr>
              <w:ind w:left="20"/>
              <w:spacing w:after="0" w:line="120" w:lineRule="exact"/>
              <w:rPr>
                <w:sz w:val="20"/>
                <w:szCs w:val="20"/>
                <w:color w:val="auto"/>
              </w:rPr>
            </w:pPr>
            <w:r>
              <w:rPr>
                <w:rFonts w:ascii="Arial" w:cs="Arial" w:eastAsia="Arial" w:hAnsi="Arial"/>
                <w:sz w:val="11"/>
                <w:szCs w:val="11"/>
                <w:color w:val="auto"/>
              </w:rPr>
              <w:t>Common stock, $0.0001 par value per share; 214,611,134 shares authorized as of January 31, 2025 and July 31, 2025; 41,532,599 and 43,793,335 shares</w:t>
            </w:r>
          </w:p>
        </w:tc>
        <w:tc>
          <w:tcPr>
            <w:tcW w:w="1100" w:type="dxa"/>
            <w:vAlign w:val="bottom"/>
          </w:tcPr>
          <w:p>
            <w:pPr>
              <w:spacing w:after="0"/>
              <w:rPr>
                <w:sz w:val="10"/>
                <w:szCs w:val="10"/>
                <w:color w:val="auto"/>
              </w:rPr>
            </w:pPr>
          </w:p>
        </w:tc>
        <w:tc>
          <w:tcPr>
            <w:tcW w:w="480" w:type="dxa"/>
            <w:vAlign w:val="bottom"/>
            <w:vMerge w:val="restart"/>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3"/>
        </w:trPr>
        <w:tc>
          <w:tcPr>
            <w:tcW w:w="8060" w:type="dxa"/>
            <w:vAlign w:val="bottom"/>
          </w:tcPr>
          <w:p>
            <w:pPr>
              <w:ind w:left="140"/>
              <w:spacing w:after="0"/>
              <w:rPr>
                <w:sz w:val="20"/>
                <w:szCs w:val="20"/>
                <w:color w:val="auto"/>
              </w:rPr>
            </w:pPr>
            <w:r>
              <w:rPr>
                <w:rFonts w:ascii="Arial" w:cs="Arial" w:eastAsia="Arial" w:hAnsi="Arial"/>
                <w:sz w:val="11"/>
                <w:szCs w:val="11"/>
                <w:color w:val="auto"/>
              </w:rPr>
              <w:t>issued as of January 31, 2025 and July 31, 2025; 40,110,106 and 42,344,666 shares outstanding as of January 31, 2025 and July 31, 2025, respectively</w:t>
            </w:r>
          </w:p>
        </w:tc>
        <w:tc>
          <w:tcPr>
            <w:tcW w:w="1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stock, at cost; 1,422,493 and 1,448,669 shares held as of January 31, 2025 and July 31, 2025, respectively</w:t>
            </w:r>
          </w:p>
        </w:tc>
        <w:tc>
          <w:tcPr>
            <w:tcW w:w="1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(12,593)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(12,831)</w:t>
            </w:r>
          </w:p>
        </w:tc>
        <w:tc>
          <w:tcPr>
            <w:tcW w:w="0" w:type="dxa"/>
            <w:vAlign w:val="bottom"/>
          </w:tcPr>
          <w:p>
            <w:pPr>
              <w:spacing w:after="0"/>
              <w:rPr>
                <w:sz w:val="1"/>
                <w:szCs w:val="1"/>
                <w:color w:val="auto"/>
              </w:rPr>
            </w:pPr>
          </w:p>
        </w:tc>
      </w:tr>
      <w:tr>
        <w:trPr>
          <w:trHeight w:val="155"/>
        </w:trPr>
        <w:tc>
          <w:tcPr>
            <w:tcW w:w="806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110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127,862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136,433</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1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(99,935)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(39,247)</w:t>
            </w:r>
          </w:p>
        </w:tc>
        <w:tc>
          <w:tcPr>
            <w:tcW w:w="0" w:type="dxa"/>
            <w:vAlign w:val="bottom"/>
          </w:tcPr>
          <w:p>
            <w:pPr>
              <w:spacing w:after="0"/>
              <w:rPr>
                <w:sz w:val="1"/>
                <w:szCs w:val="1"/>
                <w:color w:val="auto"/>
              </w:rPr>
            </w:pPr>
          </w:p>
        </w:tc>
      </w:tr>
      <w:tr>
        <w:trPr>
          <w:trHeight w:val="145"/>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stockholders’ equity</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15,338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84,359</w:t>
            </w:r>
          </w:p>
        </w:tc>
        <w:tc>
          <w:tcPr>
            <w:tcW w:w="0" w:type="dxa"/>
            <w:vAlign w:val="bottom"/>
          </w:tcPr>
          <w:p>
            <w:pPr>
              <w:spacing w:after="0"/>
              <w:rPr>
                <w:sz w:val="1"/>
                <w:szCs w:val="1"/>
                <w:color w:val="auto"/>
              </w:rPr>
            </w:pPr>
          </w:p>
        </w:tc>
      </w:tr>
      <w:tr>
        <w:trPr>
          <w:trHeight w:val="176"/>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liabilities, redeemable convertible preferred stock, and stockholders’ equity</w:t>
            </w:r>
          </w:p>
        </w:tc>
        <w:tc>
          <w:tcPr>
            <w:tcW w:w="110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435,206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647,613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280"/>
          </w:cols>
          <w:pgMar w:left="300" w:top="209" w:right="319" w:bottom="1440" w:gutter="0" w:footer="0" w:header="0"/>
        </w:sectPr>
      </w:pPr>
    </w:p>
    <w:bookmarkStart w:id="306" w:name="page307"/>
    <w:bookmarkEnd w:id="306"/>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and share amounts)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20" w:type="dxa"/>
            <w:vAlign w:val="bottom"/>
            <w:gridSpan w:val="5"/>
          </w:tcPr>
          <w:p>
            <w:pPr>
              <w:ind w:left="460"/>
              <w:spacing w:after="0"/>
              <w:rPr>
                <w:sz w:val="20"/>
                <w:szCs w:val="20"/>
                <w:color w:val="auto"/>
              </w:rPr>
            </w:pPr>
            <w:r>
              <w:rPr>
                <w:rFonts w:ascii="Arial" w:cs="Arial" w:eastAsia="Arial" w:hAnsi="Arial"/>
                <w:sz w:val="11"/>
                <w:szCs w:val="11"/>
                <w:b w:val="1"/>
                <w:bCs w:val="1"/>
                <w:color w:val="auto"/>
              </w:rPr>
              <w:t>Three Months Ended July 31,</w:t>
            </w:r>
          </w:p>
        </w:tc>
        <w:tc>
          <w:tcPr>
            <w:tcW w:w="380" w:type="dxa"/>
            <w:vAlign w:val="bottom"/>
          </w:tcPr>
          <w:p>
            <w:pPr>
              <w:spacing w:after="0"/>
              <w:rPr>
                <w:sz w:val="13"/>
                <w:szCs w:val="13"/>
                <w:color w:val="auto"/>
              </w:rPr>
            </w:pPr>
          </w:p>
        </w:tc>
        <w:tc>
          <w:tcPr>
            <w:tcW w:w="2840" w:type="dxa"/>
            <w:vAlign w:val="bottom"/>
            <w:gridSpan w:val="4"/>
          </w:tcPr>
          <w:p>
            <w:pPr>
              <w:jc w:val="right"/>
              <w:ind w:right="831"/>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Cash management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58,331</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68,873</w:t>
            </w:r>
          </w:p>
        </w:tc>
        <w:tc>
          <w:tcPr>
            <w:tcW w:w="80" w:type="dxa"/>
            <w:vAlign w:val="bottom"/>
          </w:tcPr>
          <w:p>
            <w:pPr>
              <w:spacing w:after="0"/>
              <w:rPr>
                <w:sz w:val="15"/>
                <w:szCs w:val="15"/>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108,733</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133,139</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advisory</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41,914</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77,550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91,123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145,870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175,637</w:t>
            </w:r>
          </w:p>
        </w:tc>
        <w:tc>
          <w:tcPr>
            <w:tcW w:w="0" w:type="dxa"/>
            <w:vAlign w:val="bottom"/>
          </w:tcPr>
          <w:p>
            <w:pPr>
              <w:spacing w:after="0"/>
              <w:rPr>
                <w:sz w:val="1"/>
                <w:szCs w:val="1"/>
                <w:color w:val="auto"/>
              </w:rPr>
            </w:pPr>
          </w:p>
        </w:tc>
      </w:tr>
      <w:tr>
        <w:trPr>
          <w:trHeight w:val="159"/>
        </w:trPr>
        <w:tc>
          <w:tcPr>
            <w:tcW w:w="4760" w:type="dxa"/>
            <w:vAlign w:val="bottom"/>
          </w:tcPr>
          <w:p>
            <w:pPr>
              <w:ind w:left="20"/>
              <w:spacing w:after="0" w:line="159" w:lineRule="exact"/>
              <w:rPr>
                <w:sz w:val="20"/>
                <w:szCs w:val="20"/>
                <w:color w:val="auto"/>
              </w:rPr>
            </w:pPr>
            <w:r>
              <w:rPr>
                <w:rFonts w:ascii="Arial" w:cs="Arial" w:eastAsia="Arial" w:hAnsi="Arial"/>
                <w:sz w:val="14"/>
                <w:szCs w:val="14"/>
                <w:color w:val="auto"/>
              </w:rPr>
              <w:t>Costs and operating expenses: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18,255</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15,080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21,227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29,367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41,459</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18,740</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Marketing</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9,093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21,909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19,281</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 and support</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5,988</w:t>
            </w:r>
          </w:p>
        </w:tc>
        <w:tc>
          <w:tcPr>
            <w:tcW w:w="0" w:type="dxa"/>
            <w:vAlign w:val="bottom"/>
          </w:tcPr>
          <w:p>
            <w:pPr>
              <w:spacing w:after="0"/>
              <w:rPr>
                <w:sz w:val="1"/>
                <w:szCs w:val="1"/>
                <w:color w:val="auto"/>
              </w:rPr>
            </w:pPr>
          </w:p>
        </w:tc>
      </w:tr>
      <w:tr>
        <w:trPr>
          <w:trHeight w:val="169"/>
        </w:trPr>
        <w:tc>
          <w:tcPr>
            <w:tcW w:w="4760" w:type="dxa"/>
            <w:vAlign w:val="bottom"/>
          </w:tcPr>
          <w:p>
            <w:pPr>
              <w:ind w:left="360"/>
              <w:spacing w:after="0"/>
              <w:rPr>
                <w:sz w:val="20"/>
                <w:szCs w:val="20"/>
                <w:color w:val="auto"/>
              </w:rPr>
            </w:pPr>
            <w:r>
              <w:rPr>
                <w:rFonts w:ascii="Arial" w:cs="Arial" w:eastAsia="Arial" w:hAnsi="Arial"/>
                <w:sz w:val="14"/>
                <w:szCs w:val="14"/>
                <w:color w:val="auto"/>
              </w:rPr>
              <w:t>Total costs and operating expenses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44,071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51,843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84,670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103,723</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net</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33,523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39,871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78,246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73,982</w:t>
            </w:r>
          </w:p>
        </w:tc>
        <w:tc>
          <w:tcPr>
            <w:tcW w:w="0" w:type="dxa"/>
            <w:vAlign w:val="bottom"/>
          </w:tcPr>
          <w:p>
            <w:pPr>
              <w:spacing w:after="0"/>
              <w:rPr>
                <w:sz w:val="1"/>
                <w:szCs w:val="1"/>
                <w:color w:val="auto"/>
              </w:rPr>
            </w:pPr>
          </w:p>
        </w:tc>
      </w:tr>
      <w:tr>
        <w:trPr>
          <w:trHeight w:val="16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13,294</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34,178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34,741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132,309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60,688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share: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0.88</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24" w:lineRule="exact"/>
              <w:rPr>
                <w:sz w:val="20"/>
                <w:szCs w:val="20"/>
                <w:color w:val="auto"/>
              </w:rPr>
            </w:pPr>
            <w:r>
              <w:rPr>
                <w:rFonts w:ascii="Arial" w:cs="Arial" w:eastAsia="Arial" w:hAnsi="Arial"/>
                <w:sz w:val="14"/>
                <w:szCs w:val="14"/>
                <w:color w:val="auto"/>
              </w:rPr>
              <w:t>Weighted-average shares outstanding used in computing earnings per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7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760" w:type="dxa"/>
            <w:vAlign w:val="bottom"/>
          </w:tcPr>
          <w:p>
            <w:pPr>
              <w:ind w:left="140"/>
              <w:spacing w:after="0"/>
              <w:rPr>
                <w:sz w:val="20"/>
                <w:szCs w:val="20"/>
                <w:color w:val="auto"/>
              </w:rPr>
            </w:pPr>
            <w:r>
              <w:rPr>
                <w:rFonts w:ascii="Arial" w:cs="Arial" w:eastAsia="Arial" w:hAnsi="Arial"/>
                <w:sz w:val="14"/>
                <w:szCs w:val="14"/>
                <w:color w:val="auto"/>
              </w:rPr>
              <w:t>share: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39,021,040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40,497,003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38,998,847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40,386,351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760" w:type="dxa"/>
            <w:vAlign w:val="bottom"/>
          </w:tcPr>
          <w:p>
            <w:pPr>
              <w:ind w:left="180"/>
              <w:spacing w:after="0" w:line="141" w:lineRule="exact"/>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138,348,657</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141,996,997</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139,351,193</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142,121,531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280"/>
          </w:cols>
          <w:pgMar w:left="300" w:top="209" w:right="319" w:bottom="1440" w:gutter="0" w:footer="0" w:header="0"/>
        </w:sectPr>
      </w:pPr>
    </w:p>
    <w:bookmarkStart w:id="307" w:name="page308"/>
    <w:bookmarkEnd w:id="307"/>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share amounts)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460" w:type="dxa"/>
            <w:vAlign w:val="bottom"/>
          </w:tcPr>
          <w:p>
            <w:pPr>
              <w:spacing w:after="0"/>
              <w:rPr>
                <w:sz w:val="11"/>
                <w:szCs w:val="11"/>
                <w:color w:val="auto"/>
              </w:rPr>
            </w:pPr>
          </w:p>
        </w:tc>
        <w:tc>
          <w:tcPr>
            <w:tcW w:w="222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0"/>
                <w:szCs w:val="10"/>
                <w:b w:val="1"/>
                <w:bCs w:val="1"/>
                <w:color w:val="auto"/>
              </w:rPr>
              <w:t>Redeemable Convertible Preferred Stock</w:t>
            </w:r>
          </w:p>
        </w:tc>
        <w:tc>
          <w:tcPr>
            <w:tcW w:w="40" w:type="dxa"/>
            <w:vAlign w:val="bottom"/>
          </w:tcPr>
          <w:p>
            <w:pPr>
              <w:spacing w:after="0"/>
              <w:rPr>
                <w:sz w:val="11"/>
                <w:szCs w:val="11"/>
                <w:color w:val="auto"/>
              </w:rPr>
            </w:pPr>
          </w:p>
        </w:tc>
        <w:tc>
          <w:tcPr>
            <w:tcW w:w="19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Additional Paid-in</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Total Stockholders’</w:t>
            </w:r>
          </w:p>
        </w:tc>
        <w:tc>
          <w:tcPr>
            <w:tcW w:w="0" w:type="dxa"/>
            <w:vAlign w:val="bottom"/>
          </w:tcPr>
          <w:p>
            <w:pPr>
              <w:spacing w:after="0"/>
              <w:rPr>
                <w:sz w:val="1"/>
                <w:szCs w:val="1"/>
                <w:color w:val="auto"/>
              </w:rPr>
            </w:pPr>
          </w:p>
        </w:tc>
      </w:tr>
      <w:tr>
        <w:trPr>
          <w:trHeight w:val="141"/>
        </w:trPr>
        <w:tc>
          <w:tcPr>
            <w:tcW w:w="24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25"/>
              <w:spacing w:after="0"/>
              <w:rPr>
                <w:sz w:val="20"/>
                <w:szCs w:val="20"/>
                <w:color w:val="auto"/>
              </w:rPr>
            </w:pPr>
            <w:r>
              <w:rPr>
                <w:rFonts w:ascii="Arial" w:cs="Arial" w:eastAsia="Arial" w:hAnsi="Arial"/>
                <w:sz w:val="10"/>
                <w:szCs w:val="10"/>
                <w:b w:val="1"/>
                <w:bCs w:val="1"/>
                <w:color w:val="auto"/>
                <w:w w:val="99"/>
              </w:rPr>
              <w:t>Treasury Stock</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6"/>
              <w:spacing w:after="0"/>
              <w:rPr>
                <w:sz w:val="20"/>
                <w:szCs w:val="20"/>
                <w:color w:val="auto"/>
              </w:rPr>
            </w:pPr>
            <w:r>
              <w:rPr>
                <w:rFonts w:ascii="Arial" w:cs="Arial" w:eastAsia="Arial" w:hAnsi="Arial"/>
                <w:sz w:val="10"/>
                <w:szCs w:val="10"/>
                <w:b w:val="1"/>
                <w:bCs w:val="1"/>
                <w:color w:val="auto"/>
                <w:w w:val="95"/>
              </w:rPr>
              <w:t>Capital</w:t>
            </w:r>
          </w:p>
        </w:tc>
        <w:tc>
          <w:tcPr>
            <w:tcW w:w="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Accumulated Deficit</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98"/>
              </w:rPr>
              <w:t>Deficit</w:t>
            </w:r>
          </w:p>
        </w:tc>
        <w:tc>
          <w:tcPr>
            <w:tcW w:w="0" w:type="dxa"/>
            <w:vAlign w:val="bottom"/>
          </w:tcPr>
          <w:p>
            <w:pPr>
              <w:spacing w:after="0"/>
              <w:rPr>
                <w:sz w:val="1"/>
                <w:szCs w:val="1"/>
                <w:color w:val="auto"/>
              </w:rPr>
            </w:pPr>
          </w:p>
        </w:tc>
      </w:tr>
      <w:tr>
        <w:trPr>
          <w:trHeight w:val="15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April 30, 2024</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69,914,359</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20" w:type="dxa"/>
            <w:vAlign w:val="bottom"/>
            <w:tcBorders>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227,198</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38,977,034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116,568</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(196,251)</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(79,679)</w:t>
            </w:r>
          </w:p>
        </w:tc>
        <w:tc>
          <w:tcPr>
            <w:tcW w:w="0" w:type="dxa"/>
            <w:vAlign w:val="bottom"/>
          </w:tcPr>
          <w:p>
            <w:pPr>
              <w:spacing w:after="0"/>
              <w:rPr>
                <w:sz w:val="1"/>
                <w:szCs w:val="1"/>
                <w:color w:val="auto"/>
              </w:rPr>
            </w:pPr>
          </w:p>
        </w:tc>
      </w:tr>
      <w:tr>
        <w:trPr>
          <w:trHeight w:val="155"/>
        </w:trPr>
        <w:tc>
          <w:tcPr>
            <w:tcW w:w="24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34,178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34,178</w:t>
            </w:r>
          </w:p>
        </w:tc>
        <w:tc>
          <w:tcPr>
            <w:tcW w:w="0" w:type="dxa"/>
            <w:vAlign w:val="bottom"/>
          </w:tcPr>
          <w:p>
            <w:pPr>
              <w:spacing w:after="0"/>
              <w:rPr>
                <w:sz w:val="1"/>
                <w:szCs w:val="1"/>
                <w:color w:val="auto"/>
              </w:rPr>
            </w:pPr>
          </w:p>
        </w:tc>
      </w:tr>
      <w:tr>
        <w:trPr>
          <w:trHeight w:val="123"/>
        </w:trPr>
        <w:tc>
          <w:tcPr>
            <w:tcW w:w="246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920" w:type="dxa"/>
            <w:vAlign w:val="bottom"/>
            <w:tcBorders>
              <w:right w:val="single" w:sz="8" w:color="auto"/>
            </w:tcBorders>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67,504</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102</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43"/>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Arial" w:cs="Arial" w:eastAsia="Arial" w:hAnsi="Arial"/>
                <w:sz w:val="11"/>
                <w:szCs w:val="11"/>
                <w:color w:val="auto"/>
              </w:rPr>
              <w:t>Issuance of common stock upon settlement of</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460" w:type="dxa"/>
            <w:vAlign w:val="bottom"/>
          </w:tcPr>
          <w:p>
            <w:pPr>
              <w:ind w:left="140"/>
              <w:spacing w:after="0"/>
              <w:rPr>
                <w:sz w:val="20"/>
                <w:szCs w:val="20"/>
                <w:color w:val="auto"/>
              </w:rPr>
            </w:pPr>
            <w:r>
              <w:rPr>
                <w:rFonts w:ascii="Arial" w:cs="Arial" w:eastAsia="Arial" w:hAnsi="Arial"/>
                <w:sz w:val="11"/>
                <w:szCs w:val="11"/>
                <w:color w:val="auto"/>
              </w:rPr>
              <w:t>restricted stock units (RSUs)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early exercise liability</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55"/>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2,889</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2,889</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July 31, 2024</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69,914,359</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227,198</w:t>
            </w:r>
          </w:p>
        </w:tc>
        <w:tc>
          <w:tcPr>
            <w:tcW w:w="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39,045,538</w:t>
            </w: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119,611</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(162,073)</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(42,458)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46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0"/>
                <w:szCs w:val="10"/>
                <w:b w:val="1"/>
                <w:bCs w:val="1"/>
                <w:color w:val="auto"/>
              </w:rPr>
              <w:t>Redeemable Convertible Preferred Stock</w:t>
            </w:r>
          </w:p>
        </w:tc>
        <w:tc>
          <w:tcPr>
            <w:tcW w:w="40" w:type="dxa"/>
            <w:vAlign w:val="bottom"/>
          </w:tcPr>
          <w:p>
            <w:pPr>
              <w:spacing w:after="0"/>
              <w:rPr>
                <w:sz w:val="24"/>
                <w:szCs w:val="24"/>
                <w:color w:val="auto"/>
              </w:rPr>
            </w:pPr>
          </w:p>
        </w:tc>
        <w:tc>
          <w:tcPr>
            <w:tcW w:w="19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Additional Paid-in</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Total Stockholders’</w:t>
            </w:r>
          </w:p>
        </w:tc>
        <w:tc>
          <w:tcPr>
            <w:tcW w:w="0" w:type="dxa"/>
            <w:vAlign w:val="bottom"/>
          </w:tcPr>
          <w:p>
            <w:pPr>
              <w:spacing w:after="0"/>
              <w:rPr>
                <w:sz w:val="1"/>
                <w:szCs w:val="1"/>
                <w:color w:val="auto"/>
              </w:rPr>
            </w:pPr>
          </w:p>
        </w:tc>
      </w:tr>
      <w:tr>
        <w:trPr>
          <w:trHeight w:val="141"/>
        </w:trPr>
        <w:tc>
          <w:tcPr>
            <w:tcW w:w="246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800" w:type="dxa"/>
            <w:vAlign w:val="bottom"/>
          </w:tcPr>
          <w:p>
            <w:pPr>
              <w:jc w:val="right"/>
              <w:ind w:right="26"/>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9"/>
              </w:rPr>
              <w:t>Treasury Stock</w:t>
            </w:r>
          </w:p>
        </w:tc>
        <w:tc>
          <w:tcPr>
            <w:tcW w:w="8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110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Accumulated Deficit</w:t>
            </w:r>
          </w:p>
        </w:tc>
        <w:tc>
          <w:tcPr>
            <w:tcW w:w="220" w:type="dxa"/>
            <w:vAlign w:val="bottom"/>
          </w:tcPr>
          <w:p>
            <w:pPr>
              <w:spacing w:after="0"/>
              <w:rPr>
                <w:sz w:val="12"/>
                <w:szCs w:val="12"/>
                <w:color w:val="auto"/>
              </w:rPr>
            </w:pPr>
          </w:p>
        </w:tc>
        <w:tc>
          <w:tcPr>
            <w:tcW w:w="820" w:type="dxa"/>
            <w:vAlign w:val="bottom"/>
          </w:tcPr>
          <w:p>
            <w:pPr>
              <w:jc w:val="center"/>
              <w:ind w:right="145"/>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51"/>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April 30, 2025</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69,852,421</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227,198</w:t>
            </w:r>
          </w:p>
        </w:tc>
        <w:tc>
          <w:tcPr>
            <w:tcW w:w="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40,351,655</w:t>
            </w:r>
          </w:p>
        </w:tc>
        <w:tc>
          <w:tcPr>
            <w:tcW w:w="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(12,806)</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130,110</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(73,988)</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43,320</w:t>
            </w:r>
          </w:p>
        </w:tc>
        <w:tc>
          <w:tcPr>
            <w:tcW w:w="0" w:type="dxa"/>
            <w:vAlign w:val="bottom"/>
          </w:tcPr>
          <w:p>
            <w:pPr>
              <w:spacing w:after="0"/>
              <w:rPr>
                <w:sz w:val="1"/>
                <w:szCs w:val="1"/>
                <w:color w:val="auto"/>
              </w:rPr>
            </w:pPr>
          </w:p>
        </w:tc>
      </w:tr>
      <w:tr>
        <w:trPr>
          <w:trHeight w:val="155"/>
        </w:trPr>
        <w:tc>
          <w:tcPr>
            <w:tcW w:w="24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34,741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34,741</w:t>
            </w:r>
          </w:p>
        </w:tc>
        <w:tc>
          <w:tcPr>
            <w:tcW w:w="0" w:type="dxa"/>
            <w:vAlign w:val="bottom"/>
          </w:tcPr>
          <w:p>
            <w:pPr>
              <w:spacing w:after="0"/>
              <w:rPr>
                <w:sz w:val="1"/>
                <w:szCs w:val="1"/>
                <w:color w:val="auto"/>
              </w:rPr>
            </w:pPr>
          </w:p>
        </w:tc>
      </w:tr>
      <w:tr>
        <w:trPr>
          <w:trHeight w:val="123"/>
        </w:trPr>
        <w:tc>
          <w:tcPr>
            <w:tcW w:w="246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920" w:type="dxa"/>
            <w:vAlign w:val="bottom"/>
            <w:tcBorders>
              <w:right w:val="single" w:sz="8" w:color="auto"/>
            </w:tcBorders>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1,995,111</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4,752</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43"/>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Arial" w:cs="Arial" w:eastAsia="Arial" w:hAnsi="Arial"/>
                <w:sz w:val="11"/>
                <w:szCs w:val="11"/>
                <w:color w:val="auto"/>
              </w:rPr>
              <w:t>Issuance of common stock upon settlement of</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460" w:type="dxa"/>
            <w:vAlign w:val="bottom"/>
          </w:tcPr>
          <w:p>
            <w:pPr>
              <w:ind w:left="140"/>
              <w:spacing w:after="0"/>
              <w:rPr>
                <w:sz w:val="20"/>
                <w:szCs w:val="20"/>
                <w:color w:val="auto"/>
              </w:rPr>
            </w:pPr>
            <w:r>
              <w:rPr>
                <w:rFonts w:ascii="Arial" w:cs="Arial" w:eastAsia="Arial" w:hAnsi="Arial"/>
                <w:sz w:val="11"/>
                <w:szCs w:val="11"/>
                <w:color w:val="auto"/>
              </w:rPr>
              <w:t>RSUs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(3,100)</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5"/>
        </w:trPr>
        <w:tc>
          <w:tcPr>
            <w:tcW w:w="24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1,571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1,571</w:t>
            </w:r>
          </w:p>
        </w:tc>
        <w:tc>
          <w:tcPr>
            <w:tcW w:w="0" w:type="dxa"/>
            <w:vAlign w:val="bottom"/>
          </w:tcPr>
          <w:p>
            <w:pPr>
              <w:spacing w:after="0"/>
              <w:rPr>
                <w:sz w:val="1"/>
                <w:szCs w:val="1"/>
                <w:color w:val="auto"/>
              </w:rPr>
            </w:pPr>
          </w:p>
        </w:tc>
      </w:tr>
      <w:tr>
        <w:trPr>
          <w:trHeight w:val="176"/>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July 31, 2025</w:t>
            </w:r>
          </w:p>
        </w:tc>
        <w:tc>
          <w:tcPr>
            <w:tcW w:w="10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69,852,421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227,198</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42,344,666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(12,831)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136,433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(39,247)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84,359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280"/>
          </w:cols>
          <w:pgMar w:left="300" w:top="209" w:right="319" w:bottom="1440" w:gutter="0" w:footer="0" w:header="0"/>
        </w:sectPr>
      </w:pPr>
    </w:p>
    <w:bookmarkStart w:id="308" w:name="page309"/>
    <w:bookmarkEnd w:id="308"/>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share amounts)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460" w:type="dxa"/>
            <w:vAlign w:val="bottom"/>
          </w:tcPr>
          <w:p>
            <w:pPr>
              <w:spacing w:after="0"/>
              <w:rPr>
                <w:sz w:val="11"/>
                <w:szCs w:val="11"/>
                <w:color w:val="auto"/>
              </w:rPr>
            </w:pPr>
          </w:p>
        </w:tc>
        <w:tc>
          <w:tcPr>
            <w:tcW w:w="222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0"/>
                <w:szCs w:val="10"/>
                <w:b w:val="1"/>
                <w:bCs w:val="1"/>
                <w:color w:val="auto"/>
              </w:rPr>
              <w:t>Redeemable Convertible Preferred Stock</w:t>
            </w:r>
          </w:p>
        </w:tc>
        <w:tc>
          <w:tcPr>
            <w:tcW w:w="40" w:type="dxa"/>
            <w:vAlign w:val="bottom"/>
          </w:tcPr>
          <w:p>
            <w:pPr>
              <w:spacing w:after="0"/>
              <w:rPr>
                <w:sz w:val="11"/>
                <w:szCs w:val="11"/>
                <w:color w:val="auto"/>
              </w:rPr>
            </w:pPr>
          </w:p>
        </w:tc>
        <w:tc>
          <w:tcPr>
            <w:tcW w:w="19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Additional Paid-in</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Total Stockholders’</w:t>
            </w:r>
          </w:p>
        </w:tc>
        <w:tc>
          <w:tcPr>
            <w:tcW w:w="0" w:type="dxa"/>
            <w:vAlign w:val="bottom"/>
          </w:tcPr>
          <w:p>
            <w:pPr>
              <w:spacing w:after="0"/>
              <w:rPr>
                <w:sz w:val="1"/>
                <w:szCs w:val="1"/>
                <w:color w:val="auto"/>
              </w:rPr>
            </w:pPr>
          </w:p>
        </w:tc>
      </w:tr>
      <w:tr>
        <w:trPr>
          <w:trHeight w:val="141"/>
        </w:trPr>
        <w:tc>
          <w:tcPr>
            <w:tcW w:w="24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25"/>
              <w:spacing w:after="0"/>
              <w:rPr>
                <w:sz w:val="20"/>
                <w:szCs w:val="20"/>
                <w:color w:val="auto"/>
              </w:rPr>
            </w:pPr>
            <w:r>
              <w:rPr>
                <w:rFonts w:ascii="Arial" w:cs="Arial" w:eastAsia="Arial" w:hAnsi="Arial"/>
                <w:sz w:val="10"/>
                <w:szCs w:val="10"/>
                <w:b w:val="1"/>
                <w:bCs w:val="1"/>
                <w:color w:val="auto"/>
                <w:w w:val="99"/>
              </w:rPr>
              <w:t>Treasury Stock</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95"/>
              </w:rPr>
              <w:t>Capital</w:t>
            </w:r>
          </w:p>
        </w:tc>
        <w:tc>
          <w:tcPr>
            <w:tcW w:w="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Accumulated Deficit</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98"/>
              </w:rPr>
              <w:t>Deficit</w:t>
            </w:r>
          </w:p>
        </w:tc>
        <w:tc>
          <w:tcPr>
            <w:tcW w:w="0" w:type="dxa"/>
            <w:vAlign w:val="bottom"/>
          </w:tcPr>
          <w:p>
            <w:pPr>
              <w:spacing w:after="0"/>
              <w:rPr>
                <w:sz w:val="1"/>
                <w:szCs w:val="1"/>
                <w:color w:val="auto"/>
              </w:rPr>
            </w:pPr>
          </w:p>
        </w:tc>
      </w:tr>
      <w:tr>
        <w:trPr>
          <w:trHeight w:val="15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January 31, 2024</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69,914,359</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20" w:type="dxa"/>
            <w:vAlign w:val="bottom"/>
            <w:tcBorders>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227,198</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38,960,555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113,523</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(294,382)</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(180,855)</w:t>
            </w:r>
          </w:p>
        </w:tc>
        <w:tc>
          <w:tcPr>
            <w:tcW w:w="0" w:type="dxa"/>
            <w:vAlign w:val="bottom"/>
          </w:tcPr>
          <w:p>
            <w:pPr>
              <w:spacing w:after="0"/>
              <w:rPr>
                <w:sz w:val="1"/>
                <w:szCs w:val="1"/>
                <w:color w:val="auto"/>
              </w:rPr>
            </w:pPr>
          </w:p>
        </w:tc>
      </w:tr>
      <w:tr>
        <w:trPr>
          <w:trHeight w:val="155"/>
        </w:trPr>
        <w:tc>
          <w:tcPr>
            <w:tcW w:w="24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132,309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132,309</w:t>
            </w:r>
          </w:p>
        </w:tc>
        <w:tc>
          <w:tcPr>
            <w:tcW w:w="0" w:type="dxa"/>
            <w:vAlign w:val="bottom"/>
          </w:tcPr>
          <w:p>
            <w:pPr>
              <w:spacing w:after="0"/>
              <w:rPr>
                <w:sz w:val="1"/>
                <w:szCs w:val="1"/>
                <w:color w:val="auto"/>
              </w:rPr>
            </w:pPr>
          </w:p>
        </w:tc>
      </w:tr>
      <w:tr>
        <w:trPr>
          <w:trHeight w:val="123"/>
        </w:trPr>
        <w:tc>
          <w:tcPr>
            <w:tcW w:w="246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920" w:type="dxa"/>
            <w:vAlign w:val="bottom"/>
            <w:tcBorders>
              <w:right w:val="single" w:sz="8" w:color="auto"/>
            </w:tcBorders>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82,983</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134</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0" w:type="dxa"/>
            <w:vAlign w:val="bottom"/>
          </w:tcPr>
          <w:p>
            <w:pPr>
              <w:spacing w:after="0"/>
              <w:rPr>
                <w:sz w:val="1"/>
                <w:szCs w:val="1"/>
                <w:color w:val="auto"/>
              </w:rPr>
            </w:pPr>
          </w:p>
        </w:tc>
      </w:tr>
      <w:tr>
        <w:trPr>
          <w:trHeight w:val="143"/>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Arial" w:cs="Arial" w:eastAsia="Arial" w:hAnsi="Arial"/>
                <w:sz w:val="11"/>
                <w:szCs w:val="11"/>
                <w:color w:val="auto"/>
              </w:rPr>
              <w:t>Issuance of common stock upon settlement of</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460" w:type="dxa"/>
            <w:vAlign w:val="bottom"/>
          </w:tcPr>
          <w:p>
            <w:pPr>
              <w:ind w:left="140"/>
              <w:spacing w:after="0"/>
              <w:rPr>
                <w:sz w:val="20"/>
                <w:szCs w:val="20"/>
                <w:color w:val="auto"/>
              </w:rPr>
            </w:pPr>
            <w:r>
              <w:rPr>
                <w:rFonts w:ascii="Arial" w:cs="Arial" w:eastAsia="Arial" w:hAnsi="Arial"/>
                <w:sz w:val="11"/>
                <w:szCs w:val="11"/>
                <w:color w:val="auto"/>
              </w:rPr>
              <w:t>RSUs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early exercise liability</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105</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55"/>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5,849</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5,849</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July 31, 2024</w:t>
            </w: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69,914,359</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227,198</w:t>
            </w:r>
          </w:p>
        </w:tc>
        <w:tc>
          <w:tcPr>
            <w:tcW w:w="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39,045,538</w:t>
            </w: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119,611</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(162,073)</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(42,458)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46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0"/>
                <w:szCs w:val="10"/>
                <w:b w:val="1"/>
                <w:bCs w:val="1"/>
                <w:color w:val="auto"/>
              </w:rPr>
              <w:t>Redeemable Convertible Preferred Stock</w:t>
            </w:r>
          </w:p>
        </w:tc>
        <w:tc>
          <w:tcPr>
            <w:tcW w:w="40" w:type="dxa"/>
            <w:vAlign w:val="bottom"/>
          </w:tcPr>
          <w:p>
            <w:pPr>
              <w:spacing w:after="0"/>
              <w:rPr>
                <w:sz w:val="24"/>
                <w:szCs w:val="24"/>
                <w:color w:val="auto"/>
              </w:rPr>
            </w:pPr>
          </w:p>
        </w:tc>
        <w:tc>
          <w:tcPr>
            <w:tcW w:w="19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Additional Paid-in</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Total Stockholders’</w:t>
            </w:r>
          </w:p>
        </w:tc>
        <w:tc>
          <w:tcPr>
            <w:tcW w:w="0" w:type="dxa"/>
            <w:vAlign w:val="bottom"/>
          </w:tcPr>
          <w:p>
            <w:pPr>
              <w:spacing w:after="0"/>
              <w:rPr>
                <w:sz w:val="1"/>
                <w:szCs w:val="1"/>
                <w:color w:val="auto"/>
              </w:rPr>
            </w:pPr>
          </w:p>
        </w:tc>
      </w:tr>
      <w:tr>
        <w:trPr>
          <w:trHeight w:val="141"/>
        </w:trPr>
        <w:tc>
          <w:tcPr>
            <w:tcW w:w="246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800" w:type="dxa"/>
            <w:vAlign w:val="bottom"/>
          </w:tcPr>
          <w:p>
            <w:pPr>
              <w:jc w:val="right"/>
              <w:ind w:right="26"/>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9"/>
              </w:rPr>
              <w:t>Treasury Stock</w:t>
            </w:r>
          </w:p>
        </w:tc>
        <w:tc>
          <w:tcPr>
            <w:tcW w:w="8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110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Accumulated Deficit</w:t>
            </w:r>
          </w:p>
        </w:tc>
        <w:tc>
          <w:tcPr>
            <w:tcW w:w="220" w:type="dxa"/>
            <w:vAlign w:val="bottom"/>
          </w:tcPr>
          <w:p>
            <w:pPr>
              <w:spacing w:after="0"/>
              <w:rPr>
                <w:sz w:val="12"/>
                <w:szCs w:val="12"/>
                <w:color w:val="auto"/>
              </w:rPr>
            </w:pPr>
          </w:p>
        </w:tc>
        <w:tc>
          <w:tcPr>
            <w:tcW w:w="820" w:type="dxa"/>
            <w:vAlign w:val="bottom"/>
          </w:tcPr>
          <w:p>
            <w:pPr>
              <w:jc w:val="center"/>
              <w:ind w:right="145"/>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51"/>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January 31, 2025</w:t>
            </w:r>
          </w:p>
        </w:tc>
        <w:tc>
          <w:tcPr>
            <w:tcW w:w="1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69,914,359</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227,198</w:t>
            </w:r>
          </w:p>
        </w:tc>
        <w:tc>
          <w:tcPr>
            <w:tcW w:w="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40,110,106</w:t>
            </w:r>
          </w:p>
        </w:tc>
        <w:tc>
          <w:tcPr>
            <w:tcW w:w="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(12,593)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127,862</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(99,935)</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15,338</w:t>
            </w:r>
          </w:p>
        </w:tc>
        <w:tc>
          <w:tcPr>
            <w:tcW w:w="0" w:type="dxa"/>
            <w:vAlign w:val="bottom"/>
          </w:tcPr>
          <w:p>
            <w:pPr>
              <w:spacing w:after="0"/>
              <w:rPr>
                <w:sz w:val="1"/>
                <w:szCs w:val="1"/>
                <w:color w:val="auto"/>
              </w:rPr>
            </w:pPr>
          </w:p>
        </w:tc>
      </w:tr>
      <w:tr>
        <w:trPr>
          <w:trHeight w:val="155"/>
        </w:trPr>
        <w:tc>
          <w:tcPr>
            <w:tcW w:w="24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60,688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60,688</w:t>
            </w:r>
          </w:p>
        </w:tc>
        <w:tc>
          <w:tcPr>
            <w:tcW w:w="0" w:type="dxa"/>
            <w:vAlign w:val="bottom"/>
          </w:tcPr>
          <w:p>
            <w:pPr>
              <w:spacing w:after="0"/>
              <w:rPr>
                <w:sz w:val="1"/>
                <w:szCs w:val="1"/>
                <w:color w:val="auto"/>
              </w:rPr>
            </w:pPr>
          </w:p>
        </w:tc>
      </w:tr>
      <w:tr>
        <w:trPr>
          <w:trHeight w:val="123"/>
        </w:trPr>
        <w:tc>
          <w:tcPr>
            <w:tcW w:w="246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920" w:type="dxa"/>
            <w:vAlign w:val="bottom"/>
            <w:tcBorders>
              <w:right w:val="single" w:sz="8" w:color="auto"/>
            </w:tcBorders>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2,196,798</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5,121</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5,121</w:t>
            </w:r>
          </w:p>
        </w:tc>
        <w:tc>
          <w:tcPr>
            <w:tcW w:w="0" w:type="dxa"/>
            <w:vAlign w:val="bottom"/>
          </w:tcPr>
          <w:p>
            <w:pPr>
              <w:spacing w:after="0"/>
              <w:rPr>
                <w:sz w:val="1"/>
                <w:szCs w:val="1"/>
                <w:color w:val="auto"/>
              </w:rPr>
            </w:pPr>
          </w:p>
        </w:tc>
      </w:tr>
      <w:tr>
        <w:trPr>
          <w:trHeight w:val="143"/>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Arial" w:cs="Arial" w:eastAsia="Arial" w:hAnsi="Arial"/>
                <w:sz w:val="11"/>
                <w:szCs w:val="11"/>
                <w:color w:val="auto"/>
              </w:rPr>
              <w:t>Issuance of common stock upon settlement of</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460" w:type="dxa"/>
            <w:vAlign w:val="bottom"/>
          </w:tcPr>
          <w:p>
            <w:pPr>
              <w:ind w:left="140"/>
              <w:spacing w:after="0"/>
              <w:rPr>
                <w:sz w:val="20"/>
                <w:szCs w:val="20"/>
                <w:color w:val="auto"/>
              </w:rPr>
            </w:pPr>
            <w:r>
              <w:rPr>
                <w:rFonts w:ascii="Arial" w:cs="Arial" w:eastAsia="Arial" w:hAnsi="Arial"/>
                <w:sz w:val="11"/>
                <w:szCs w:val="11"/>
                <w:color w:val="auto"/>
              </w:rPr>
              <w:t>RSUs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(26,176)</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Arial" w:cs="Arial" w:eastAsia="Arial" w:hAnsi="Arial"/>
                <w:sz w:val="11"/>
                <w:szCs w:val="11"/>
                <w:color w:val="auto"/>
              </w:rPr>
              <w:t>Conversion of redeemable convertible preferred</w:t>
            </w: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(61,938)</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61,938</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460" w:type="dxa"/>
            <w:vAlign w:val="bottom"/>
          </w:tcPr>
          <w:p>
            <w:pPr>
              <w:ind w:left="140"/>
              <w:spacing w:after="0"/>
              <w:rPr>
                <w:sz w:val="20"/>
                <w:szCs w:val="20"/>
                <w:color w:val="auto"/>
              </w:rPr>
            </w:pPr>
            <w:r>
              <w:rPr>
                <w:rFonts w:ascii="Arial" w:cs="Arial" w:eastAsia="Arial" w:hAnsi="Arial"/>
                <w:sz w:val="11"/>
                <w:szCs w:val="11"/>
                <w:color w:val="auto"/>
              </w:rPr>
              <w:t>stock</w:t>
            </w: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3,450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3,450</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Arial" w:cs="Arial" w:eastAsia="Arial" w:hAnsi="Arial"/>
                <w:sz w:val="11"/>
                <w:szCs w:val="11"/>
                <w:b w:val="1"/>
                <w:bCs w:val="1"/>
                <w:color w:val="auto"/>
              </w:rPr>
              <w:t>Balances as of July 31, 2025</w:t>
            </w:r>
          </w:p>
        </w:tc>
        <w:tc>
          <w:tcPr>
            <w:tcW w:w="10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69,852,421</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1"/>
                <w:szCs w:val="11"/>
                <w:color w:val="auto"/>
              </w:rPr>
              <w:t>227,198</w:t>
            </w:r>
          </w:p>
        </w:tc>
        <w:tc>
          <w:tcPr>
            <w:tcW w:w="4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42,344,666</w:t>
            </w:r>
          </w:p>
        </w:tc>
        <w:tc>
          <w:tcPr>
            <w:tcW w:w="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(12,831)</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136,433</w:t>
            </w:r>
          </w:p>
        </w:tc>
        <w:tc>
          <w:tcPr>
            <w:tcW w:w="6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(39,247)</w:t>
            </w: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84,359</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280"/>
          </w:cols>
          <w:pgMar w:left="300" w:top="209" w:right="319" w:bottom="1440" w:gutter="0" w:footer="0" w:header="0"/>
        </w:sectPr>
      </w:pPr>
    </w:p>
    <w:bookmarkStart w:id="309" w:name="page310"/>
    <w:bookmarkEnd w:id="309"/>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1"/>
                <w:szCs w:val="11"/>
                <w:b w:val="1"/>
                <w:bCs w:val="1"/>
                <w:color w:val="auto"/>
              </w:rPr>
              <w:t>Six Months Ended July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Operating activities</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ind w:right="797"/>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132,309</w:t>
            </w:r>
          </w:p>
        </w:tc>
        <w:tc>
          <w:tcPr>
            <w:tcW w:w="80" w:type="dxa"/>
            <w:vAlign w:val="bottom"/>
          </w:tcPr>
          <w:p>
            <w:pPr>
              <w:spacing w:after="0"/>
              <w:rPr>
                <w:sz w:val="15"/>
                <w:szCs w:val="15"/>
                <w:color w:val="auto"/>
              </w:rPr>
            </w:pPr>
          </w:p>
        </w:tc>
        <w:tc>
          <w:tcPr>
            <w:tcW w:w="960" w:type="dxa"/>
            <w:vAlign w:val="bottom"/>
          </w:tcPr>
          <w:p>
            <w:pPr>
              <w:jc w:val="right"/>
              <w:ind w:right="815"/>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60,688</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Depreciation and amortization of property, software, and equipment, net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lease expense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Cash interest paid on convertible note</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interest expense on related-party long-term debt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(59,540)</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9,727</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Impairment of internally developed software</w:t>
            </w:r>
          </w:p>
        </w:tc>
        <w:tc>
          <w:tcPr>
            <w:tcW w:w="9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convertible note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Change in fair value of warrant liabilities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simple agreement for future equity</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from clients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(39,261)</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(5,563)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and noncurrent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(11,082)</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2,849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9,033</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Due to clients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3,109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Payable to clearing broker</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39,659</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Lease liabilities</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68,077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77,405</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software, and equipment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Capitalized internally developed software</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convertible note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Proceeds from exercise of stock options, including early exercises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9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(28,988)</w:t>
            </w: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4,883</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cash segregated and on deposit for regulatory purposes, and restricted cash</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81,656</w:t>
            </w:r>
          </w:p>
        </w:tc>
        <w:tc>
          <w:tcPr>
            <w:tcW w:w="0" w:type="dxa"/>
            <w:vAlign w:val="bottom"/>
          </w:tcPr>
          <w:p>
            <w:pPr>
              <w:spacing w:after="0"/>
              <w:rPr>
                <w:sz w:val="1"/>
                <w:szCs w:val="1"/>
                <w:color w:val="auto"/>
              </w:rPr>
            </w:pPr>
          </w:p>
        </w:tc>
      </w:tr>
      <w:tr>
        <w:trPr>
          <w:trHeight w:val="143"/>
        </w:trPr>
        <w:tc>
          <w:tcPr>
            <w:tcW w:w="8060" w:type="dxa"/>
            <w:vAlign w:val="bottom"/>
          </w:tcPr>
          <w:p>
            <w:pPr>
              <w:ind w:left="20"/>
              <w:spacing w:after="0" w:line="143" w:lineRule="exact"/>
              <w:rPr>
                <w:sz w:val="20"/>
                <w:szCs w:val="20"/>
                <w:color w:val="auto"/>
              </w:rPr>
            </w:pPr>
            <w:r>
              <w:rPr>
                <w:rFonts w:ascii="Arial" w:cs="Arial" w:eastAsia="Arial" w:hAnsi="Arial"/>
                <w:sz w:val="14"/>
                <w:szCs w:val="14"/>
                <w:color w:val="auto"/>
              </w:rPr>
              <w:t>Cash and cash equivalents, cash segregated and on deposit for regulatory purposes, and restricted cash at the beginning of the</w:t>
            </w:r>
          </w:p>
        </w:tc>
        <w:tc>
          <w:tcPr>
            <w:tcW w:w="9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95,792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154,553</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period</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cash segregated and on deposit for regulatory purposes, and restricted cash at the end of the period</w:t>
            </w:r>
          </w:p>
        </w:tc>
        <w:tc>
          <w:tcPr>
            <w:tcW w:w="960" w:type="dxa"/>
            <w:vAlign w:val="bottom"/>
            <w:shd w:val="clear" w:color="auto" w:fill="CCEEFF"/>
          </w:tcPr>
          <w:p>
            <w:pPr>
              <w:jc w:val="right"/>
              <w:ind w:right="797"/>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131,071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5"/>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236,209</w:t>
            </w:r>
          </w:p>
        </w:tc>
        <w:tc>
          <w:tcPr>
            <w:tcW w:w="0" w:type="dxa"/>
            <w:vAlign w:val="bottom"/>
          </w:tcPr>
          <w:p>
            <w:pPr>
              <w:spacing w:after="0"/>
              <w:rPr>
                <w:sz w:val="1"/>
                <w:szCs w:val="1"/>
                <w:color w:val="auto"/>
              </w:rPr>
            </w:pPr>
          </w:p>
        </w:tc>
      </w:tr>
      <w:tr>
        <w:trPr>
          <w:trHeight w:val="1085"/>
        </w:trPr>
        <w:tc>
          <w:tcPr>
            <w:tcW w:w="8060" w:type="dxa"/>
            <w:vAlign w:val="bottom"/>
          </w:tcPr>
          <w:p>
            <w:pPr>
              <w:ind w:left="5500"/>
              <w:spacing w:after="0"/>
              <w:rPr>
                <w:sz w:val="20"/>
                <w:szCs w:val="20"/>
                <w:color w:val="auto"/>
              </w:rPr>
            </w:pPr>
            <w:r>
              <w:rPr>
                <w:rFonts w:ascii="Arial" w:cs="Arial" w:eastAsia="Arial" w:hAnsi="Arial"/>
                <w:sz w:val="14"/>
                <w:szCs w:val="14"/>
                <w:color w:val="auto"/>
              </w:rPr>
              <w:t>F-39</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08" w:right="319" w:bottom="1440" w:gutter="0" w:footer="0" w:header="0"/>
        </w:sectPr>
      </w:pPr>
    </w:p>
    <w:bookmarkStart w:id="310" w:name="page311"/>
    <w:bookmarkEnd w:id="310"/>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56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2,160</w:t>
            </w:r>
          </w:p>
        </w:tc>
        <w:tc>
          <w:tcPr>
            <w:tcW w:w="80" w:type="dxa"/>
            <w:vAlign w:val="bottom"/>
          </w:tcPr>
          <w:p>
            <w:pPr>
              <w:spacing w:after="0"/>
              <w:rPr>
                <w:sz w:val="15"/>
                <w:szCs w:val="15"/>
                <w:color w:val="auto"/>
              </w:rPr>
            </w:pPr>
          </w:p>
        </w:tc>
        <w:tc>
          <w:tcPr>
            <w:tcW w:w="540" w:type="dxa"/>
            <w:vAlign w:val="bottom"/>
          </w:tcPr>
          <w:p>
            <w:pPr>
              <w:jc w:val="right"/>
              <w:ind w:right="3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2,828</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3,659</w:t>
            </w:r>
          </w:p>
        </w:tc>
      </w:tr>
      <w:tr>
        <w:trPr>
          <w:trHeight w:val="210"/>
        </w:trPr>
        <w:tc>
          <w:tcPr>
            <w:tcW w:w="8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Stock-based compensation included in capitalized internally developed software</w:t>
            </w:r>
          </w:p>
        </w:tc>
        <w:tc>
          <w:tcPr>
            <w:tcW w:w="56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1,108</w:t>
            </w:r>
          </w:p>
        </w:tc>
        <w:tc>
          <w:tcPr>
            <w:tcW w:w="80" w:type="dxa"/>
            <w:vAlign w:val="bottom"/>
          </w:tcPr>
          <w:p>
            <w:pPr>
              <w:spacing w:after="0"/>
              <w:rPr>
                <w:sz w:val="15"/>
                <w:szCs w:val="15"/>
                <w:color w:val="auto"/>
              </w:rPr>
            </w:pPr>
          </w:p>
        </w:tc>
        <w:tc>
          <w:tcPr>
            <w:tcW w:w="540" w:type="dxa"/>
            <w:vAlign w:val="bottom"/>
          </w:tcPr>
          <w:p>
            <w:pPr>
              <w:jc w:val="right"/>
              <w:ind w:right="3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recognition of new lease</w:t>
            </w:r>
          </w:p>
        </w:tc>
        <w:tc>
          <w:tcPr>
            <w:tcW w:w="5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210"/>
        </w:trPr>
        <w:tc>
          <w:tcPr>
            <w:tcW w:w="8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Change in early exercise of options liability</w:t>
            </w:r>
          </w:p>
        </w:tc>
        <w:tc>
          <w:tcPr>
            <w:tcW w:w="56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540" w:type="dxa"/>
            <w:vAlign w:val="bottom"/>
          </w:tcPr>
          <w:p>
            <w:pPr>
              <w:jc w:val="right"/>
              <w:ind w:right="3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8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37"/>
        </w:trPr>
        <w:tc>
          <w:tcPr>
            <w:tcW w:w="80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The following presents cash and cash equivalents, cash segregated and on deposit for regulatory purposes, and</w:t>
            </w: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89"/>
        </w:trPr>
        <w:tc>
          <w:tcPr>
            <w:tcW w:w="8060" w:type="dxa"/>
            <w:vAlign w:val="bottom"/>
          </w:tcPr>
          <w:p>
            <w:pPr>
              <w:ind w:left="140"/>
              <w:spacing w:after="0"/>
              <w:rPr>
                <w:sz w:val="20"/>
                <w:szCs w:val="20"/>
                <w:color w:val="auto"/>
              </w:rPr>
            </w:pPr>
            <w:r>
              <w:rPr>
                <w:rFonts w:ascii="Arial" w:cs="Arial" w:eastAsia="Arial" w:hAnsi="Arial"/>
                <w:sz w:val="14"/>
                <w:szCs w:val="14"/>
                <w:b w:val="1"/>
                <w:bCs w:val="1"/>
                <w:color w:val="auto"/>
              </w:rPr>
              <w:t>restricted cash</w:t>
            </w: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121,436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222,749</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Cash segregated and on deposit for regulatory purposes</w:t>
            </w: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7,025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10,850</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in other noncurrent assets</w:t>
            </w:r>
          </w:p>
        </w:tc>
        <w:tc>
          <w:tcPr>
            <w:tcW w:w="5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Total cash and cash equivalents, cash segregated and on deposit for regulatory purposes, and restricted cash</w:t>
            </w:r>
          </w:p>
        </w:tc>
        <w:tc>
          <w:tcPr>
            <w:tcW w:w="5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131,071</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236,209</w:t>
            </w:r>
          </w:p>
        </w:tc>
      </w:tr>
      <w:tr>
        <w:trPr>
          <w:trHeight w:val="20"/>
        </w:trPr>
        <w:tc>
          <w:tcPr>
            <w:tcW w:w="8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280"/>
          </w:cols>
          <w:pgMar w:left="300" w:top="209" w:right="319" w:bottom="1440" w:gutter="0" w:footer="0" w:header="0"/>
        </w:sectPr>
      </w:pPr>
    </w:p>
    <w:bookmarkStart w:id="311" w:name="page312"/>
    <w:bookmarkEnd w:id="311"/>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ind w:left="500" w:hanging="496"/>
        <w:spacing w:after="0"/>
        <w:tabs>
          <w:tab w:leader="none" w:pos="500"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Wealthfront Corporation, a Delaware corporation incorporated in January 2007 (together with its consolidated subsidiaries, “Wealthfront” or the “Company”), is a technology company that built a financial solutions platform for digital natives to turn their savings into long-term wealth. The Company’s broad suite of products, including cash management, investing, borrowing and lending, and financial planning solutions, address the diverse financial needs of its clients regardless of the economic environment. Clients have ownership of the securities they transact on the Company’s platform, including those that collateralize margin loans, and, as a result, such securities are not presented on the consolidated balance sheets, other than client-held fractional shares which are presented gross.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significant, wholly owned subsidiaries include Wealthfront Advisers LLC, a U.S. Securities and Exchange (“SEC”)-registered investment adviser, and Wealthfront Brokerage LLC, an SEC-registered broker-dealer and a member of the Financial Industry Regulatory Authority.</w:t>
      </w:r>
    </w:p>
    <w:p>
      <w:pPr>
        <w:spacing w:after="0" w:line="79" w:lineRule="exact"/>
        <w:rPr>
          <w:sz w:val="20"/>
          <w:szCs w:val="20"/>
          <w:color w:val="auto"/>
        </w:rPr>
      </w:pPr>
    </w:p>
    <w:p>
      <w:pPr>
        <w:ind w:right="7840" w:firstLine="4"/>
        <w:spacing w:after="0" w:line="438" w:lineRule="auto"/>
        <w:tabs>
          <w:tab w:leader="none" w:pos="495" w:val="left"/>
        </w:tabs>
        <w:numPr>
          <w:ilvl w:val="0"/>
          <w:numId w:val="156"/>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accompanying condensed consolidated financial statements have been prepared in accordance with U.S. generally accepted accounting principles (“GAAP”) and the applicable rules and regulations of the SEC.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consolidated financial statements for the year ended January 31, 2025. There have been no material changes in the Company’s significant accounting policies as described in the Company’s audited annual consolidated financial statements for the fiscal year ended January 31, 2025. The condensed consolidated financial statements include the accounts of Wealthfront and its wholly owned subsidiaries. All intercompany balances and transactions have been eliminated upon consolidation.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Operating segments are defined as components of an enterprise for which separate financial information is evaluated regularly by the chief operating decision maker (“CODM”) in deciding how to allocate resources and assess performance. The Company’s CODM is its Chief Executive Officer (“CEO”). The Company operates and reports financial information in one operating segment. This is because the CODM considers company-wide key performance metrics and utilizes consolidated net income to allocate resources and determine performance. The Company’s objective in making resource allocation decisions is to optimize the condensed consolidated financial results. The significant segment expenses reviewed by the CODM conform to the presentation of such items in the condensed consolidated statements of operations. The CODM does not review segment assets at a different asset level or category other than the amounts disclosed in the condensed consolidated balance sheets.</w:t>
      </w:r>
    </w:p>
    <w:p>
      <w:pPr>
        <w:spacing w:after="0" w:line="101" w:lineRule="exact"/>
        <w:rPr>
          <w:sz w:val="20"/>
          <w:szCs w:val="20"/>
          <w:color w:val="auto"/>
        </w:rPr>
      </w:pPr>
    </w:p>
    <w:p>
      <w:pPr>
        <w:ind w:right="1480"/>
        <w:spacing w:after="0" w:line="438" w:lineRule="auto"/>
        <w:rPr>
          <w:sz w:val="20"/>
          <w:szCs w:val="20"/>
          <w:color w:val="auto"/>
        </w:rPr>
      </w:pPr>
      <w:r>
        <w:rPr>
          <w:rFonts w:ascii="Arial" w:cs="Arial" w:eastAsia="Arial" w:hAnsi="Arial"/>
          <w:sz w:val="14"/>
          <w:szCs w:val="14"/>
          <w:color w:val="auto"/>
        </w:rPr>
        <w:t xml:space="preserve">All revenue and long-lived assets in these condensed consolidated financial statements relate to contracts with clients located in the United States of America. </w:t>
      </w:r>
      <w:r>
        <w:rPr>
          <w:rFonts w:ascii="Arial" w:cs="Arial" w:eastAsia="Arial" w:hAnsi="Arial"/>
          <w:sz w:val="14"/>
          <w:szCs w:val="14"/>
          <w:b w:val="1"/>
          <w:bCs w:val="1"/>
          <w:color w:val="auto"/>
        </w:rPr>
        <w:t>Use of Estimates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preparation of the condensed consolidated financial statements in conformity with GAAP requires management to make estimates and assumptions that affect the reported amounts in the condensed consolidated financial statements and accompanying notes. The Company bases its estimates on current and past experiences, to the extent historical experience is predictive of future performance and various other assumptions that are believed to be reasonable, under these circumstances. Appropriate adjustments, if any, are made to the estimates prospectively based upon such periodic evaluation. Actual results could differ from these estimates and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280"/>
          </w:cols>
          <w:pgMar w:left="300" w:top="209" w:right="319" w:bottom="1440" w:gutter="0" w:footer="0" w:header="0"/>
        </w:sectPr>
      </w:pPr>
    </w:p>
    <w:bookmarkStart w:id="312" w:name="page313"/>
    <w:bookmarkEnd w:id="312"/>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Estimates, judgments and assumptions in these condensed consolidated financial statements include, but are not limited to: the valuation of allowance for credit losses, warrant liabilities, SAFEs (as defined below), and a convertible note; useful lives assigned to property and equipment; the discount rates used for leases; stock-based compensation, including the determination of the fair value of the Company’s common stock; and the realizability of deferred tax assets, net and uncertain tax positions.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of Credit Risk</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financial instruments that potentially subject the Company to concentrations of credit risk primarily consist of cash, cash equivalents, restricted cash, margin loans to its clients, and the convertible note.</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Although the Company deposits corporate cash with multiple financial institutions, the deposits, at times, may exceed federally insured limits. The Company has not experienced any losses on deposits of cash and cash equivalents. Cash equivalents consist of highly liquid investments that are invested at financial institutions in the United States. Management believes that the institutions are financially stable and, accordingly, minimal credit risk exists.</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engages in trading and brokerage activities on behalf of clients with broker-dealers, banks, and other financial institutions, exposing it to counterparty risk. While equity defaults are typically shared among clearinghouse members, the Company monitors counterparty creditworthiness as needed.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Offering Costs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Deferred offering costs primarily consist of accounting, legal, and other fees directly related to the Company’s proposed initial public offering (“IPO”). Upon consummation of the IPO, the deferred offering costs will be reclassified to stockholders’ equity (deficit) and recorded against the proceeds from the offering. In the event the offering is aborted, deferred offering costs will be expensed. The Company capitalized $0.6 million and $3.6 million of deferred offering costs within other current assets in the condensed consolidated balance sheets as of January 31, 2025 and July 31, 2025.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Adopted</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There were no new accounting pronouncements adopted during the six months ended July 31, 2025 that materially impacted the condensed consolidated financial statements and related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Not Yet Adopted</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2023, the FASB issued ASU No. 2023-09, </w:t>
      </w:r>
      <w:r>
        <w:rPr>
          <w:rFonts w:ascii="Arial" w:cs="Arial" w:eastAsia="Arial" w:hAnsi="Arial"/>
          <w:sz w:val="14"/>
          <w:szCs w:val="14"/>
          <w:i w:val="1"/>
          <w:iCs w:val="1"/>
          <w:color w:val="auto"/>
        </w:rPr>
        <w:t>Income taxes (Topic 740): Improvements to Income Taxes Disclosures.</w:t>
      </w:r>
      <w:r>
        <w:rPr>
          <w:rFonts w:ascii="Arial" w:cs="Arial" w:eastAsia="Arial" w:hAnsi="Arial"/>
          <w:sz w:val="14"/>
          <w:szCs w:val="14"/>
          <w:color w:val="auto"/>
        </w:rPr>
        <w:t xml:space="preserve"> This guidance requires annual disclosure of specific categories in the rate reconciliation and provides additional information for reconciling items that meet a quantitative threshold. The guidance is effective for fiscal years beginning after December 15, 2025. Early adoption is permitted. The Company plans to adopt the pronouncement on February 1, 2026. The Company will apply the amendments prospectively in the condensed consolidated financial statements.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In November 2024, the FASB issued ASU No. 2024-03, </w:t>
      </w:r>
      <w:r>
        <w:rPr>
          <w:rFonts w:ascii="Arial" w:cs="Arial" w:eastAsia="Arial" w:hAnsi="Arial"/>
          <w:sz w:val="14"/>
          <w:szCs w:val="14"/>
          <w:i w:val="1"/>
          <w:iCs w:val="1"/>
          <w:color w:val="auto"/>
        </w:rPr>
        <w:t>Income Statement Expense Disaggregation Disclosures</w:t>
      </w:r>
      <w:r>
        <w:rPr>
          <w:rFonts w:ascii="Arial" w:cs="Arial" w:eastAsia="Arial" w:hAnsi="Arial"/>
          <w:sz w:val="14"/>
          <w:szCs w:val="14"/>
          <w:color w:val="auto"/>
        </w:rPr>
        <w:t>, which requires additional disclosures about certain amounts included in the expense captions presented on the statement of operations as well as disclosures about selling expenses. In January 2025, the FASB issued ASU No. 2025-01, which provides a delayed implementation timeline to give issuers additional time to prepare for the impacts of adopting ASU No. 2024-03. ASU No. 2024-03 is effective for fiscal years beginning after December 15, 2026, and interim periods within fiscal years beginning after December 15, 2027. Early adoption is permitted. The Company is currently evaluating the impacts of the amendment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280"/>
          </w:cols>
          <w:pgMar w:left="300" w:top="209" w:right="319" w:bottom="1440" w:gutter="0" w:footer="0" w:header="0"/>
        </w:sectPr>
      </w:pPr>
    </w:p>
    <w:bookmarkStart w:id="313" w:name="page314"/>
    <w:bookmarkEnd w:id="313"/>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ind w:left="500" w:hanging="496"/>
        <w:spacing w:after="0"/>
        <w:tabs>
          <w:tab w:leader="none" w:pos="500" w:val="left"/>
        </w:tabs>
        <w:numPr>
          <w:ilvl w:val="0"/>
          <w:numId w:val="157"/>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Fair value is defined as the price that would be received from the sale of an asset or paid to transfer a liability in an orderly transaction between market participants on the measurement date. Assets and liabilities recorded at fair value are measured using a three-tier fair value hierarchy, which prioritizes the inputs used in measuring fair value. These tiers are:</w:t>
      </w:r>
    </w:p>
    <w:p>
      <w:pPr>
        <w:spacing w:after="0" w:line="91" w:lineRule="exact"/>
        <w:rPr>
          <w:sz w:val="20"/>
          <w:szCs w:val="20"/>
          <w:color w:val="auto"/>
        </w:rPr>
      </w:pPr>
    </w:p>
    <w:p>
      <w:pPr>
        <w:ind w:left="500" w:hanging="244"/>
        <w:spacing w:after="0"/>
        <w:tabs>
          <w:tab w:leader="none" w:pos="5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Level 1 – Observable inputs that reflect quoted prices (unadjusted) available in active markets for identical assets or liabilities.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Level 2 – Inputs other than quoted prices in active markets that are either directly or indirectly observable.</w:t>
      </w:r>
    </w:p>
    <w:p>
      <w:pPr>
        <w:spacing w:after="0" w:line="133"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58"/>
        </w:numPr>
        <w:rPr>
          <w:rFonts w:ascii="Arial" w:cs="Arial" w:eastAsia="Arial" w:hAnsi="Arial"/>
          <w:sz w:val="14"/>
          <w:szCs w:val="14"/>
          <w:color w:val="auto"/>
        </w:rPr>
      </w:pPr>
      <w:r>
        <w:rPr>
          <w:rFonts w:ascii="Arial" w:cs="Arial" w:eastAsia="Arial" w:hAnsi="Arial"/>
          <w:sz w:val="14"/>
          <w:szCs w:val="14"/>
          <w:color w:val="auto"/>
        </w:rPr>
        <w:t>Level 3 – Unobservable inputs for which little or no market data exists, therefore requiring the Company to develop its own assumptions that market participants would use in pricing the asset or liability, including assumptions about risk.</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 financial instrument’s level within the fair value hierarchy is based on the lowest level of any input that is significant to the fair value measurement. In addition, the Company considers and uses all valuation methods that are appropriate in estimating the fair value of an asset or liability.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financial instruments consist of cash and cash equivalents, cash segregated and on deposit for regulatory purposes, client-held fractional shares, restricted cash, due from/to clients, proprietary inventory in other current assets, accounts payable, accrued liabilities, payable to clearing broker, fractional shares repurchase obligation, convertible note, SAFEs, and warrant liabilities. Cash equivalents, client-held fractional shares, fractional shares repurchase obligation, proprietary inventory, convertible note, SAFEs, and warrant liabilities are stated at fair value. Cash, cash investments segregated and on deposit for regulatory purposes, restricted cash, due from/to clients, accounts payable, accrued liabilities, and payable to clearing broker are stated at their carrying value, which approximates fair value due to the short time these financial instruments are held to the expected receipt or payment date.</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tables summarize the fair value of financial assets and liabilities and their classification by level of input within the fair value hierarchy as of January 31, 2025 and July 31, 2025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1"/>
                <w:szCs w:val="11"/>
                <w:b w:val="1"/>
                <w:bCs w:val="1"/>
                <w:color w:val="auto"/>
              </w:rPr>
              <w:t>Financial Assets and Liabilities at Fair Value</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Level 2</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January 31, 2025</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Assets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118,708</w:t>
            </w:r>
          </w:p>
        </w:tc>
        <w:tc>
          <w:tcPr>
            <w:tcW w:w="80" w:type="dxa"/>
            <w:vAlign w:val="bottom"/>
          </w:tcPr>
          <w:p>
            <w:pPr>
              <w:spacing w:after="0"/>
              <w:rPr>
                <w:sz w:val="15"/>
                <w:szCs w:val="15"/>
                <w:color w:val="auto"/>
              </w:rPr>
            </w:pPr>
          </w:p>
        </w:tc>
        <w:tc>
          <w:tcPr>
            <w:tcW w:w="980" w:type="dxa"/>
            <w:vAlign w:val="bottom"/>
          </w:tcPr>
          <w:p>
            <w:pPr>
              <w:jc w:val="right"/>
              <w:ind w:right="836"/>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118,708</w:t>
            </w:r>
          </w:p>
        </w:tc>
        <w:tc>
          <w:tcPr>
            <w:tcW w:w="80" w:type="dxa"/>
            <w:vAlign w:val="bottom"/>
          </w:tcPr>
          <w:p>
            <w:pPr>
              <w:spacing w:after="0"/>
              <w:rPr>
                <w:sz w:val="15"/>
                <w:szCs w:val="15"/>
                <w:color w:val="auto"/>
              </w:rPr>
            </w:pP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Certificates of deposit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Client-held fractional shares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Proprietary inventory</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149,667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SAFEs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6,141</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Fractional shares repurchase obligation</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ectPr>
          <w:pgSz w:w="11900" w:h="16838" w:orient="portrait"/>
          <w:cols w:equalWidth="0" w:num="1">
            <w:col w:w="11280"/>
          </w:cols>
          <w:pgMar w:left="300" w:top="209" w:right="319" w:bottom="1440" w:gutter="0" w:footer="0" w:header="0"/>
        </w:sectPr>
      </w:pPr>
    </w:p>
    <w:bookmarkStart w:id="314" w:name="page315"/>
    <w:bookmarkEnd w:id="314"/>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1"/>
                <w:szCs w:val="11"/>
                <w:b w:val="1"/>
                <w:bCs w:val="1"/>
                <w:color w:val="auto"/>
              </w:rPr>
              <w:t>Financial Assets and Liabilities at Fair Value</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Level 2</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July 31, 2025</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Assets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200,880</w:t>
            </w:r>
          </w:p>
        </w:tc>
        <w:tc>
          <w:tcPr>
            <w:tcW w:w="80" w:type="dxa"/>
            <w:vAlign w:val="bottom"/>
          </w:tcPr>
          <w:p>
            <w:pPr>
              <w:spacing w:after="0"/>
              <w:rPr>
                <w:sz w:val="15"/>
                <w:szCs w:val="15"/>
                <w:color w:val="auto"/>
              </w:rPr>
            </w:pPr>
          </w:p>
        </w:tc>
        <w:tc>
          <w:tcPr>
            <w:tcW w:w="980" w:type="dxa"/>
            <w:vAlign w:val="bottom"/>
          </w:tcPr>
          <w:p>
            <w:pPr>
              <w:jc w:val="right"/>
              <w:ind w:right="836"/>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200,880</w:t>
            </w:r>
          </w:p>
        </w:tc>
        <w:tc>
          <w:tcPr>
            <w:tcW w:w="80" w:type="dxa"/>
            <w:vAlign w:val="bottom"/>
          </w:tcPr>
          <w:p>
            <w:pPr>
              <w:spacing w:after="0"/>
              <w:rPr>
                <w:sz w:val="15"/>
                <w:szCs w:val="15"/>
                <w:color w:val="auto"/>
              </w:rPr>
            </w:pP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Certificates of deposit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Client-held fractional shares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121,162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121,162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Proprietary inventory</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383</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325,025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325,025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SAFEs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7,086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7,086</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Fractional shares repurchase obligation</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121,162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121,162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121,162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sets forth a summary of the changes in the fair value of the Company’s Level 3 financial instruments that are measured at fair value on a recurring basis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60" w:type="dxa"/>
            <w:vAlign w:val="bottom"/>
          </w:tcPr>
          <w:p>
            <w:pPr>
              <w:jc w:val="right"/>
              <w:ind w:right="15"/>
              <w:spacing w:after="0"/>
              <w:rPr>
                <w:sz w:val="20"/>
                <w:szCs w:val="20"/>
                <w:color w:val="auto"/>
              </w:rPr>
            </w:pPr>
            <w:r>
              <w:rPr>
                <w:rFonts w:ascii="Arial" w:cs="Arial" w:eastAsia="Arial" w:hAnsi="Arial"/>
                <w:sz w:val="11"/>
                <w:szCs w:val="11"/>
                <w:b w:val="1"/>
                <w:bCs w:val="1"/>
                <w:color w:val="auto"/>
              </w:rPr>
              <w:t>SAFEs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73"/>
              <w:spacing w:after="0"/>
              <w:rPr>
                <w:sz w:val="20"/>
                <w:szCs w:val="20"/>
                <w:color w:val="auto"/>
              </w:rPr>
            </w:pPr>
            <w:r>
              <w:rPr>
                <w:rFonts w:ascii="Arial" w:cs="Arial" w:eastAsia="Arial" w:hAnsi="Arial"/>
                <w:sz w:val="11"/>
                <w:szCs w:val="11"/>
                <w:b w:val="1"/>
                <w:bCs w:val="1"/>
                <w:color w:val="auto"/>
              </w:rPr>
              <w:t>Total</w:t>
            </w: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April 30, 2024</w:t>
            </w: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5,067</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7,987</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181</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506</w:t>
            </w: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2024</w:t>
            </w: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5"/>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60" w:type="dxa"/>
            <w:vAlign w:val="bottom"/>
          </w:tcPr>
          <w:p>
            <w:pPr>
              <w:jc w:val="right"/>
              <w:ind w:right="15"/>
              <w:spacing w:after="0"/>
              <w:rPr>
                <w:sz w:val="20"/>
                <w:szCs w:val="20"/>
                <w:color w:val="auto"/>
              </w:rPr>
            </w:pPr>
            <w:r>
              <w:rPr>
                <w:rFonts w:ascii="Arial" w:cs="Arial" w:eastAsia="Arial" w:hAnsi="Arial"/>
                <w:sz w:val="11"/>
                <w:szCs w:val="11"/>
                <w:b w:val="1"/>
                <w:bCs w:val="1"/>
                <w:color w:val="auto"/>
              </w:rPr>
              <w:t>SAFEs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73"/>
              <w:spacing w:after="0"/>
              <w:rPr>
                <w:sz w:val="20"/>
                <w:szCs w:val="20"/>
                <w:color w:val="auto"/>
              </w:rPr>
            </w:pPr>
            <w:r>
              <w:rPr>
                <w:rFonts w:ascii="Arial" w:cs="Arial" w:eastAsia="Arial" w:hAnsi="Arial"/>
                <w:sz w:val="11"/>
                <w:szCs w:val="11"/>
                <w:b w:val="1"/>
                <w:bCs w:val="1"/>
                <w:color w:val="auto"/>
              </w:rPr>
              <w:t>Total</w:t>
            </w: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April 30, 2025</w:t>
            </w: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1,359</w:t>
            </w: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2025</w:t>
            </w: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5"/>
        </w:trPr>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60" w:type="dxa"/>
            <w:vAlign w:val="bottom"/>
          </w:tcPr>
          <w:p>
            <w:pPr>
              <w:jc w:val="right"/>
              <w:ind w:right="15"/>
              <w:spacing w:after="0"/>
              <w:rPr>
                <w:sz w:val="20"/>
                <w:szCs w:val="20"/>
                <w:color w:val="auto"/>
              </w:rPr>
            </w:pPr>
            <w:r>
              <w:rPr>
                <w:rFonts w:ascii="Arial" w:cs="Arial" w:eastAsia="Arial" w:hAnsi="Arial"/>
                <w:sz w:val="11"/>
                <w:szCs w:val="11"/>
                <w:b w:val="1"/>
                <w:bCs w:val="1"/>
                <w:color w:val="auto"/>
              </w:rPr>
              <w:t>SAFEs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73"/>
              <w:spacing w:after="0"/>
              <w:rPr>
                <w:sz w:val="20"/>
                <w:szCs w:val="20"/>
                <w:color w:val="auto"/>
              </w:rPr>
            </w:pPr>
            <w:r>
              <w:rPr>
                <w:rFonts w:ascii="Arial" w:cs="Arial" w:eastAsia="Arial" w:hAnsi="Arial"/>
                <w:sz w:val="11"/>
                <w:szCs w:val="11"/>
                <w:b w:val="1"/>
                <w:bCs w:val="1"/>
                <w:color w:val="auto"/>
              </w:rPr>
              <w:t>Total</w:t>
            </w: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2024</w:t>
            </w: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46,953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2,832</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54,628</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(16,927)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(16,109)</w:t>
            </w: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interest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Repayment of principal</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(29,122)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(29,122)</w:t>
            </w: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2024</w:t>
            </w: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61"/>
        </w:trPr>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60" w:type="dxa"/>
            <w:vAlign w:val="bottom"/>
          </w:tcPr>
          <w:p>
            <w:pPr>
              <w:jc w:val="right"/>
              <w:ind w:right="15"/>
              <w:spacing w:after="0"/>
              <w:rPr>
                <w:sz w:val="20"/>
                <w:szCs w:val="20"/>
                <w:color w:val="auto"/>
              </w:rPr>
            </w:pPr>
            <w:r>
              <w:rPr>
                <w:rFonts w:ascii="Arial" w:cs="Arial" w:eastAsia="Arial" w:hAnsi="Arial"/>
                <w:sz w:val="11"/>
                <w:szCs w:val="11"/>
                <w:b w:val="1"/>
                <w:bCs w:val="1"/>
                <w:color w:val="auto"/>
              </w:rPr>
              <w:t>SAFEs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573"/>
              <w:spacing w:after="0"/>
              <w:rPr>
                <w:sz w:val="20"/>
                <w:szCs w:val="20"/>
                <w:color w:val="auto"/>
              </w:rPr>
            </w:pPr>
            <w:r>
              <w:rPr>
                <w:rFonts w:ascii="Arial" w:cs="Arial" w:eastAsia="Arial" w:hAnsi="Arial"/>
                <w:sz w:val="11"/>
                <w:szCs w:val="11"/>
                <w:b w:val="1"/>
                <w:bCs w:val="1"/>
                <w:color w:val="auto"/>
              </w:rPr>
              <w:t>Total</w:t>
            </w: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2025</w:t>
            </w: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1,359</w:t>
            </w: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2025</w:t>
            </w: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between Level 1, Level 2, and Level 3 of the fair value hierarchy during the six months ended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280"/>
          </w:cols>
          <w:pgMar w:left="300" w:top="209" w:right="319" w:bottom="1440" w:gutter="0" w:footer="0" w:header="0"/>
        </w:sectPr>
      </w:pPr>
    </w:p>
    <w:bookmarkStart w:id="315" w:name="page316"/>
    <w:bookmarkEnd w:id="315"/>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ind w:right="9460" w:firstLine="4"/>
        <w:spacing w:after="0" w:line="438" w:lineRule="auto"/>
        <w:tabs>
          <w:tab w:leader="none" w:pos="495" w:val="left"/>
        </w:tabs>
        <w:numPr>
          <w:ilvl w:val="0"/>
          <w:numId w:val="159"/>
        </w:numPr>
        <w:rPr>
          <w:rFonts w:ascii="Arial" w:cs="Arial" w:eastAsia="Arial" w:hAnsi="Arial"/>
          <w:sz w:val="14"/>
          <w:szCs w:val="14"/>
          <w:b w:val="1"/>
          <w:bCs w:val="1"/>
          <w:color w:val="auto"/>
        </w:rPr>
      </w:pPr>
      <w:r>
        <w:rPr>
          <w:rFonts w:ascii="Arial" w:cs="Arial" w:eastAsia="Arial" w:hAnsi="Arial"/>
          <w:sz w:val="14"/>
          <w:szCs w:val="14"/>
          <w:b w:val="1"/>
          <w:bCs w:val="1"/>
          <w:color w:val="auto"/>
        </w:rPr>
        <w:t>Revenue Disaggregation of Revenue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principal categories the Company uses to disaggregate revenue reflect the type of service from which the revenue is generated, which is consistent with the presentation in the condensed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revenue streams identified as being generated through contracts with clients are outlined in Note 2. — Summary of Significant Accounting Policies of the audited annual consolidated financial statements for the fiscal year ended January 31, 2025 are all settled in arrears, in accordance with the Company’s contracts with the applicable counterparties. Receivables relate to the Company’s unconditional right to receive payment for its performance completed under the contract. The Company does not have deferred revenue as of January 31, 2025 and July 31, 2025. No other contract assets or liabilities existed as of January 31, 2025 and July 31, 2025.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sets forth the opening and closing balances for accounts receivable from contracts with clients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Cash Management</w:t>
            </w:r>
          </w:p>
        </w:tc>
        <w:tc>
          <w:tcPr>
            <w:tcW w:w="160" w:type="dxa"/>
            <w:vAlign w:val="bottom"/>
          </w:tcPr>
          <w:p>
            <w:pPr>
              <w:spacing w:after="0"/>
              <w:rPr>
                <w:sz w:val="10"/>
                <w:szCs w:val="1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Investment Advisory</w:t>
            </w:r>
          </w:p>
        </w:tc>
        <w:tc>
          <w:tcPr>
            <w:tcW w:w="220" w:type="dxa"/>
            <w:vAlign w:val="bottom"/>
          </w:tcPr>
          <w:p>
            <w:pPr>
              <w:spacing w:after="0"/>
              <w:rPr>
                <w:sz w:val="10"/>
                <w:szCs w:val="10"/>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Other Receivable</w:t>
            </w:r>
          </w:p>
        </w:tc>
        <w:tc>
          <w:tcPr>
            <w:tcW w:w="15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9"/>
              </w:rPr>
              <w:t>Total Accounts Receivable</w:t>
            </w: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Receivable</w:t>
            </w:r>
          </w:p>
        </w:tc>
        <w:tc>
          <w:tcPr>
            <w:tcW w:w="16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Receivable</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Opening Balance, January 31, 2025</w:t>
            </w: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29,127</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Closing Balance, July 31, 2025</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30,945</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5.</w:t>
            </w:r>
          </w:p>
        </w:tc>
        <w:tc>
          <w:tcPr>
            <w:tcW w:w="43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4"/>
                <w:szCs w:val="14"/>
                <w:b w:val="1"/>
                <w:bCs w:val="1"/>
                <w:color w:val="auto"/>
              </w:rPr>
              <w:t>Property, Software, and Equipment,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00" w:type="dxa"/>
            <w:vAlign w:val="bottom"/>
            <w:vMerge w:val="continue"/>
          </w:tcPr>
          <w:p>
            <w:pPr>
              <w:spacing w:after="0"/>
              <w:rPr>
                <w:sz w:val="24"/>
                <w:szCs w:val="24"/>
                <w:color w:val="auto"/>
              </w:rPr>
            </w:pPr>
          </w:p>
        </w:tc>
        <w:tc>
          <w:tcPr>
            <w:tcW w:w="4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060" w:type="dxa"/>
            <w:vAlign w:val="bottom"/>
            <w:gridSpan w:val="8"/>
          </w:tcPr>
          <w:p>
            <w:pPr>
              <w:spacing w:after="0"/>
              <w:rPr>
                <w:sz w:val="20"/>
                <w:szCs w:val="20"/>
                <w:color w:val="auto"/>
              </w:rPr>
            </w:pPr>
            <w:r>
              <w:rPr>
                <w:rFonts w:ascii="Arial" w:cs="Arial" w:eastAsia="Arial" w:hAnsi="Arial"/>
                <w:sz w:val="14"/>
                <w:szCs w:val="14"/>
                <w:color w:val="auto"/>
              </w:rPr>
              <w:t>Property, software, and equipment, net as of January 31, 2025 and July 31, 2025 consists of the following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January 31,</w:t>
            </w:r>
          </w:p>
        </w:tc>
        <w:tc>
          <w:tcPr>
            <w:tcW w:w="340" w:type="dxa"/>
            <w:vAlign w:val="bottom"/>
          </w:tcPr>
          <w:p>
            <w:pPr>
              <w:spacing w:after="0"/>
              <w:rPr>
                <w:sz w:val="24"/>
                <w:szCs w:val="24"/>
                <w:color w:val="auto"/>
              </w:rPr>
            </w:pPr>
          </w:p>
        </w:tc>
        <w:tc>
          <w:tcPr>
            <w:tcW w:w="1220" w:type="dxa"/>
            <w:vAlign w:val="bottom"/>
          </w:tcPr>
          <w:p>
            <w:pPr>
              <w:jc w:val="center"/>
              <w:ind w:right="272"/>
              <w:spacing w:after="0"/>
              <w:rPr>
                <w:sz w:val="20"/>
                <w:szCs w:val="20"/>
                <w:color w:val="auto"/>
              </w:rPr>
            </w:pPr>
            <w:r>
              <w:rPr>
                <w:rFonts w:ascii="Arial" w:cs="Arial" w:eastAsia="Arial" w:hAnsi="Arial"/>
                <w:sz w:val="11"/>
                <w:szCs w:val="11"/>
                <w:b w:val="1"/>
                <w:bCs w:val="1"/>
                <w:color w:val="auto"/>
                <w:w w:val="98"/>
              </w:rPr>
              <w:t>July 31,</w:t>
            </w:r>
          </w:p>
        </w:tc>
        <w:tc>
          <w:tcPr>
            <w:tcW w:w="0" w:type="dxa"/>
            <w:vAlign w:val="bottom"/>
          </w:tcPr>
          <w:p>
            <w:pPr>
              <w:spacing w:after="0"/>
              <w:rPr>
                <w:sz w:val="1"/>
                <w:szCs w:val="1"/>
                <w:color w:val="auto"/>
              </w:rPr>
            </w:pPr>
          </w:p>
        </w:tc>
      </w:tr>
      <w:tr>
        <w:trPr>
          <w:trHeight w:val="158"/>
        </w:trPr>
        <w:tc>
          <w:tcPr>
            <w:tcW w:w="400" w:type="dxa"/>
            <w:vAlign w:val="bottom"/>
            <w:tcBorders>
              <w:bottom w:val="single" w:sz="8" w:color="CCEEFF"/>
            </w:tcBorders>
          </w:tcPr>
          <w:p>
            <w:pPr>
              <w:spacing w:after="0"/>
              <w:rPr>
                <w:sz w:val="13"/>
                <w:szCs w:val="13"/>
                <w:color w:val="auto"/>
              </w:rPr>
            </w:pPr>
          </w:p>
        </w:tc>
        <w:tc>
          <w:tcPr>
            <w:tcW w:w="4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w w:val="97"/>
              </w:rPr>
              <w:t>2025</w:t>
            </w:r>
          </w:p>
        </w:tc>
        <w:tc>
          <w:tcPr>
            <w:tcW w:w="0" w:type="dxa"/>
            <w:vAlign w:val="bottom"/>
          </w:tcPr>
          <w:p>
            <w:pPr>
              <w:spacing w:after="0"/>
              <w:rPr>
                <w:sz w:val="1"/>
                <w:szCs w:val="1"/>
                <w:color w:val="auto"/>
              </w:rPr>
            </w:pPr>
          </w:p>
        </w:tc>
      </w:tr>
      <w:tr>
        <w:trPr>
          <w:trHeight w:val="16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179"/>
        </w:trPr>
        <w:tc>
          <w:tcPr>
            <w:tcW w:w="4760" w:type="dxa"/>
            <w:vAlign w:val="bottom"/>
            <w:gridSpan w:val="2"/>
          </w:tcPr>
          <w:p>
            <w:pPr>
              <w:ind w:left="20"/>
              <w:spacing w:after="0"/>
              <w:rPr>
                <w:sz w:val="20"/>
                <w:szCs w:val="20"/>
                <w:color w:val="auto"/>
              </w:rPr>
            </w:pPr>
            <w:r>
              <w:rPr>
                <w:rFonts w:ascii="Arial" w:cs="Arial" w:eastAsia="Arial" w:hAnsi="Arial"/>
                <w:sz w:val="14"/>
                <w:szCs w:val="14"/>
                <w:color w:val="auto"/>
              </w:rPr>
              <w:t>Computer equipment</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4,539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5,152</w:t>
            </w:r>
          </w:p>
        </w:tc>
        <w:tc>
          <w:tcPr>
            <w:tcW w:w="0" w:type="dxa"/>
            <w:vAlign w:val="bottom"/>
          </w:tcPr>
          <w:p>
            <w:pPr>
              <w:spacing w:after="0"/>
              <w:rPr>
                <w:sz w:val="1"/>
                <w:szCs w:val="1"/>
                <w:color w:val="auto"/>
              </w:rPr>
            </w:pPr>
          </w:p>
        </w:tc>
      </w:tr>
      <w:tr>
        <w:trPr>
          <w:trHeight w:val="17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Internally developed software</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37,702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36,993</w:t>
            </w:r>
          </w:p>
        </w:tc>
        <w:tc>
          <w:tcPr>
            <w:tcW w:w="0" w:type="dxa"/>
            <w:vAlign w:val="bottom"/>
          </w:tcPr>
          <w:p>
            <w:pPr>
              <w:spacing w:after="0"/>
              <w:rPr>
                <w:sz w:val="1"/>
                <w:szCs w:val="1"/>
                <w:color w:val="auto"/>
              </w:rPr>
            </w:pPr>
          </w:p>
        </w:tc>
      </w:tr>
      <w:tr>
        <w:trPr>
          <w:trHeight w:val="169"/>
        </w:trPr>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45,397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45,320</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(30,674)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(34,380)</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Property, software, and equipment, net</w:t>
            </w: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Depreciation expense related to property and equipment was $0.2 million and $0.4 million for the three and six months ended July 31, 2024, respectively, compared to $0.2 million and $0.5 million for the three and six months ended July 31, 2025, respectively.</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capitalized $2.2 million and $4.7 million in internally developed software during the three and six months ended July 31, 2024, respectively. No impairment of internally developed software was recorded during the three and six months ended July 31, 2024. The Company wrote-off $0.3 million and $0.7 million in internally developed software due to impairment during the three and six months ended July 31, 2025, respectively. No internally developed software was capitalized during the three and six months ended July 31, 2025. The impairment of internally developed software was recorded in product and development in the condensed consolidated statements of operations. The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280"/>
          </w:cols>
          <w:pgMar w:left="300" w:top="209" w:right="319" w:bottom="1440" w:gutter="0" w:footer="0" w:header="0"/>
        </w:sectPr>
      </w:pPr>
    </w:p>
    <w:bookmarkStart w:id="316" w:name="page317"/>
    <w:bookmarkEnd w:id="316"/>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expense on capitalized internally developed software was $1.2 million and $2.4 million for the three and six months ended July 31, 2024, respectively, compared to $1.6 million and $3.2 million for the three and six months ended July 31, 2025, respectively.</w:t>
      </w:r>
    </w:p>
    <w:p>
      <w:pPr>
        <w:spacing w:after="0" w:line="79" w:lineRule="exact"/>
        <w:rPr>
          <w:sz w:val="20"/>
          <w:szCs w:val="20"/>
          <w:color w:val="auto"/>
        </w:rPr>
      </w:pPr>
    </w:p>
    <w:p>
      <w:pPr>
        <w:ind w:left="500" w:hanging="496"/>
        <w:spacing w:after="0"/>
        <w:tabs>
          <w:tab w:leader="none" w:pos="500" w:val="left"/>
        </w:tabs>
        <w:numPr>
          <w:ilvl w:val="0"/>
          <w:numId w:val="160"/>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three noncancelable operating leases for its offices, one of which has a lease term that expired in May 2025 and was not renewed. The second one has a lease term expiring in June 2028 and includes free rent periods and escalating rent payment provisions. The third lease commenced in May 2025 with free rent periods. All leases require the Company to pay annual operating, tax or utilities expenses, which are included in the variable lease costs. The Company utilizes its incremental borrowing rate in determining the present value of lease payments, as the implicit rate is not readily determinable.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 for operating leases for the three and six months ended July 31, 2024 and 2025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1"/>
                <w:szCs w:val="11"/>
                <w:b w:val="1"/>
                <w:bCs w:val="1"/>
                <w:color w:val="auto"/>
              </w:rPr>
              <w:t>Three Months Ended July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7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r>
      <w:tr>
        <w:trPr>
          <w:trHeight w:val="17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r>
      <w:tr>
        <w:trPr>
          <w:trHeight w:val="19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32"/>
        </w:trPr>
        <w:tc>
          <w:tcPr>
            <w:tcW w:w="5800" w:type="dxa"/>
            <w:vAlign w:val="bottom"/>
            <w:gridSpan w:val="2"/>
          </w:tcPr>
          <w:p>
            <w:pPr>
              <w:spacing w:after="0"/>
              <w:rPr>
                <w:sz w:val="20"/>
                <w:szCs w:val="20"/>
                <w:color w:val="auto"/>
              </w:rPr>
            </w:pPr>
            <w:r>
              <w:rPr>
                <w:rFonts w:ascii="Arial" w:cs="Arial" w:eastAsia="Arial" w:hAnsi="Arial"/>
                <w:sz w:val="14"/>
                <w:szCs w:val="14"/>
                <w:color w:val="auto"/>
              </w:rPr>
              <w:t>Supplemental cash flow information related to leases was as follows (in thousands):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3"/>
        </w:trPr>
        <w:tc>
          <w:tcPr>
            <w:tcW w:w="4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7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Cash paid for amounts included in the measurement of lease liabilities:</w:t>
            </w:r>
          </w:p>
        </w:tc>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5"/>
        </w:trPr>
        <w:tc>
          <w:tcPr>
            <w:tcW w:w="4760" w:type="dxa"/>
            <w:vAlign w:val="bottom"/>
          </w:tcPr>
          <w:p>
            <w:pPr>
              <w:ind w:left="20"/>
              <w:spacing w:after="0"/>
              <w:rPr>
                <w:sz w:val="20"/>
                <w:szCs w:val="20"/>
                <w:color w:val="auto"/>
              </w:rPr>
            </w:pPr>
            <w:r>
              <w:rPr>
                <w:rFonts w:ascii="Arial" w:cs="Arial" w:eastAsia="Arial" w:hAnsi="Arial"/>
                <w:sz w:val="14"/>
                <w:szCs w:val="14"/>
                <w:color w:val="auto"/>
              </w:rPr>
              <w:t>Payments for operating leases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2,091</w:t>
            </w:r>
          </w:p>
        </w:tc>
        <w:tc>
          <w:tcPr>
            <w:tcW w:w="8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2,119</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lease-related assets and liabilities recorded in the condensed consolidated balance sheet at January 31, 2025 and July 31, 2025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ind w:left="260"/>
              <w:spacing w:after="0"/>
              <w:rPr>
                <w:sz w:val="20"/>
                <w:szCs w:val="20"/>
                <w:color w:val="auto"/>
              </w:rPr>
            </w:pPr>
            <w:r>
              <w:rPr>
                <w:rFonts w:ascii="Arial" w:cs="Arial" w:eastAsia="Arial" w:hAnsi="Arial"/>
                <w:sz w:val="11"/>
                <w:szCs w:val="11"/>
                <w:b w:val="1"/>
                <w:bCs w:val="1"/>
                <w:color w:val="auto"/>
              </w:rPr>
              <w:t>January 31,</w:t>
            </w:r>
          </w:p>
        </w:tc>
        <w:tc>
          <w:tcPr>
            <w:tcW w:w="300" w:type="dxa"/>
            <w:vAlign w:val="bottom"/>
          </w:tcPr>
          <w:p>
            <w:pPr>
              <w:spacing w:after="0"/>
              <w:rPr>
                <w:sz w:val="13"/>
                <w:szCs w:val="13"/>
                <w:color w:val="auto"/>
              </w:rPr>
            </w:pPr>
          </w:p>
        </w:tc>
        <w:tc>
          <w:tcPr>
            <w:tcW w:w="1260" w:type="dxa"/>
            <w:vAlign w:val="bottom"/>
          </w:tcPr>
          <w:p>
            <w:pPr>
              <w:jc w:val="right"/>
              <w:ind w:right="516"/>
              <w:spacing w:after="0"/>
              <w:rPr>
                <w:sz w:val="20"/>
                <w:szCs w:val="20"/>
                <w:color w:val="auto"/>
              </w:rPr>
            </w:pPr>
            <w:r>
              <w:rPr>
                <w:rFonts w:ascii="Arial" w:cs="Arial" w:eastAsia="Arial" w:hAnsi="Arial"/>
                <w:sz w:val="11"/>
                <w:szCs w:val="11"/>
                <w:b w:val="1"/>
                <w:bCs w:val="1"/>
                <w:color w:val="auto"/>
              </w:rPr>
              <w:t>July 31,</w:t>
            </w:r>
          </w:p>
        </w:tc>
        <w:tc>
          <w:tcPr>
            <w:tcW w:w="0" w:type="dxa"/>
            <w:vAlign w:val="bottom"/>
          </w:tcPr>
          <w:p>
            <w:pPr>
              <w:spacing w:after="0"/>
              <w:rPr>
                <w:sz w:val="1"/>
                <w:szCs w:val="1"/>
                <w:color w:val="auto"/>
              </w:rPr>
            </w:pPr>
          </w:p>
        </w:tc>
      </w:tr>
      <w:tr>
        <w:trPr>
          <w:trHeight w:val="158"/>
        </w:trPr>
        <w:tc>
          <w:tcPr>
            <w:tcW w:w="78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ROU assets</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11,229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10,224</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9,796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8,327</w:t>
            </w:r>
          </w:p>
        </w:tc>
        <w:tc>
          <w:tcPr>
            <w:tcW w:w="0" w:type="dxa"/>
            <w:vAlign w:val="bottom"/>
          </w:tcPr>
          <w:p>
            <w:pPr>
              <w:spacing w:after="0"/>
              <w:rPr>
                <w:sz w:val="1"/>
                <w:szCs w:val="1"/>
                <w:color w:val="auto"/>
              </w:rPr>
            </w:pPr>
          </w:p>
        </w:tc>
      </w:tr>
      <w:tr>
        <w:trPr>
          <w:trHeight w:val="194"/>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liabilities</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13,352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Lease term and discount rate were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January 31,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July 31,</w:t>
            </w:r>
          </w:p>
        </w:tc>
        <w:tc>
          <w:tcPr>
            <w:tcW w:w="0" w:type="dxa"/>
            <w:vAlign w:val="bottom"/>
          </w:tcPr>
          <w:p>
            <w:pPr>
              <w:spacing w:after="0"/>
              <w:rPr>
                <w:sz w:val="1"/>
                <w:szCs w:val="1"/>
                <w:color w:val="auto"/>
              </w:rPr>
            </w:pPr>
          </w:p>
        </w:tc>
      </w:tr>
      <w:tr>
        <w:trPr>
          <w:trHeight w:val="148"/>
        </w:trPr>
        <w:tc>
          <w:tcPr>
            <w:tcW w:w="7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3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85"/>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5.25 %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280"/>
          </w:cols>
          <w:pgMar w:left="300" w:top="209" w:right="319" w:bottom="1440" w:gutter="0" w:footer="0" w:header="0"/>
        </w:sectPr>
      </w:pPr>
    </w:p>
    <w:bookmarkStart w:id="317" w:name="page318"/>
    <w:bookmarkEnd w:id="317"/>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 w:type="dxa"/>
            <w:vAlign w:val="bottom"/>
          </w:tcPr>
          <w:p>
            <w:pPr>
              <w:spacing w:after="0"/>
              <w:rPr>
                <w:sz w:val="16"/>
                <w:szCs w:val="16"/>
                <w:color w:val="auto"/>
              </w:rPr>
            </w:pPr>
          </w:p>
        </w:tc>
        <w:tc>
          <w:tcPr>
            <w:tcW w:w="9300" w:type="dxa"/>
            <w:vAlign w:val="bottom"/>
          </w:tcPr>
          <w:p>
            <w:pPr>
              <w:jc w:val="center"/>
              <w:ind w:left="1070"/>
              <w:spacing w:after="0"/>
              <w:rPr>
                <w:sz w:val="20"/>
                <w:szCs w:val="20"/>
                <w:color w:val="auto"/>
              </w:rPr>
            </w:pPr>
            <w:r>
              <w:rPr>
                <w:rFonts w:ascii="Arial" w:cs="Arial" w:eastAsia="Arial" w:hAnsi="Arial"/>
                <w:sz w:val="14"/>
                <w:szCs w:val="14"/>
                <w:b w:val="1"/>
                <w:bCs w:val="1"/>
                <w:color w:val="auto"/>
                <w:w w:val="99"/>
              </w:rPr>
              <w:t>WEALTHFRONT CORPORATION</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20" w:type="dxa"/>
            <w:vAlign w:val="bottom"/>
          </w:tcPr>
          <w:p>
            <w:pPr>
              <w:spacing w:after="0"/>
              <w:rPr>
                <w:sz w:val="24"/>
                <w:szCs w:val="24"/>
                <w:color w:val="auto"/>
              </w:rPr>
            </w:pPr>
          </w:p>
        </w:tc>
        <w:tc>
          <w:tcPr>
            <w:tcW w:w="9300" w:type="dxa"/>
            <w:vAlign w:val="bottom"/>
          </w:tcPr>
          <w:p>
            <w:pPr>
              <w:jc w:val="center"/>
              <w:ind w:left="1070"/>
              <w:spacing w:after="0"/>
              <w:rPr>
                <w:sz w:val="20"/>
                <w:szCs w:val="20"/>
                <w:color w:val="auto"/>
              </w:rPr>
            </w:pPr>
            <w:r>
              <w:rPr>
                <w:rFonts w:ascii="Arial" w:cs="Arial" w:eastAsia="Arial" w:hAnsi="Arial"/>
                <w:sz w:val="14"/>
                <w:szCs w:val="14"/>
                <w:color w:val="auto"/>
              </w:rPr>
              <w:t>Notes to Unaudited Condensed Consolidated Financial Statements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720" w:type="dxa"/>
            <w:vAlign w:val="bottom"/>
            <w:gridSpan w:val="2"/>
          </w:tcPr>
          <w:p>
            <w:pPr>
              <w:spacing w:after="0"/>
              <w:rPr>
                <w:sz w:val="20"/>
                <w:szCs w:val="20"/>
                <w:color w:val="auto"/>
              </w:rPr>
            </w:pPr>
            <w:r>
              <w:rPr>
                <w:rFonts w:ascii="Arial" w:cs="Arial" w:eastAsia="Arial" w:hAnsi="Arial"/>
                <w:sz w:val="14"/>
                <w:szCs w:val="14"/>
                <w:color w:val="auto"/>
              </w:rPr>
              <w:t>The following table provides the maturities of lease liabilities as of July 31, 2025 (in thousands):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Maturity of lease liabilities at July 31: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6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2026 (remaining)</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0" w:type="dxa"/>
            <w:vAlign w:val="bottom"/>
          </w:tcPr>
          <w:p>
            <w:pPr>
              <w:spacing w:after="0"/>
              <w:rPr>
                <w:sz w:val="1"/>
                <w:szCs w:val="1"/>
                <w:color w:val="auto"/>
              </w:rPr>
            </w:pPr>
          </w:p>
        </w:tc>
      </w:tr>
      <w:tr>
        <w:trPr>
          <w:trHeight w:val="179"/>
        </w:trPr>
        <w:tc>
          <w:tcPr>
            <w:tcW w:w="420" w:type="dxa"/>
            <w:vAlign w:val="bottom"/>
          </w:tcPr>
          <w:p>
            <w:pPr>
              <w:ind w:left="20"/>
              <w:spacing w:after="0"/>
              <w:rPr>
                <w:sz w:val="20"/>
                <w:szCs w:val="20"/>
                <w:color w:val="auto"/>
              </w:rPr>
            </w:pPr>
            <w:r>
              <w:rPr>
                <w:rFonts w:ascii="Arial" w:cs="Arial" w:eastAsia="Arial" w:hAnsi="Arial"/>
                <w:sz w:val="14"/>
                <w:szCs w:val="14"/>
                <w:color w:val="auto"/>
              </w:rPr>
              <w:t>2027</w:t>
            </w:r>
          </w:p>
        </w:tc>
        <w:tc>
          <w:tcPr>
            <w:tcW w:w="9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4,437</w:t>
            </w:r>
          </w:p>
        </w:tc>
        <w:tc>
          <w:tcPr>
            <w:tcW w:w="0" w:type="dxa"/>
            <w:vAlign w:val="bottom"/>
          </w:tcPr>
          <w:p>
            <w:pPr>
              <w:spacing w:after="0"/>
              <w:rPr>
                <w:sz w:val="1"/>
                <w:szCs w:val="1"/>
                <w:color w:val="auto"/>
              </w:rPr>
            </w:pPr>
          </w:p>
        </w:tc>
      </w:tr>
      <w:tr>
        <w:trPr>
          <w:trHeight w:val="179"/>
        </w:trPr>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9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79"/>
        </w:trPr>
        <w:tc>
          <w:tcPr>
            <w:tcW w:w="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2029</w:t>
            </w:r>
          </w:p>
        </w:tc>
        <w:tc>
          <w:tcPr>
            <w:tcW w:w="93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6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future undiscounted lease payments</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13,136</w:t>
            </w:r>
          </w:p>
        </w:tc>
        <w:tc>
          <w:tcPr>
            <w:tcW w:w="0" w:type="dxa"/>
            <w:vAlign w:val="bottom"/>
          </w:tcPr>
          <w:p>
            <w:pPr>
              <w:spacing w:after="0"/>
              <w:rPr>
                <w:sz w:val="1"/>
                <w:szCs w:val="1"/>
                <w:color w:val="auto"/>
              </w:rPr>
            </w:pPr>
          </w:p>
        </w:tc>
      </w:tr>
      <w:tr>
        <w:trPr>
          <w:trHeight w:val="179"/>
        </w:trPr>
        <w:tc>
          <w:tcPr>
            <w:tcW w:w="9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imputed interest</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4"/>
        </w:trPr>
        <w:tc>
          <w:tcPr>
            <w:tcW w:w="9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12,154</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As of July 31, 2025, the Company did not have additional operating and finance leases that have not yet commenced.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20" w:type="dxa"/>
            <w:vAlign w:val="bottom"/>
          </w:tcPr>
          <w:p>
            <w:pPr>
              <w:spacing w:after="0"/>
              <w:rPr>
                <w:sz w:val="20"/>
                <w:szCs w:val="20"/>
                <w:color w:val="auto"/>
              </w:rPr>
            </w:pPr>
            <w:r>
              <w:rPr>
                <w:rFonts w:ascii="Arial" w:cs="Arial" w:eastAsia="Arial" w:hAnsi="Arial"/>
                <w:sz w:val="14"/>
                <w:szCs w:val="14"/>
                <w:b w:val="1"/>
                <w:bCs w:val="1"/>
                <w:color w:val="auto"/>
              </w:rPr>
              <w:t>7.</w:t>
            </w:r>
          </w:p>
        </w:tc>
        <w:tc>
          <w:tcPr>
            <w:tcW w:w="9300" w:type="dxa"/>
            <w:vAlign w:val="bottom"/>
          </w:tcPr>
          <w:p>
            <w:pPr>
              <w:ind w:left="8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Revolving Line of Credit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October 31, 2024, the Company entered into a credit agreement (the “Credit Agreement”) with a third-party financial institution to provide a revolving line of up to $50.0 million (the “Revolver”) with a maturity date of October 30, 2025. Interest accrued on the outstanding principal balance is at (i) the base rate, plus 1.0% per annum or (ii) Adjusted Daily Simple SOFR (as defined in the Credit Agreement), plus 2.0% per annum. The base rate is defined as the highest of (i) the Prime Rate (as defined in the Credit Agreement); (ii) the Federal Funds Rate (as defined in the Credit Agreement), plus 0.50%, and (c) Adjusted Daily Simple SOFR plus 1.00%, and is payable on a monthly basis. The Revolver was not drawn on during the fiscal year ended January 31, 2025 and six months ended July 31, 2025.</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Simple Agreement for Future Equity</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November 2019, the Company entered into a series of SAFEs with new investors associated with a small “acquihire” for an aggregate purchase amount of $2.2 million (the “Purchase Amount”). Upon equity financing or termination, the SAFE holders will receive an aggregate number of shares of common stock equal to the Purchase Amount divided by the conversion price.</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Upon a liquidity event (and at the election of the Majority Holders, whose investment represents a majority of the Purchase Amount), the holders will receive in aggregate either: (i) a cash payment equal to the Purchase Amount or (ii) a number of shares of common stock equal to the Purchase Amount divided by the product of the liquidity price and the discount rate (such product, the “Discounted Price”). On March 10, 2022, the Company amended the Discounted Price of the SAFEs to $5.00 with respect to a specified strategic transaction. If there are insufficient funds to pay the holders, available funds will be distributed on a pro rata basis among the SAFE holders. In a dissolution event, the holders will receive the Purchase Amount. If the Company has insufficient funds to pay the SAFE holders, the Company will be liable to distribute available assets on a pro rata basis among the holders for the remaining amount.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SAFEs represent an obligation to issue a variable number of shares of the Company’s common stock, the monetary value of which is known when entering into the SAFEs.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ectPr>
          <w:pgSz w:w="11900" w:h="16838" w:orient="portrait"/>
          <w:cols w:equalWidth="0" w:num="1">
            <w:col w:w="11280"/>
          </w:cols>
          <w:pgMar w:left="300" w:top="209" w:right="319" w:bottom="1440" w:gutter="0" w:footer="0" w:header="0"/>
        </w:sectPr>
      </w:pPr>
    </w:p>
    <w:bookmarkStart w:id="318" w:name="page319"/>
    <w:bookmarkEnd w:id="318"/>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SAFEs was estimated using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1140" w:type="dxa"/>
            <w:vAlign w:val="bottom"/>
          </w:tcPr>
          <w:p>
            <w:pPr>
              <w:jc w:val="center"/>
              <w:ind w:left="379"/>
              <w:spacing w:after="0"/>
              <w:rPr>
                <w:sz w:val="20"/>
                <w:szCs w:val="20"/>
                <w:color w:val="auto"/>
              </w:rPr>
            </w:pPr>
            <w:r>
              <w:rPr>
                <w:rFonts w:ascii="Arial" w:cs="Arial" w:eastAsia="Arial" w:hAnsi="Arial"/>
                <w:sz w:val="11"/>
                <w:szCs w:val="11"/>
                <w:b w:val="1"/>
                <w:bCs w:val="1"/>
                <w:color w:val="auto"/>
              </w:rPr>
              <w:t>January 31,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516"/>
              <w:spacing w:after="0"/>
              <w:rPr>
                <w:sz w:val="20"/>
                <w:szCs w:val="20"/>
                <w:color w:val="auto"/>
              </w:rPr>
            </w:pPr>
            <w:r>
              <w:rPr>
                <w:rFonts w:ascii="Arial" w:cs="Arial" w:eastAsia="Arial" w:hAnsi="Arial"/>
                <w:sz w:val="11"/>
                <w:szCs w:val="11"/>
                <w:b w:val="1"/>
                <w:bCs w:val="1"/>
                <w:color w:val="auto"/>
              </w:rPr>
              <w:t>July 31,</w:t>
            </w:r>
          </w:p>
        </w:tc>
      </w:tr>
      <w:tr>
        <w:trPr>
          <w:trHeight w:val="158"/>
        </w:trPr>
        <w:tc>
          <w:tcPr>
            <w:tcW w:w="80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2025</w:t>
            </w: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Amount (in thousands)</w:t>
            </w:r>
          </w:p>
        </w:tc>
        <w:tc>
          <w:tcPr>
            <w:tcW w:w="1140" w:type="dxa"/>
            <w:vAlign w:val="bottom"/>
            <w:shd w:val="clear" w:color="auto" w:fill="CCEEFF"/>
          </w:tcPr>
          <w:p>
            <w:pPr>
              <w:jc w:val="right"/>
              <w:ind w:right="97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Discounted Price</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w:t>
            </w:r>
          </w:p>
        </w:tc>
      </w:tr>
    </w:tbl>
    <w:p>
      <w:pPr>
        <w:spacing w:after="0" w:line="185" w:lineRule="exact"/>
        <w:rPr>
          <w:sz w:val="20"/>
          <w:szCs w:val="20"/>
          <w:color w:val="auto"/>
        </w:rPr>
      </w:pPr>
    </w:p>
    <w:p>
      <w:pPr>
        <w:ind w:right="8560" w:firstLine="4"/>
        <w:spacing w:after="0" w:line="438" w:lineRule="auto"/>
        <w:tabs>
          <w:tab w:leader="none" w:pos="495" w:val="left"/>
        </w:tabs>
        <w:numPr>
          <w:ilvl w:val="0"/>
          <w:numId w:val="16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Commitments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 of July 31, 2025, the Company had three noncancelable contracts, one of which is related to a third-party partner bank in connection with services that the Company offers its clients as part of the cash sweep program. Payments made to this third-party partner bank during the three and six months ended July 31, 2024 and 2025 towards this contract were immaterial.</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During the fiscal year ended January 31, 2025, the Company entered into a noncancelable contract for cloud computing services with a third-party provider. The Company is committed to a minimum spend during the term of the contract. Payments made to this third-party provider during the three and six months ended July 31, 2025 were $1.5 million and $3.0 million, respectively.</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July 2025, the Company entered into another noncancelable contract for an application programming interface service with a third-party provider. The Company is committed to a minimum monthly spend during the term of the contract.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future minimum payments over the term of the noncancelable contracts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Fiscal Year Ended January 31,</w:t>
            </w: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Amount</w:t>
            </w:r>
          </w:p>
        </w:tc>
      </w:tr>
      <w:tr>
        <w:trPr>
          <w:trHeight w:val="16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 (remaining)</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w:t>
            </w: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2027</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6,750</w:t>
            </w: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7,400</w:t>
            </w:r>
          </w:p>
        </w:tc>
      </w:tr>
      <w:tr>
        <w:trPr>
          <w:trHeight w:val="169"/>
        </w:trPr>
        <w:tc>
          <w:tcPr>
            <w:tcW w:w="9720" w:type="dxa"/>
            <w:vAlign w:val="bottom"/>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16,700</w:t>
            </w:r>
          </w:p>
        </w:tc>
      </w:tr>
      <w:tr>
        <w:trPr>
          <w:trHeight w:val="20"/>
        </w:trPr>
        <w:tc>
          <w:tcPr>
            <w:tcW w:w="9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reviews its lawsuits, regulatory inquiries, and other legal proceedings on an ongoing basis and provides disclosure and records loss contingencies in accordance with the loss contingencies accounting guidance. The Company establishes an accrual for losses at management’s best estimate when it assesses that it is probable that a loss has been incurred and the amount of the loss can be reasonably estimated. If an estimated loss is only reasonably possible rather than probable, no liability is recognized. However, where a material loss is reasonably possible, the Company will disclose details of the legal proceeding or claim and an estimate of the possible loss or range of losses if an estimate can be reasonably made. An event is defined as reasonably possible if the chance of the loss to the Company is more than remote but less than probable. The Company monitors these matters for developments that would affect the likelihood of a loss and the accrued amount, if any, and adjusts the amount as appropriate. As of January 31, 2025 and July 31, 2025, the Company’s loss contingencies were immaterial.</w:t>
      </w:r>
    </w:p>
    <w:p>
      <w:pPr>
        <w:spacing w:after="0" w:line="101" w:lineRule="exact"/>
        <w:rPr>
          <w:sz w:val="20"/>
          <w:szCs w:val="20"/>
          <w:color w:val="auto"/>
        </w:rPr>
      </w:pPr>
    </w:p>
    <w:p>
      <w:pPr>
        <w:ind w:left="500" w:hanging="496"/>
        <w:spacing w:after="0"/>
        <w:tabs>
          <w:tab w:leader="none" w:pos="500" w:val="left"/>
        </w:tabs>
        <w:numPr>
          <w:ilvl w:val="0"/>
          <w:numId w:val="162"/>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Convertible Preferred Stock</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 summary of the authorized, issued, and outstanding redeemable convertible preferred shares of Series A, Series B, Series C, Series D, Series E, Series F, Series G, Series G-1, Series H-1, and Series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ectPr>
          <w:pgSz w:w="11900" w:h="16838" w:orient="portrait"/>
          <w:cols w:equalWidth="0" w:num="1">
            <w:col w:w="11280"/>
          </w:cols>
          <w:pgMar w:left="300" w:top="209" w:right="319" w:bottom="1440" w:gutter="0" w:footer="0" w:header="0"/>
        </w:sectPr>
      </w:pPr>
    </w:p>
    <w:bookmarkStart w:id="319" w:name="page320"/>
    <w:bookmarkEnd w:id="319"/>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H-2 (collectively “redeemable convertible preferred stock”) as of January 31, 2025 is as follows (in thousands, except per share and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1"/>
                <w:szCs w:val="11"/>
                <w:b w:val="1"/>
                <w:bCs w:val="1"/>
                <w:color w:val="auto"/>
              </w:rPr>
              <w:t>Per Share</w:t>
            </w: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220" w:type="dxa"/>
            <w:vAlign w:val="bottom"/>
          </w:tcPr>
          <w:p>
            <w:pPr>
              <w:spacing w:after="0"/>
              <w:rPr>
                <w:sz w:val="8"/>
                <w:szCs w:val="8"/>
                <w:color w:val="auto"/>
              </w:rPr>
            </w:pPr>
          </w:p>
        </w:tc>
        <w:tc>
          <w:tcPr>
            <w:tcW w:w="1520" w:type="dxa"/>
            <w:vAlign w:val="bottom"/>
            <w:gridSpan w:val="2"/>
          </w:tcPr>
          <w:p>
            <w:pPr>
              <w:ind w:left="580"/>
              <w:spacing w:after="0" w:line="100" w:lineRule="exact"/>
              <w:rPr>
                <w:sz w:val="20"/>
                <w:szCs w:val="20"/>
                <w:color w:val="auto"/>
              </w:rPr>
            </w:pPr>
            <w:r>
              <w:rPr>
                <w:rFonts w:ascii="Arial" w:cs="Arial" w:eastAsia="Arial" w:hAnsi="Arial"/>
                <w:sz w:val="11"/>
                <w:szCs w:val="11"/>
                <w:b w:val="1"/>
                <w:bCs w:val="1"/>
                <w:color w:val="auto"/>
              </w:rPr>
              <w:t>Shares</w:t>
            </w:r>
          </w:p>
        </w:tc>
        <w:tc>
          <w:tcPr>
            <w:tcW w:w="1440" w:type="dxa"/>
            <w:vAlign w:val="bottom"/>
          </w:tcPr>
          <w:p>
            <w:pPr>
              <w:jc w:val="right"/>
              <w:ind w:right="152"/>
              <w:spacing w:after="0" w:line="100" w:lineRule="exact"/>
              <w:rPr>
                <w:sz w:val="20"/>
                <w:szCs w:val="20"/>
                <w:color w:val="auto"/>
              </w:rPr>
            </w:pPr>
            <w:r>
              <w:rPr>
                <w:rFonts w:ascii="Arial" w:cs="Arial" w:eastAsia="Arial" w:hAnsi="Arial"/>
                <w:sz w:val="11"/>
                <w:szCs w:val="11"/>
                <w:b w:val="1"/>
                <w:bCs w:val="1"/>
                <w:color w:val="auto"/>
              </w:rPr>
              <w:t>Shares Issued and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Issuance Price</w:t>
            </w:r>
          </w:p>
        </w:tc>
        <w:tc>
          <w:tcPr>
            <w:tcW w:w="320" w:type="dxa"/>
            <w:vAlign w:val="bottom"/>
          </w:tcPr>
          <w:p>
            <w:pPr>
              <w:spacing w:after="0"/>
              <w:rPr>
                <w:sz w:val="8"/>
                <w:szCs w:val="8"/>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Dividend</w:t>
            </w:r>
          </w:p>
        </w:tc>
        <w:tc>
          <w:tcPr>
            <w:tcW w:w="160" w:type="dxa"/>
            <w:vAlign w:val="bottom"/>
          </w:tcPr>
          <w:p>
            <w:pPr>
              <w:spacing w:after="0"/>
              <w:rPr>
                <w:sz w:val="8"/>
                <w:szCs w:val="8"/>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Net Carrying Value</w:t>
            </w:r>
          </w:p>
        </w:tc>
        <w:tc>
          <w:tcPr>
            <w:tcW w:w="100" w:type="dxa"/>
            <w:vAlign w:val="bottom"/>
          </w:tcPr>
          <w:p>
            <w:pPr>
              <w:spacing w:after="0"/>
              <w:rPr>
                <w:sz w:val="8"/>
                <w:szCs w:val="8"/>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1"/>
                <w:szCs w:val="11"/>
                <w:b w:val="1"/>
                <w:bCs w:val="1"/>
                <w:color w:val="auto"/>
              </w:rPr>
              <w:t>Liquidation Preference</w:t>
            </w:r>
          </w:p>
        </w:tc>
        <w:tc>
          <w:tcPr>
            <w:tcW w:w="0" w:type="dxa"/>
            <w:vAlign w:val="bottom"/>
          </w:tcPr>
          <w:p>
            <w:pPr>
              <w:spacing w:after="0"/>
              <w:rPr>
                <w:sz w:val="1"/>
                <w:szCs w:val="1"/>
                <w:color w:val="auto"/>
              </w:rPr>
            </w:pPr>
          </w:p>
        </w:tc>
      </w:tr>
      <w:tr>
        <w:trPr>
          <w:trHeight w:val="143"/>
        </w:trPr>
        <w:tc>
          <w:tcPr>
            <w:tcW w:w="2220" w:type="dxa"/>
            <w:vAlign w:val="bottom"/>
          </w:tcPr>
          <w:p>
            <w:pPr>
              <w:spacing w:after="0"/>
              <w:rPr>
                <w:sz w:val="12"/>
                <w:szCs w:val="12"/>
                <w:color w:val="auto"/>
              </w:rPr>
            </w:pPr>
          </w:p>
        </w:tc>
        <w:tc>
          <w:tcPr>
            <w:tcW w:w="1520" w:type="dxa"/>
            <w:vAlign w:val="bottom"/>
            <w:gridSpan w:val="2"/>
          </w:tcPr>
          <w:p>
            <w:pPr>
              <w:ind w:left="420"/>
              <w:spacing w:after="0"/>
              <w:rPr>
                <w:sz w:val="20"/>
                <w:szCs w:val="20"/>
                <w:color w:val="auto"/>
              </w:rPr>
            </w:pPr>
            <w:r>
              <w:rPr>
                <w:rFonts w:ascii="Arial" w:cs="Arial" w:eastAsia="Arial" w:hAnsi="Arial"/>
                <w:sz w:val="11"/>
                <w:szCs w:val="11"/>
                <w:b w:val="1"/>
                <w:bCs w:val="1"/>
                <w:color w:val="auto"/>
              </w:rPr>
              <w:t>Authorized</w:t>
            </w:r>
          </w:p>
        </w:tc>
        <w:tc>
          <w:tcPr>
            <w:tcW w:w="1440" w:type="dxa"/>
            <w:vAlign w:val="bottom"/>
          </w:tcPr>
          <w:p>
            <w:pPr>
              <w:jc w:val="right"/>
              <w:ind w:right="312"/>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1,350,000</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1,350,000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0.0089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79"/>
        </w:trPr>
        <w:tc>
          <w:tcPr>
            <w:tcW w:w="2220" w:type="dxa"/>
            <w:vAlign w:val="bottom"/>
          </w:tcPr>
          <w:p>
            <w:pPr>
              <w:ind w:left="20"/>
              <w:spacing w:after="0"/>
              <w:rPr>
                <w:sz w:val="20"/>
                <w:szCs w:val="20"/>
                <w:color w:val="auto"/>
              </w:rPr>
            </w:pPr>
            <w:r>
              <w:rPr>
                <w:rFonts w:ascii="Arial" w:cs="Arial" w:eastAsia="Arial" w:hAnsi="Arial"/>
                <w:sz w:val="14"/>
                <w:szCs w:val="14"/>
                <w:color w:val="auto"/>
              </w:rPr>
              <w:t>Series B</w:t>
            </w:r>
          </w:p>
        </w:tc>
        <w:tc>
          <w:tcPr>
            <w:tcW w:w="1440" w:type="dxa"/>
            <w:vAlign w:val="bottom"/>
          </w:tcPr>
          <w:p>
            <w:pPr>
              <w:jc w:val="right"/>
              <w:spacing w:after="0"/>
              <w:rPr>
                <w:sz w:val="20"/>
                <w:szCs w:val="20"/>
                <w:color w:val="auto"/>
              </w:rPr>
            </w:pPr>
            <w:r>
              <w:rPr>
                <w:rFonts w:ascii="Arial" w:cs="Arial" w:eastAsia="Arial" w:hAnsi="Arial"/>
                <w:sz w:val="14"/>
                <w:szCs w:val="14"/>
                <w:color w:val="auto"/>
              </w:rPr>
              <w:t>7,658,874</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7,658,868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0.0310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7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C</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6,169,302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5,952,858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7,560</w:t>
            </w:r>
          </w:p>
        </w:tc>
        <w:tc>
          <w:tcPr>
            <w:tcW w:w="0" w:type="dxa"/>
            <w:vAlign w:val="bottom"/>
          </w:tcPr>
          <w:p>
            <w:pPr>
              <w:spacing w:after="0"/>
              <w:rPr>
                <w:sz w:val="1"/>
                <w:szCs w:val="1"/>
                <w:color w:val="auto"/>
              </w:rPr>
            </w:pPr>
          </w:p>
        </w:tc>
      </w:tr>
      <w:tr>
        <w:trPr>
          <w:trHeight w:val="179"/>
        </w:trPr>
        <w:tc>
          <w:tcPr>
            <w:tcW w:w="2220" w:type="dxa"/>
            <w:vAlign w:val="bottom"/>
          </w:tcPr>
          <w:p>
            <w:pPr>
              <w:ind w:left="20"/>
              <w:spacing w:after="0"/>
              <w:rPr>
                <w:sz w:val="20"/>
                <w:szCs w:val="20"/>
                <w:color w:val="auto"/>
              </w:rPr>
            </w:pPr>
            <w:r>
              <w:rPr>
                <w:rFonts w:ascii="Arial" w:cs="Arial" w:eastAsia="Arial" w:hAnsi="Arial"/>
                <w:sz w:val="14"/>
                <w:szCs w:val="14"/>
                <w:color w:val="auto"/>
              </w:rPr>
              <w:t>Series D</w:t>
            </w:r>
          </w:p>
        </w:tc>
        <w:tc>
          <w:tcPr>
            <w:tcW w:w="1440" w:type="dxa"/>
            <w:vAlign w:val="bottom"/>
          </w:tcPr>
          <w:p>
            <w:pPr>
              <w:jc w:val="right"/>
              <w:spacing w:after="0"/>
              <w:rPr>
                <w:sz w:val="20"/>
                <w:szCs w:val="20"/>
                <w:color w:val="auto"/>
              </w:rPr>
            </w:pPr>
            <w:r>
              <w:rPr>
                <w:rFonts w:ascii="Arial" w:cs="Arial" w:eastAsia="Arial" w:hAnsi="Arial"/>
                <w:sz w:val="14"/>
                <w:szCs w:val="14"/>
                <w:color w:val="auto"/>
              </w:rPr>
              <w:t>14,431,860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14,431,844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0.1086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19,482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19,627</w:t>
            </w:r>
          </w:p>
        </w:tc>
        <w:tc>
          <w:tcPr>
            <w:tcW w:w="0" w:type="dxa"/>
            <w:vAlign w:val="bottom"/>
          </w:tcPr>
          <w:p>
            <w:pPr>
              <w:spacing w:after="0"/>
              <w:rPr>
                <w:sz w:val="1"/>
                <w:szCs w:val="1"/>
                <w:color w:val="auto"/>
              </w:rPr>
            </w:pPr>
          </w:p>
        </w:tc>
      </w:tr>
      <w:tr>
        <w:trPr>
          <w:trHeight w:val="17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8,780,133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8,780,133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0.3190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35,033</w:t>
            </w:r>
          </w:p>
        </w:tc>
        <w:tc>
          <w:tcPr>
            <w:tcW w:w="0" w:type="dxa"/>
            <w:vAlign w:val="bottom"/>
          </w:tcPr>
          <w:p>
            <w:pPr>
              <w:spacing w:after="0"/>
              <w:rPr>
                <w:sz w:val="1"/>
                <w:szCs w:val="1"/>
                <w:color w:val="auto"/>
              </w:rPr>
            </w:pPr>
          </w:p>
        </w:tc>
      </w:tr>
      <w:tr>
        <w:trPr>
          <w:trHeight w:val="179"/>
        </w:trPr>
        <w:tc>
          <w:tcPr>
            <w:tcW w:w="2220" w:type="dxa"/>
            <w:vAlign w:val="bottom"/>
          </w:tcPr>
          <w:p>
            <w:pPr>
              <w:ind w:left="20"/>
              <w:spacing w:after="0"/>
              <w:rPr>
                <w:sz w:val="20"/>
                <w:szCs w:val="20"/>
                <w:color w:val="auto"/>
              </w:rPr>
            </w:pPr>
            <w:r>
              <w:rPr>
                <w:rFonts w:ascii="Arial" w:cs="Arial" w:eastAsia="Arial" w:hAnsi="Arial"/>
                <w:sz w:val="14"/>
                <w:szCs w:val="14"/>
                <w:color w:val="auto"/>
              </w:rPr>
              <w:t>Series F</w:t>
            </w:r>
          </w:p>
        </w:tc>
        <w:tc>
          <w:tcPr>
            <w:tcW w:w="1440" w:type="dxa"/>
            <w:vAlign w:val="bottom"/>
          </w:tcPr>
          <w:p>
            <w:pPr>
              <w:jc w:val="right"/>
              <w:spacing w:after="0"/>
              <w:rPr>
                <w:sz w:val="20"/>
                <w:szCs w:val="20"/>
                <w:color w:val="auto"/>
              </w:rPr>
            </w:pPr>
            <w:r>
              <w:rPr>
                <w:rFonts w:ascii="Arial" w:cs="Arial" w:eastAsia="Arial" w:hAnsi="Arial"/>
                <w:sz w:val="14"/>
                <w:szCs w:val="14"/>
                <w:color w:val="auto"/>
              </w:rPr>
              <w:t>7,938,238</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7,816,435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0.6568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64,087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64,173</w:t>
            </w:r>
          </w:p>
        </w:tc>
        <w:tc>
          <w:tcPr>
            <w:tcW w:w="0" w:type="dxa"/>
            <w:vAlign w:val="bottom"/>
          </w:tcPr>
          <w:p>
            <w:pPr>
              <w:spacing w:after="0"/>
              <w:rPr>
                <w:sz w:val="1"/>
                <w:szCs w:val="1"/>
                <w:color w:val="auto"/>
              </w:rPr>
            </w:pPr>
          </w:p>
        </w:tc>
      </w:tr>
      <w:tr>
        <w:trPr>
          <w:trHeight w:val="17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G</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19,516,000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18,889,279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74,990</w:t>
            </w:r>
          </w:p>
        </w:tc>
        <w:tc>
          <w:tcPr>
            <w:tcW w:w="0" w:type="dxa"/>
            <w:vAlign w:val="bottom"/>
          </w:tcPr>
          <w:p>
            <w:pPr>
              <w:spacing w:after="0"/>
              <w:rPr>
                <w:sz w:val="1"/>
                <w:szCs w:val="1"/>
                <w:color w:val="auto"/>
              </w:rPr>
            </w:pPr>
          </w:p>
        </w:tc>
      </w:tr>
      <w:tr>
        <w:trPr>
          <w:trHeight w:val="179"/>
        </w:trPr>
        <w:tc>
          <w:tcPr>
            <w:tcW w:w="2220" w:type="dxa"/>
            <w:vAlign w:val="bottom"/>
          </w:tcPr>
          <w:p>
            <w:pPr>
              <w:ind w:left="20"/>
              <w:spacing w:after="0" w:line="179" w:lineRule="exact"/>
              <w:rPr>
                <w:sz w:val="20"/>
                <w:szCs w:val="20"/>
                <w:color w:val="auto"/>
              </w:rPr>
            </w:pPr>
            <w:r>
              <w:rPr>
                <w:rFonts w:ascii="Arial" w:cs="Arial" w:eastAsia="Arial" w:hAnsi="Arial"/>
                <w:sz w:val="14"/>
                <w:szCs w:val="14"/>
                <w:color w:val="auto"/>
              </w:rPr>
              <w:t xml:space="preserve">Series G-1 </w:t>
            </w:r>
            <w:r>
              <w:rPr>
                <w:rFonts w:ascii="Arial" w:cs="Arial" w:eastAsia="Arial" w:hAnsi="Arial"/>
                <w:sz w:val="18"/>
                <w:szCs w:val="18"/>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4"/>
                <w:szCs w:val="14"/>
                <w:color w:val="auto"/>
              </w:rPr>
              <w:t>5,034,942</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5,034,942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0.3973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25,956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25,024</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H-1 </w:t>
            </w:r>
            <w:r>
              <w:rPr>
                <w:rFonts w:ascii="Arial" w:cs="Arial" w:eastAsia="Arial" w:hAnsi="Arial"/>
                <w:sz w:val="18"/>
                <w:szCs w:val="18"/>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220" w:type="dxa"/>
            <w:vAlign w:val="bottom"/>
          </w:tcPr>
          <w:p>
            <w:pPr>
              <w:ind w:left="20"/>
              <w:spacing w:after="0" w:line="179" w:lineRule="exact"/>
              <w:rPr>
                <w:sz w:val="20"/>
                <w:szCs w:val="20"/>
                <w:color w:val="auto"/>
              </w:rPr>
            </w:pPr>
            <w:r>
              <w:rPr>
                <w:rFonts w:ascii="Arial" w:cs="Arial" w:eastAsia="Arial" w:hAnsi="Arial"/>
                <w:sz w:val="14"/>
                <w:szCs w:val="14"/>
                <w:color w:val="auto"/>
              </w:rPr>
              <w:t xml:space="preserve">Series H-2 </w:t>
            </w:r>
            <w:r>
              <w:rPr>
                <w:rFonts w:ascii="Arial" w:cs="Arial" w:eastAsia="Arial" w:hAnsi="Arial"/>
                <w:sz w:val="18"/>
                <w:szCs w:val="18"/>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0.7633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85,490,483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69,914,359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229,543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authorized, issued, and outstanding redeemable convertible preferred stock as of July 31, 2025 is as follows (in thousands, except per share and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1"/>
                <w:szCs w:val="11"/>
                <w:b w:val="1"/>
                <w:bCs w:val="1"/>
                <w:color w:val="auto"/>
              </w:rPr>
              <w:t>Per Share</w:t>
            </w: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37"/>
        </w:trPr>
        <w:tc>
          <w:tcPr>
            <w:tcW w:w="2220" w:type="dxa"/>
            <w:vAlign w:val="bottom"/>
          </w:tcPr>
          <w:p>
            <w:pPr>
              <w:spacing w:after="0"/>
              <w:rPr>
                <w:sz w:val="11"/>
                <w:szCs w:val="1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Shares</w:t>
            </w:r>
          </w:p>
        </w:tc>
        <w:tc>
          <w:tcPr>
            <w:tcW w:w="1440" w:type="dxa"/>
            <w:vAlign w:val="bottom"/>
          </w:tcPr>
          <w:p>
            <w:pPr>
              <w:jc w:val="right"/>
              <w:ind w:right="152"/>
              <w:spacing w:after="0"/>
              <w:rPr>
                <w:sz w:val="20"/>
                <w:szCs w:val="20"/>
                <w:color w:val="auto"/>
              </w:rPr>
            </w:pPr>
            <w:r>
              <w:rPr>
                <w:rFonts w:ascii="Arial" w:cs="Arial" w:eastAsia="Arial" w:hAnsi="Arial"/>
                <w:sz w:val="11"/>
                <w:szCs w:val="11"/>
                <w:b w:val="1"/>
                <w:bCs w:val="1"/>
                <w:color w:val="auto"/>
              </w:rPr>
              <w:t>Shares Issued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69"/>
        </w:trPr>
        <w:tc>
          <w:tcPr>
            <w:tcW w:w="22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Authorized</w:t>
            </w:r>
          </w:p>
        </w:tc>
        <w:tc>
          <w:tcPr>
            <w:tcW w:w="144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rPr>
              <w:t>Issuance Price</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Dividend</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Net Carrying Value</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Liquidation Preference</w:t>
            </w:r>
          </w:p>
        </w:tc>
      </w:tr>
      <w:tr>
        <w:trPr>
          <w:trHeight w:val="19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1,350,000</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Series B</w:t>
            </w:r>
          </w:p>
        </w:tc>
        <w:tc>
          <w:tcPr>
            <w:tcW w:w="1440" w:type="dxa"/>
            <w:vAlign w:val="bottom"/>
          </w:tcPr>
          <w:p>
            <w:pPr>
              <w:jc w:val="right"/>
              <w:spacing w:after="0"/>
              <w:rPr>
                <w:sz w:val="20"/>
                <w:szCs w:val="20"/>
                <w:color w:val="auto"/>
              </w:rPr>
            </w:pPr>
            <w:r>
              <w:rPr>
                <w:rFonts w:ascii="Arial" w:cs="Arial" w:eastAsia="Arial" w:hAnsi="Arial"/>
                <w:sz w:val="14"/>
                <w:szCs w:val="14"/>
                <w:color w:val="auto"/>
              </w:rPr>
              <w:t>7,658,874</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7,658,868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2,987</w:t>
            </w:r>
          </w:p>
        </w:tc>
      </w:tr>
      <w:tr>
        <w:trPr>
          <w:trHeight w:val="21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C</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6,169,302</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5,952,858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7,560</w:t>
            </w: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Series D</w:t>
            </w:r>
          </w:p>
        </w:tc>
        <w:tc>
          <w:tcPr>
            <w:tcW w:w="1440" w:type="dxa"/>
            <w:vAlign w:val="bottom"/>
          </w:tcPr>
          <w:p>
            <w:pPr>
              <w:jc w:val="right"/>
              <w:spacing w:after="0"/>
              <w:rPr>
                <w:sz w:val="20"/>
                <w:szCs w:val="20"/>
                <w:color w:val="auto"/>
              </w:rPr>
            </w:pPr>
            <w:r>
              <w:rPr>
                <w:rFonts w:ascii="Arial" w:cs="Arial" w:eastAsia="Arial" w:hAnsi="Arial"/>
                <w:sz w:val="14"/>
                <w:szCs w:val="14"/>
                <w:color w:val="auto"/>
              </w:rPr>
              <w:t>14,431,860</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14,394,992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0.1086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19,577</w:t>
            </w:r>
          </w:p>
        </w:tc>
      </w:tr>
      <w:tr>
        <w:trPr>
          <w:trHeight w:val="21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8,780,133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34,933</w:t>
            </w: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Series F</w:t>
            </w:r>
          </w:p>
        </w:tc>
        <w:tc>
          <w:tcPr>
            <w:tcW w:w="1440" w:type="dxa"/>
            <w:vAlign w:val="bottom"/>
          </w:tcPr>
          <w:p>
            <w:pPr>
              <w:jc w:val="right"/>
              <w:spacing w:after="0"/>
              <w:rPr>
                <w:sz w:val="20"/>
                <w:szCs w:val="20"/>
                <w:color w:val="auto"/>
              </w:rPr>
            </w:pPr>
            <w:r>
              <w:rPr>
                <w:rFonts w:ascii="Arial" w:cs="Arial" w:eastAsia="Arial" w:hAnsi="Arial"/>
                <w:sz w:val="14"/>
                <w:szCs w:val="14"/>
                <w:color w:val="auto"/>
              </w:rPr>
              <w:t>7,938,238</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7,816,435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0.6568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64,087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64,173</w:t>
            </w:r>
          </w:p>
        </w:tc>
      </w:tr>
      <w:tr>
        <w:trPr>
          <w:trHeight w:val="21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G</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19,516,000</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18,889,279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74,990</w:t>
            </w: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 xml:space="preserve">Series G-1 </w:t>
            </w:r>
            <w:r>
              <w:rPr>
                <w:rFonts w:ascii="Arial" w:cs="Arial" w:eastAsia="Arial" w:hAnsi="Arial"/>
                <w:sz w:val="18"/>
                <w:szCs w:val="18"/>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4"/>
                <w:szCs w:val="14"/>
                <w:color w:val="auto"/>
              </w:rPr>
              <w:t>5,034,942</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5,034,942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0.3973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25,956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25,024</w:t>
            </w:r>
          </w:p>
        </w:tc>
      </w:tr>
      <w:tr>
        <w:trPr>
          <w:trHeight w:val="21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H-1 </w:t>
            </w:r>
            <w:r>
              <w:rPr>
                <w:rFonts w:ascii="Arial" w:cs="Arial" w:eastAsia="Arial" w:hAnsi="Arial"/>
                <w:sz w:val="18"/>
                <w:szCs w:val="18"/>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 xml:space="preserve">Series H-2 </w:t>
            </w:r>
            <w:r>
              <w:rPr>
                <w:rFonts w:ascii="Arial" w:cs="Arial" w:eastAsia="Arial" w:hAnsi="Arial"/>
                <w:sz w:val="18"/>
                <w:szCs w:val="18"/>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0.7633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2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85,490,483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69,852,421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229,393</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tabs>
          <w:tab w:leader="none" w:pos="26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Dividend per share per annum when and if declared by the board of directors.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convertible note to purchase shares of Series H-1 and H-2 redeemable convertible preferred stock was paid off in full in March 2024.</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The holders of redeemable convertible preferred stock have various rights and preferences, as follows: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Each share of redeemable convertible preferred stock, except for Series H-2, has voting rights equal to an equivalent number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F-49</w:t>
      </w:r>
    </w:p>
    <w:p>
      <w:pPr>
        <w:sectPr>
          <w:pgSz w:w="11900" w:h="16838" w:orient="portrait"/>
          <w:cols w:equalWidth="0" w:num="1">
            <w:col w:w="11280"/>
          </w:cols>
          <w:pgMar w:left="300" w:top="209" w:right="319" w:bottom="1440" w:gutter="0" w:footer="0" w:header="0"/>
        </w:sectPr>
      </w:pPr>
    </w:p>
    <w:bookmarkStart w:id="320" w:name="page321"/>
    <w:bookmarkEnd w:id="320"/>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Holders of redeemable convertible preferred stock are entitled to receive noncumulative dividends out of funds legally available, prior and in preference to any declaration or payment of any cash dividend on the common stock of the Company. The per annum dividend rate per share is disclosed in the above table.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No dividends on redeemable convertible preferred stock or common stock have been declared since the inception of the Company through July 31, 2025.</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additional dividends or distributions paid in common stock shall be distributed among all holders of common stock and redeemable convertible preferred stock in proportion to the number of shares of common stock that would be held by each such holder if all shares of redeemable convertible preferred stock are converted to common stock at the then-effective conversion rate; provided, however, that holders of a series of stock that does not carry voting rights shall receive such stock dividend in non-voting common stock and holders of series of stock with voting rights shall receive such stock dividend in voting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Redemption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redeemable convertible preferred stock is not mandatorily redeemable at the option of the holder. However, as the redeemable convertible preferred stock is contingently redeemable upon certain deemed liquidation events such as a merger or change in control, which constitute a redemption event outside the Company’s control, all shares of redeemable convertible preferred stock are presented outside of stockholders’ deficit in redeemable convertible preferred stock in the condensed consolidated balance sheets. The Company is not permitted to redeem any shares of redeemable convertible preferred stock or any of its other capital stock in violation of any applicable beneficial ownership limitations or in the event that a regulated stockholder reasonably concludes that such redemption would result in adverse regulatory or reputational consequences to such stockholder.</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Liquidation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Upon any liquidation, dissolution, or winding up of the Company (each, a “Liquidation Event”), whether voluntary or involuntary, and under certain change of control and sale transactions by the Company, holders of redeemable convertible preferred stock will be entitled to receive, prior and in preference to holders of common stock, an amount per share up to the original issue price (as adjusted for any stock dividends, splits, combinations, recapitalizations, and the like) in addition to all declared but unpaid dividends, if any.</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January 31, 2025 and July 31, 2025, no adjustments to the liquidation preferences have been made. If upon occurrence of any such event, the assets and funds of the Company legally available for distribution are insufficient to permit payment of the preferential amounts, then the assets and funds of the Company legally available for distribution shall be distributed ratably among the redeemable convertible preferred stockholders in proportion to the full preferential amount that each such stockholder is otherwise entitled to receive. If there are any available funds and assets remaining after the payment or distribution (or the setting aside for payment or distribution) to the holders of the redeemable convertible preferred stock of their full preferential amounts described above, any remaining assets of the Company legally available for distribution shall be distributed ratably to the holders of common stock.</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Notwithstanding the above, for purposes of determining the amount that each holder of shares of redeemable convertible preferred stock is entitled to receive with respect to a Liquidation Event, each such holder of shares of a series of redeemable convertible preferred stock shall be deemed to have converted (regardless of whether such holder actually converted) such holder’s shares of such series into equal shares of fully paid and nonassessable common stock immediately prior to the liquidation event if, as a result of an actual conversion, such holder would receive, in the aggregate, an amount greater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ectPr>
          <w:pgSz w:w="11900" w:h="16838" w:orient="portrait"/>
          <w:cols w:equalWidth="0" w:num="1">
            <w:col w:w="11280"/>
          </w:cols>
          <w:pgMar w:left="300" w:top="209" w:right="319" w:bottom="1440" w:gutter="0" w:footer="0" w:header="0"/>
        </w:sectPr>
      </w:pPr>
    </w:p>
    <w:bookmarkStart w:id="321" w:name="page322"/>
    <w:bookmarkEnd w:id="321"/>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ind w:right="1040"/>
        <w:spacing w:after="0" w:line="438" w:lineRule="auto"/>
        <w:rPr>
          <w:sz w:val="20"/>
          <w:szCs w:val="20"/>
          <w:color w:val="auto"/>
        </w:rPr>
      </w:pPr>
      <w:r>
        <w:rPr>
          <w:rFonts w:ascii="Arial" w:cs="Arial" w:eastAsia="Arial" w:hAnsi="Arial"/>
          <w:sz w:val="14"/>
          <w:szCs w:val="14"/>
          <w:color w:val="auto"/>
        </w:rPr>
        <w:t xml:space="preserve">the amount that would be distributed to such holder if such holder did not convert such series of redeemable convertible preferred stock into shares of common stock. </w:t>
      </w:r>
      <w:r>
        <w:rPr>
          <w:rFonts w:ascii="Arial" w:cs="Arial" w:eastAsia="Arial" w:hAnsi="Arial"/>
          <w:sz w:val="14"/>
          <w:szCs w:val="14"/>
          <w:b w:val="1"/>
          <w:bCs w:val="1"/>
          <w:color w:val="auto"/>
        </w:rPr>
        <w:t>Conversion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Other than shares of Series H-2 redeemable convertible preferred stock, each share of redeemable convertible preferred stock outstanding is convertible at the option of the holder thereof into one share of common stock at any time or from time to time prior to the date fixed for redemption of such share, subject to certain beneficial ownership limitations applicable to the Series H-1 redeemable convertible preferred stock.</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Each outstanding share of redeemable convertible preferred stock, other than Series H-2, will automatically convert into one fully paid and nonassessable share of voting common stock immediately prior to the closing of an IPO that results in aggregate net proceeds to the Company of at least $35.0 million.</w:t>
      </w:r>
    </w:p>
    <w:p>
      <w:pPr>
        <w:spacing w:after="0" w:line="79" w:lineRule="exact"/>
        <w:rPr>
          <w:sz w:val="20"/>
          <w:szCs w:val="20"/>
          <w:color w:val="auto"/>
        </w:rPr>
      </w:pPr>
    </w:p>
    <w:p>
      <w:pPr>
        <w:ind w:left="500" w:hanging="496"/>
        <w:spacing w:after="0"/>
        <w:tabs>
          <w:tab w:leader="none" w:pos="500"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January 31, 2025 and July 31, 2025, the Company was authorized to issue 214,611,134 shares of common stock, with a par value of $0.0001 per share. Each share of voting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to dividends, and subject to beneficial ownership limitations applicable to certain regulated stockholders. No dividends have been declared by the board of directors from the Company’s inception through July 31, 2025.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Reserved for Future Issuance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At January 31, 2025 and July 31, 2025, the Company reserved the following shares of common stock for issuance: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60" w:type="dxa"/>
            <w:vAlign w:val="bottom"/>
          </w:tcPr>
          <w:p>
            <w:pPr>
              <w:spacing w:after="0"/>
              <w:rPr>
                <w:sz w:val="13"/>
                <w:szCs w:val="13"/>
                <w:color w:val="auto"/>
              </w:rPr>
            </w:pPr>
          </w:p>
        </w:tc>
        <w:tc>
          <w:tcPr>
            <w:tcW w:w="1660" w:type="dxa"/>
            <w:vAlign w:val="bottom"/>
            <w:gridSpan w:val="2"/>
          </w:tcPr>
          <w:p>
            <w:pPr>
              <w:ind w:left="480"/>
              <w:spacing w:after="0"/>
              <w:rPr>
                <w:sz w:val="20"/>
                <w:szCs w:val="20"/>
                <w:color w:val="auto"/>
              </w:rPr>
            </w:pPr>
            <w:r>
              <w:rPr>
                <w:rFonts w:ascii="Arial" w:cs="Arial" w:eastAsia="Arial" w:hAnsi="Arial"/>
                <w:sz w:val="11"/>
                <w:szCs w:val="11"/>
                <w:b w:val="1"/>
                <w:bCs w:val="1"/>
                <w:color w:val="auto"/>
              </w:rPr>
              <w:t>January 31,</w:t>
            </w:r>
          </w:p>
        </w:tc>
        <w:tc>
          <w:tcPr>
            <w:tcW w:w="1560" w:type="dxa"/>
            <w:vAlign w:val="bottom"/>
          </w:tcPr>
          <w:p>
            <w:pPr>
              <w:jc w:val="right"/>
              <w:ind w:right="513"/>
              <w:spacing w:after="0"/>
              <w:rPr>
                <w:sz w:val="20"/>
                <w:szCs w:val="20"/>
                <w:color w:val="auto"/>
              </w:rPr>
            </w:pPr>
            <w:r>
              <w:rPr>
                <w:rFonts w:ascii="Arial" w:cs="Arial" w:eastAsia="Arial" w:hAnsi="Arial"/>
                <w:sz w:val="11"/>
                <w:szCs w:val="11"/>
                <w:b w:val="1"/>
                <w:bCs w:val="1"/>
                <w:color w:val="auto"/>
              </w:rPr>
              <w:t>July 31,</w:t>
            </w:r>
          </w:p>
        </w:tc>
      </w:tr>
      <w:tr>
        <w:trPr>
          <w:trHeight w:val="158"/>
        </w:trPr>
        <w:tc>
          <w:tcPr>
            <w:tcW w:w="8060" w:type="dxa"/>
            <w:vAlign w:val="bottom"/>
          </w:tcPr>
          <w:p>
            <w:pPr>
              <w:spacing w:after="0"/>
              <w:rPr>
                <w:sz w:val="13"/>
                <w:szCs w:val="13"/>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156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r>
      <w:tr>
        <w:trPr>
          <w:trHeight w:val="169"/>
        </w:trPr>
        <w:tc>
          <w:tcPr>
            <w:tcW w:w="8060" w:type="dxa"/>
            <w:vAlign w:val="bottom"/>
          </w:tcPr>
          <w:p>
            <w:pPr>
              <w:ind w:left="20"/>
              <w:spacing w:after="0" w:line="170" w:lineRule="exact"/>
              <w:rPr>
                <w:sz w:val="20"/>
                <w:szCs w:val="20"/>
                <w:color w:val="auto"/>
              </w:rPr>
            </w:pPr>
            <w:r>
              <w:rPr>
                <w:rFonts w:ascii="Arial" w:cs="Arial" w:eastAsia="Arial" w:hAnsi="Arial"/>
                <w:sz w:val="14"/>
                <w:szCs w:val="14"/>
                <w:color w:val="auto"/>
              </w:rPr>
              <w:t xml:space="preserve">Redeemable convertible preferred stock, all series </w:t>
            </w:r>
            <w:r>
              <w:rPr>
                <w:rFonts w:ascii="Arial" w:cs="Arial" w:eastAsia="Arial" w:hAnsi="Arial"/>
                <w:sz w:val="18"/>
                <w:szCs w:val="18"/>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4"/>
                <w:szCs w:val="14"/>
                <w:color w:val="auto"/>
              </w:rPr>
              <w:t>84,525,493</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84,463,555</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G redeemable convertible preferred stock warrant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251,750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251,750</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580" w:type="dxa"/>
            <w:vAlign w:val="bottom"/>
          </w:tcPr>
          <w:p>
            <w:pPr>
              <w:jc w:val="right"/>
              <w:spacing w:after="0"/>
              <w:rPr>
                <w:sz w:val="20"/>
                <w:szCs w:val="20"/>
                <w:color w:val="auto"/>
              </w:rPr>
            </w:pPr>
            <w:r>
              <w:rPr>
                <w:rFonts w:ascii="Arial" w:cs="Arial" w:eastAsia="Arial" w:hAnsi="Arial"/>
                <w:sz w:val="14"/>
                <w:szCs w:val="14"/>
                <w:color w:val="auto"/>
              </w:rPr>
              <w:t>1,701,713</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1,701,713</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stock awards issued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62,903,172</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62,962,117</w:t>
            </w: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Authorized for future stock awards or stock options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5,795,839</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3,564,272</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shares of common stock reserved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155,177,967</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152,943,407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  Includes Series H-2 redeemable convertible preferred stock, which is convertible into shares of nonvoting common stock.</w:t>
      </w:r>
    </w:p>
    <w:p>
      <w:pPr>
        <w:spacing w:after="0" w:line="108" w:lineRule="exact"/>
        <w:rPr>
          <w:sz w:val="20"/>
          <w:szCs w:val="20"/>
          <w:color w:val="auto"/>
        </w:rPr>
      </w:pPr>
    </w:p>
    <w:p>
      <w:pPr>
        <w:ind w:left="500" w:hanging="496"/>
        <w:spacing w:after="0"/>
        <w:tabs>
          <w:tab w:leader="none" w:pos="500" w:val="left"/>
        </w:tabs>
        <w:numPr>
          <w:ilvl w:val="0"/>
          <w:numId w:val="165"/>
        </w:numPr>
        <w:rPr>
          <w:rFonts w:ascii="Arial" w:cs="Arial" w:eastAsia="Arial" w:hAnsi="Arial"/>
          <w:sz w:val="14"/>
          <w:szCs w:val="14"/>
          <w:b w:val="1"/>
          <w:bCs w:val="1"/>
          <w:color w:val="auto"/>
        </w:rPr>
      </w:pPr>
      <w:r>
        <w:rPr>
          <w:rFonts w:ascii="Arial" w:cs="Arial" w:eastAsia="Arial" w:hAnsi="Arial"/>
          <w:sz w:val="14"/>
          <w:szCs w:val="14"/>
          <w:b w:val="1"/>
          <w:bCs w:val="1"/>
          <w:color w:val="auto"/>
        </w:rPr>
        <w:t>Warrants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Equity-Classified Warrants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From 2019 to 2023, the Company issued warrants to purchase an aggregate of 1,641,713 shares of common stock with a weighted-average exercise price of $2.60. All warrants expire 10 years from the date of grant. As of July 31, 2025, none of the equity-classified warrants had vested or been exercised.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Liability-Classified Warrants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warrant liabilities are included in other noncurrent liabilities in the condensed consolidated balance sheets. The fair value of the warrants is remeasured at the end of every reporting period, with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F-51</w:t>
      </w:r>
    </w:p>
    <w:p>
      <w:pPr>
        <w:sectPr>
          <w:pgSz w:w="11900" w:h="16838" w:orient="portrait"/>
          <w:cols w:equalWidth="0" w:num="1">
            <w:col w:w="11280"/>
          </w:cols>
          <w:pgMar w:left="300" w:top="209" w:right="319" w:bottom="1440" w:gutter="0" w:footer="0" w:header="0"/>
        </w:sectPr>
      </w:pPr>
    </w:p>
    <w:bookmarkStart w:id="322" w:name="page323"/>
    <w:bookmarkEnd w:id="322"/>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changes in fair value during the period recorded as a component of other income, net in the condensed consolidated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 Warrant</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April 2020, the Company issued a warrant to purchase 60,000 shares of common stock at an exercise price of $1.16 per share. At January 31, 2025 and July 31, 2025, warrant was recorded at fair value of approximately $0.8 million and $0.9 million, respectively. The warrant expires in April 2030.</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common stock warrant was estimated using the BSM option-pricing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80" w:type="dxa"/>
            <w:vAlign w:val="bottom"/>
          </w:tcPr>
          <w:p>
            <w:pPr>
              <w:spacing w:after="0"/>
              <w:rPr>
                <w:sz w:val="13"/>
                <w:szCs w:val="13"/>
                <w:color w:val="auto"/>
              </w:rPr>
            </w:pPr>
          </w:p>
        </w:tc>
        <w:tc>
          <w:tcPr>
            <w:tcW w:w="1140" w:type="dxa"/>
            <w:vAlign w:val="bottom"/>
          </w:tcPr>
          <w:p>
            <w:pPr>
              <w:jc w:val="center"/>
              <w:ind w:left="459"/>
              <w:spacing w:after="0"/>
              <w:rPr>
                <w:sz w:val="20"/>
                <w:szCs w:val="20"/>
                <w:color w:val="auto"/>
              </w:rPr>
            </w:pPr>
            <w:r>
              <w:rPr>
                <w:rFonts w:ascii="Arial" w:cs="Arial" w:eastAsia="Arial" w:hAnsi="Arial"/>
                <w:sz w:val="11"/>
                <w:szCs w:val="11"/>
                <w:b w:val="1"/>
                <w:bCs w:val="1"/>
                <w:color w:val="auto"/>
              </w:rPr>
              <w:t>January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554"/>
              <w:spacing w:after="0"/>
              <w:rPr>
                <w:sz w:val="20"/>
                <w:szCs w:val="20"/>
                <w:color w:val="auto"/>
              </w:rPr>
            </w:pPr>
            <w:r>
              <w:rPr>
                <w:rFonts w:ascii="Arial" w:cs="Arial" w:eastAsia="Arial" w:hAnsi="Arial"/>
                <w:sz w:val="11"/>
                <w:szCs w:val="11"/>
                <w:b w:val="1"/>
                <w:bCs w:val="1"/>
                <w:color w:val="auto"/>
              </w:rPr>
              <w:t>July 31,</w:t>
            </w:r>
          </w:p>
        </w:tc>
      </w:tr>
      <w:tr>
        <w:trPr>
          <w:trHeight w:val="158"/>
        </w:trPr>
        <w:tc>
          <w:tcPr>
            <w:tcW w:w="78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2025</w:t>
            </w:r>
          </w:p>
        </w:tc>
      </w:tr>
      <w:tr>
        <w:trPr>
          <w:trHeight w:val="16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5.24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4.74</w:t>
            </w:r>
          </w:p>
        </w:tc>
      </w:tr>
      <w:tr>
        <w:trPr>
          <w:trHeight w:val="179"/>
        </w:trPr>
        <w:tc>
          <w:tcPr>
            <w:tcW w:w="78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54.40 %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54.50 %</w:t>
            </w:r>
          </w:p>
        </w:tc>
      </w:tr>
      <w:tr>
        <w:trPr>
          <w:trHeight w:val="17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r>
      <w:tr>
        <w:trPr>
          <w:trHeight w:val="179"/>
        </w:trPr>
        <w:tc>
          <w:tcPr>
            <w:tcW w:w="788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11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7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14.04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16.20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Series G Warrant</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January 31, 2025 and July 31, 2025, a warrant to purchase 251,750 shares of Series G redeemable convertible preferred stock (the “Series G Warrant”) at an exercise price of $3.97 was outstanding with a fair value of $2.7 million and $3.0 million, respectively. The Series G Warrant is immediately exercisable and expires five years from the effective date of an IPO.</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Series G Warrant was estimated using the BSM option-pricing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80" w:type="dxa"/>
            <w:vAlign w:val="bottom"/>
          </w:tcPr>
          <w:p>
            <w:pPr>
              <w:spacing w:after="0"/>
              <w:rPr>
                <w:sz w:val="13"/>
                <w:szCs w:val="13"/>
                <w:color w:val="auto"/>
              </w:rPr>
            </w:pPr>
          </w:p>
        </w:tc>
        <w:tc>
          <w:tcPr>
            <w:tcW w:w="1140" w:type="dxa"/>
            <w:vAlign w:val="bottom"/>
          </w:tcPr>
          <w:p>
            <w:pPr>
              <w:jc w:val="center"/>
              <w:ind w:left="459"/>
              <w:spacing w:after="0"/>
              <w:rPr>
                <w:sz w:val="20"/>
                <w:szCs w:val="20"/>
                <w:color w:val="auto"/>
              </w:rPr>
            </w:pPr>
            <w:r>
              <w:rPr>
                <w:rFonts w:ascii="Arial" w:cs="Arial" w:eastAsia="Arial" w:hAnsi="Arial"/>
                <w:sz w:val="11"/>
                <w:szCs w:val="11"/>
                <w:b w:val="1"/>
                <w:bCs w:val="1"/>
                <w:color w:val="auto"/>
              </w:rPr>
              <w:t>January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554"/>
              <w:spacing w:after="0"/>
              <w:rPr>
                <w:sz w:val="20"/>
                <w:szCs w:val="20"/>
                <w:color w:val="auto"/>
              </w:rPr>
            </w:pPr>
            <w:r>
              <w:rPr>
                <w:rFonts w:ascii="Arial" w:cs="Arial" w:eastAsia="Arial" w:hAnsi="Arial"/>
                <w:sz w:val="11"/>
                <w:szCs w:val="11"/>
                <w:b w:val="1"/>
                <w:bCs w:val="1"/>
                <w:color w:val="auto"/>
              </w:rPr>
              <w:t>July 31,</w:t>
            </w:r>
          </w:p>
        </w:tc>
      </w:tr>
      <w:tr>
        <w:trPr>
          <w:trHeight w:val="158"/>
        </w:trPr>
        <w:tc>
          <w:tcPr>
            <w:tcW w:w="78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2025</w:t>
            </w:r>
          </w:p>
        </w:tc>
      </w:tr>
      <w:tr>
        <w:trPr>
          <w:trHeight w:val="16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5.00</w:t>
            </w:r>
          </w:p>
        </w:tc>
      </w:tr>
      <w:tr>
        <w:trPr>
          <w:trHeight w:val="179"/>
        </w:trPr>
        <w:tc>
          <w:tcPr>
            <w:tcW w:w="78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53.40 %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53.80 %</w:t>
            </w:r>
          </w:p>
        </w:tc>
      </w:tr>
      <w:tr>
        <w:trPr>
          <w:trHeight w:val="17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r>
      <w:tr>
        <w:trPr>
          <w:trHeight w:val="179"/>
        </w:trPr>
        <w:tc>
          <w:tcPr>
            <w:tcW w:w="788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11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7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Series G redeemable convertible preferred stock</w:t>
            </w: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16.15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17.78</w:t>
            </w:r>
          </w:p>
        </w:tc>
      </w:tr>
    </w:tbl>
    <w:p>
      <w:pPr>
        <w:spacing w:after="0" w:line="175" w:lineRule="exact"/>
        <w:rPr>
          <w:sz w:val="20"/>
          <w:szCs w:val="20"/>
          <w:color w:val="auto"/>
        </w:rPr>
      </w:pPr>
    </w:p>
    <w:p>
      <w:pPr>
        <w:ind w:left="540" w:hanging="536"/>
        <w:spacing w:after="0"/>
        <w:tabs>
          <w:tab w:leader="none" w:pos="540" w:val="left"/>
        </w:tabs>
        <w:numPr>
          <w:ilvl w:val="0"/>
          <w:numId w:val="166"/>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January 2008, the Company adopted the 2008 Employee Incentive Plan (the “2008 Plan”), which was most recently amended in October 2017 and subsequently terminated in connection with the adoption of the Company’s 2017 Plan (as defined below). The 2008 Plan allowed stock options to be granted to Company employees, officers, directors, advisors, consultants, and other service providers as either incentive stock options (“ISOs”) or non-statutory stock options (“NSOs”). ISOs could be granted only to the Company’s employees. NSOs could be granted to the Company’s service providers who were not employees.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Under the 2008 Plan, options could be granted for terms no longer than 10 years from the date of the grant. In the case of an ISO grant to an optionee who, at the time the option is granted, owned stock representing more than 10% of the voting power of all classes of stock of the Company or any parent or subsidiary, the term of the option was five years from the date of grant. ISOs and NSOs generally vested at a rate of 25% on the first anniversary of the grant date and then ratably over the next three years.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ectPr>
          <w:pgSz w:w="11900" w:h="16838" w:orient="portrait"/>
          <w:cols w:equalWidth="0" w:num="1">
            <w:col w:w="11280"/>
          </w:cols>
          <w:pgMar w:left="300" w:top="209" w:right="319" w:bottom="1440" w:gutter="0" w:footer="0" w:header="0"/>
        </w:sectPr>
      </w:pPr>
    </w:p>
    <w:bookmarkStart w:id="323" w:name="page324"/>
    <w:bookmarkEnd w:id="323"/>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termination of employment, any unvested shares were automatically returned to the Company. Those shares were added back to the plan and made available for future grants. The 2008 Plan was terminated in 2017, but the awards granted previously still vest. At January 31, 2025 and July 31, 2025, no shares from the 2008 Plan remained available for future grants.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December 2017, the Company adopted the 2017 Employee Incentive Plan (the “2017 Plan” and, together with 2008 Plan, the “Plans”). The 2017 Plan allows stock options to be granted to Company employees, officers, directors, advisors, consultants, and other service providers as either stock options, restricted stock awards, restricted stock units (“RSUs”), stock appreciation rights, and other equity awards. The 2017 Plan was initially adopted with substantively similar plan features as the 2008 Plan. In August 2018, the 2017 Plan was amended to extend the post-termination exercise period for vested awards, other than terminations for cause, to up to 10 years. At January 31, 2025 and July 31, 2025, 5,795,839 and 3,564,272 shares respectively, from the 2017 Plan remained available for future grants.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accordance with the Plans, the exercise price of an ISO and NSO shall not be less than 100% of the estimated fair value of the shares on the date of grant unless expressly determined in writing by the board of directors or its designated committee, and the exercise price of an ISO granted to a 10% stockholder shall not be less than 110% of the estimated fair value of the shares on the date of grant.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 summary of stock option activity as of and for the six months ended July 31, 2025 under the Plans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Number of Options</w:t>
            </w:r>
          </w:p>
        </w:tc>
        <w:tc>
          <w:tcPr>
            <w:tcW w:w="164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Weighted Average Exercise</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 Average</w:t>
            </w:r>
          </w:p>
        </w:tc>
        <w:tc>
          <w:tcPr>
            <w:tcW w:w="100" w:type="dxa"/>
            <w:vAlign w:val="bottom"/>
          </w:tcPr>
          <w:p>
            <w:pPr>
              <w:spacing w:after="0"/>
              <w:rPr>
                <w:sz w:val="10"/>
                <w:szCs w:val="10"/>
                <w:color w:val="auto"/>
              </w:rPr>
            </w:pPr>
          </w:p>
        </w:tc>
        <w:tc>
          <w:tcPr>
            <w:tcW w:w="1460" w:type="dxa"/>
            <w:vAlign w:val="bottom"/>
          </w:tcPr>
          <w:p>
            <w:pPr>
              <w:jc w:val="center"/>
              <w:ind w:right="35"/>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11"/>
        </w:trPr>
        <w:tc>
          <w:tcPr>
            <w:tcW w:w="4760" w:type="dxa"/>
            <w:vAlign w:val="bottom"/>
          </w:tcPr>
          <w:p>
            <w:pPr>
              <w:spacing w:after="0"/>
              <w:rPr>
                <w:sz w:val="9"/>
                <w:szCs w:val="9"/>
                <w:color w:val="auto"/>
              </w:rPr>
            </w:pPr>
          </w:p>
        </w:tc>
        <w:tc>
          <w:tcPr>
            <w:tcW w:w="1660" w:type="dxa"/>
            <w:vAlign w:val="bottom"/>
            <w:gridSpan w:val="2"/>
          </w:tcPr>
          <w:p>
            <w:pPr>
              <w:jc w:val="center"/>
              <w:ind w:right="80"/>
              <w:spacing w:after="0" w:line="112" w:lineRule="exact"/>
              <w:rPr>
                <w:sz w:val="20"/>
                <w:szCs w:val="20"/>
                <w:color w:val="auto"/>
              </w:rPr>
            </w:pPr>
            <w:r>
              <w:rPr>
                <w:rFonts w:ascii="Arial" w:cs="Arial" w:eastAsia="Arial" w:hAnsi="Arial"/>
                <w:sz w:val="11"/>
                <w:szCs w:val="11"/>
                <w:b w:val="1"/>
                <w:bCs w:val="1"/>
                <w:color w:val="auto"/>
              </w:rPr>
              <w:t>Outstanding Under the</w:t>
            </w:r>
          </w:p>
        </w:tc>
        <w:tc>
          <w:tcPr>
            <w:tcW w:w="1640" w:type="dxa"/>
            <w:vAlign w:val="bottom"/>
            <w:gridSpan w:val="3"/>
            <w:vMerge w:val="continue"/>
          </w:tcPr>
          <w:p>
            <w:pPr>
              <w:spacing w:after="0"/>
              <w:rPr>
                <w:sz w:val="9"/>
                <w:szCs w:val="9"/>
                <w:color w:val="auto"/>
              </w:rPr>
            </w:pPr>
          </w:p>
        </w:tc>
        <w:tc>
          <w:tcPr>
            <w:tcW w:w="1660" w:type="dxa"/>
            <w:vAlign w:val="bottom"/>
            <w:gridSpan w:val="2"/>
          </w:tcPr>
          <w:p>
            <w:pPr>
              <w:jc w:val="center"/>
              <w:ind w:right="80"/>
              <w:spacing w:after="0" w:line="112" w:lineRule="exact"/>
              <w:rPr>
                <w:sz w:val="20"/>
                <w:szCs w:val="20"/>
                <w:color w:val="auto"/>
              </w:rPr>
            </w:pPr>
            <w:r>
              <w:rPr>
                <w:rFonts w:ascii="Arial" w:cs="Arial" w:eastAsia="Arial" w:hAnsi="Arial"/>
                <w:sz w:val="11"/>
                <w:szCs w:val="11"/>
                <w:b w:val="1"/>
                <w:bCs w:val="1"/>
                <w:color w:val="auto"/>
              </w:rPr>
              <w:t>Remaining Contractual</w:t>
            </w:r>
          </w:p>
        </w:tc>
        <w:tc>
          <w:tcPr>
            <w:tcW w:w="100" w:type="dxa"/>
            <w:vAlign w:val="bottom"/>
          </w:tcPr>
          <w:p>
            <w:pPr>
              <w:spacing w:after="0"/>
              <w:rPr>
                <w:sz w:val="9"/>
                <w:szCs w:val="9"/>
                <w:color w:val="auto"/>
              </w:rPr>
            </w:pPr>
          </w:p>
        </w:tc>
        <w:tc>
          <w:tcPr>
            <w:tcW w:w="1460" w:type="dxa"/>
            <w:vAlign w:val="bottom"/>
          </w:tcPr>
          <w:p>
            <w:pPr>
              <w:jc w:val="center"/>
              <w:ind w:right="75"/>
              <w:spacing w:after="0" w:line="112" w:lineRule="exact"/>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Plans</w:t>
            </w:r>
          </w:p>
        </w:tc>
        <w:tc>
          <w:tcPr>
            <w:tcW w:w="360" w:type="dxa"/>
            <w:vAlign w:val="bottom"/>
          </w:tcPr>
          <w:p>
            <w:pPr>
              <w:spacing w:after="0"/>
              <w:rPr>
                <w:sz w:val="12"/>
                <w:szCs w:val="12"/>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Price</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Term (Years)</w:t>
            </w:r>
          </w:p>
        </w:tc>
        <w:tc>
          <w:tcPr>
            <w:tcW w:w="100" w:type="dxa"/>
            <w:vAlign w:val="bottom"/>
          </w:tcPr>
          <w:p>
            <w:pPr>
              <w:spacing w:after="0"/>
              <w:rPr>
                <w:sz w:val="12"/>
                <w:szCs w:val="12"/>
                <w:color w:val="auto"/>
              </w:rPr>
            </w:pPr>
          </w:p>
        </w:tc>
        <w:tc>
          <w:tcPr>
            <w:tcW w:w="1460" w:type="dxa"/>
            <w:vAlign w:val="bottom"/>
          </w:tcPr>
          <w:p>
            <w:pPr>
              <w:jc w:val="center"/>
              <w:ind w:right="35"/>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31,132,993</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376,555</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Exercised</w:t>
            </w:r>
          </w:p>
        </w:tc>
        <w:tc>
          <w:tcPr>
            <w:tcW w:w="1580" w:type="dxa"/>
            <w:vAlign w:val="bottom"/>
          </w:tcPr>
          <w:p>
            <w:pPr>
              <w:jc w:val="right"/>
              <w:spacing w:after="0"/>
              <w:rPr>
                <w:sz w:val="20"/>
                <w:szCs w:val="20"/>
                <w:color w:val="auto"/>
              </w:rPr>
            </w:pPr>
            <w:r>
              <w:rPr>
                <w:rFonts w:ascii="Arial" w:cs="Arial" w:eastAsia="Arial" w:hAnsi="Arial"/>
                <w:sz w:val="14"/>
                <w:szCs w:val="14"/>
                <w:color w:val="auto"/>
              </w:rPr>
              <w:t>(2,196,798)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(672,415)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July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28,244,405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403,755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760" w:type="dxa"/>
            <w:vAlign w:val="bottom"/>
          </w:tcPr>
          <w:p>
            <w:pPr>
              <w:ind w:left="20"/>
              <w:spacing w:after="0" w:line="141" w:lineRule="exact"/>
              <w:rPr>
                <w:sz w:val="20"/>
                <w:szCs w:val="20"/>
                <w:color w:val="auto"/>
              </w:rPr>
            </w:pPr>
            <w:r>
              <w:rPr>
                <w:rFonts w:ascii="Arial" w:cs="Arial" w:eastAsia="Arial" w:hAnsi="Arial"/>
                <w:sz w:val="14"/>
                <w:szCs w:val="14"/>
                <w:color w:val="auto"/>
              </w:rPr>
              <w:t>Exercisable at July 31, 2025</w:t>
            </w:r>
          </w:p>
        </w:tc>
        <w:tc>
          <w:tcPr>
            <w:tcW w:w="1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28,114,533</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13"/>
              <w:spacing w:after="0" w:line="141"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1.90</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402,029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60" w:type="dxa"/>
            <w:vAlign w:val="bottom"/>
            <w:gridSpan w:val="6"/>
          </w:tcPr>
          <w:p>
            <w:pPr>
              <w:spacing w:after="0"/>
              <w:rPr>
                <w:sz w:val="20"/>
                <w:szCs w:val="20"/>
                <w:color w:val="auto"/>
              </w:rPr>
            </w:pPr>
            <w:r>
              <w:rPr>
                <w:rFonts w:ascii="Arial" w:cs="Arial" w:eastAsia="Arial" w:hAnsi="Arial"/>
                <w:sz w:val="14"/>
                <w:szCs w:val="14"/>
                <w:color w:val="auto"/>
              </w:rPr>
              <w:t>*The Plans allow for early exercise of stock options and exercised/forfeited balances include only vested stock options exercised.</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2"/>
                <w:szCs w:val="22"/>
                <w:color w:val="auto"/>
              </w:rPr>
            </w:pPr>
          </w:p>
        </w:tc>
        <w:tc>
          <w:tcPr>
            <w:tcW w:w="1460" w:type="dxa"/>
            <w:vAlign w:val="bottom"/>
          </w:tcPr>
          <w:p>
            <w:pPr>
              <w:jc w:val="center"/>
              <w:ind w:right="15"/>
              <w:spacing w:after="0"/>
              <w:rPr>
                <w:sz w:val="20"/>
                <w:szCs w:val="20"/>
                <w:color w:val="auto"/>
              </w:rPr>
            </w:pPr>
            <w:r>
              <w:rPr>
                <w:rFonts w:ascii="Arial" w:cs="Arial" w:eastAsia="Arial" w:hAnsi="Arial"/>
                <w:sz w:val="11"/>
                <w:szCs w:val="11"/>
                <w:b w:val="1"/>
                <w:bCs w:val="1"/>
                <w:color w:val="auto"/>
              </w:rPr>
              <w:t>Weighted-Average Grant-</w:t>
            </w:r>
          </w:p>
        </w:tc>
        <w:tc>
          <w:tcPr>
            <w:tcW w:w="0" w:type="dxa"/>
            <w:vAlign w:val="bottom"/>
          </w:tcPr>
          <w:p>
            <w:pPr>
              <w:spacing w:after="0"/>
              <w:rPr>
                <w:sz w:val="1"/>
                <w:szCs w:val="1"/>
                <w:color w:val="auto"/>
              </w:rPr>
            </w:pPr>
          </w:p>
        </w:tc>
      </w:tr>
      <w:tr>
        <w:trPr>
          <w:trHeight w:val="147"/>
        </w:trPr>
        <w:tc>
          <w:tcPr>
            <w:tcW w:w="476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January 31, 2025</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Vested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(159,246)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color w:val="auto"/>
              </w:rPr>
              <w:t>Unvested at July 31, 2025</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129,872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July 31, 2025, unrecognized stock-based compensation expense related to unvested stock options was $0.6 million, which is expected to be recognized over a weighted-average period of 1.1 years.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ectPr>
          <w:pgSz w:w="11900" w:h="16838" w:orient="portrait"/>
          <w:cols w:equalWidth="0" w:num="1">
            <w:col w:w="11280"/>
          </w:cols>
          <w:pgMar w:left="300" w:top="209" w:right="319" w:bottom="1440" w:gutter="0" w:footer="0" w:header="0"/>
        </w:sectPr>
      </w:pPr>
    </w:p>
    <w:bookmarkStart w:id="324" w:name="page325"/>
    <w:bookmarkEnd w:id="324"/>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No options were granted during the three and six months ended July 31, 2024 and 2025.</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Early Exercise of Unvested Options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the Plans, employees are offered the option to elect early exercise of their stock options prior to vesting. The Company has the right to repurchase any unvested (but issued) shares of common stock upon termination of service of an employee, either voluntarily or involuntarily, at the lower of: (i) the exercise price paid per share or (ii) the fair market value per share of common stock at the time of the employee’s termination. The consideration received for early exercise of a stock option is initially recorded as a liability and is reclassified to stockholders’ deficit as the stock options vest. As of January 31, 2025, the Company recorded immaterial liabilities for 1,519,220 unvested shares that were early exercised by employees and subject to repurchase. As of July 31, 2025, the Company did not have unvested shares that were early exercised by employees and subject to repurchase.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Modification of Stock Options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has, from time to time, modified the terms of stock options granted to its employees. The Company accounts for the incremental increase in the fair value over the original award on the date of the modification as an expense for vested awards or over the remaining service (vesting) period for unvested awards. The incremental compensation cost is the excess of the fair value-based measure of the modified award on the date of modification over the fair value of the original award immediately before the modification.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and six months ended July 31, 2024 and 2025, the Company did not have any modification of 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Units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RSUs are issued at no cost to the recipient and can be settled only in shares after the RSUs have vested. RSUs do not provide the holder with voting rights or cash dividends. The majority of RSUs vest upon satisfaction of time-based service and performance-based conditions (“dual-trigger RSUs”). During the three and six months ended July 31, 2024 and 2025, no stock-based compensation expense was recognized for dual-trigger RSUs as the performance condition, the occurrence of a qualifying event such as an IPO, was not probable.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 summary of RSU activity for the six months ended July 31, 2025 under the Plans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10"/>
                <w:szCs w:val="10"/>
                <w:color w:val="auto"/>
              </w:rPr>
            </w:pPr>
          </w:p>
        </w:tc>
        <w:tc>
          <w:tcPr>
            <w:tcW w:w="1460" w:type="dxa"/>
            <w:vAlign w:val="bottom"/>
          </w:tcPr>
          <w:p>
            <w:pPr>
              <w:jc w:val="right"/>
              <w:ind w:right="54"/>
              <w:spacing w:after="0"/>
              <w:rPr>
                <w:sz w:val="20"/>
                <w:szCs w:val="20"/>
                <w:color w:val="auto"/>
              </w:rPr>
            </w:pPr>
            <w:r>
              <w:rPr>
                <w:rFonts w:ascii="Arial" w:cs="Arial" w:eastAsia="Arial" w:hAnsi="Arial"/>
                <w:sz w:val="11"/>
                <w:szCs w:val="11"/>
                <w:b w:val="1"/>
                <w:bCs w:val="1"/>
                <w:color w:val="auto"/>
              </w:rPr>
              <w:t>Weighted Average Grant</w:t>
            </w:r>
          </w:p>
        </w:tc>
        <w:tc>
          <w:tcPr>
            <w:tcW w:w="0" w:type="dxa"/>
            <w:vAlign w:val="bottom"/>
          </w:tcPr>
          <w:p>
            <w:pPr>
              <w:spacing w:after="0"/>
              <w:rPr>
                <w:sz w:val="1"/>
                <w:szCs w:val="1"/>
                <w:color w:val="auto"/>
              </w:rPr>
            </w:pPr>
          </w:p>
        </w:tc>
      </w:tr>
      <w:tr>
        <w:trPr>
          <w:trHeight w:val="143"/>
        </w:trPr>
        <w:tc>
          <w:tcPr>
            <w:tcW w:w="80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314"/>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6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31,294,850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3,762,419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(812,886)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July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34,242,383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July 31, 2025, unrecognized stock-based compensation expense related to unvested RSUs was $308.6 million, which is expected to be recognized over a weighted-average period of 1.6 years.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F-54</w:t>
      </w:r>
    </w:p>
    <w:p>
      <w:pPr>
        <w:sectPr>
          <w:pgSz w:w="11900" w:h="16838" w:orient="portrait"/>
          <w:cols w:equalWidth="0" w:num="1">
            <w:col w:w="11280"/>
          </w:cols>
          <w:pgMar w:left="300" w:top="209" w:right="319" w:bottom="1440" w:gutter="0" w:footer="0" w:header="0"/>
        </w:sectPr>
      </w:pPr>
    </w:p>
    <w:bookmarkStart w:id="325" w:name="page326"/>
    <w:bookmarkEnd w:id="325"/>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Allocation of Stock-Based Compensation</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Stock-based compensation expense recognized in the condensed consolidated statements of operations for the three and six months ended July 31, 2024 and 2025 was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1"/>
                <w:szCs w:val="11"/>
                <w:b w:val="1"/>
                <w:bCs w:val="1"/>
                <w:color w:val="auto"/>
              </w:rPr>
              <w:t>Three Months Ended July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7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640</w:t>
            </w: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7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Operations and support</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Capitalized stock-based compensation expense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(526)</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(1,108)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 net of amounts capitalized</w:t>
            </w:r>
          </w:p>
        </w:tc>
        <w:tc>
          <w:tcPr>
            <w:tcW w:w="104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500" w:hanging="496"/>
        <w:spacing w:after="0"/>
        <w:tabs>
          <w:tab w:leader="none" w:pos="500" w:val="left"/>
        </w:tabs>
        <w:numPr>
          <w:ilvl w:val="0"/>
          <w:numId w:val="167"/>
        </w:numPr>
        <w:rPr>
          <w:rFonts w:ascii="Arial" w:cs="Arial" w:eastAsia="Arial" w:hAnsi="Arial"/>
          <w:sz w:val="14"/>
          <w:szCs w:val="14"/>
          <w:b w:val="1"/>
          <w:bCs w:val="1"/>
          <w:color w:val="auto"/>
        </w:rPr>
      </w:pPr>
      <w:r>
        <w:rPr>
          <w:rFonts w:ascii="Arial" w:cs="Arial" w:eastAsia="Arial" w:hAnsi="Arial"/>
          <w:sz w:val="14"/>
          <w:szCs w:val="14"/>
          <w:b w:val="1"/>
          <w:bCs w:val="1"/>
          <w:color w:val="auto"/>
        </w:rPr>
        <w:t>Employee Benefit Plan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sponsors a 401(k) defined contribution plan for its employees. This plan provides for tax-deferred salary deductions for all employees. Employee contributions are voluntary. Employees may contribute up to 90% of their annual compensation to this plan, as limited by an annual maximum amount as determined by the Internal Revenue Service. The Company may match employee contributions in amounts to be determined at the Company’s sole discretion. The Company made no contributions to the plan for the three and six months ended July 31, 2024 and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20"/>
                <w:szCs w:val="20"/>
                <w:color w:val="auto"/>
              </w:rPr>
            </w:pPr>
            <w:r>
              <w:rPr>
                <w:rFonts w:ascii="Arial" w:cs="Arial" w:eastAsia="Arial" w:hAnsi="Arial"/>
                <w:sz w:val="14"/>
                <w:szCs w:val="14"/>
                <w:b w:val="1"/>
                <w:bCs w:val="1"/>
                <w:color w:val="auto"/>
              </w:rPr>
              <w:t>14.</w:t>
            </w:r>
          </w:p>
        </w:tc>
        <w:tc>
          <w:tcPr>
            <w:tcW w:w="4140" w:type="dxa"/>
            <w:vAlign w:val="bottom"/>
          </w:tcPr>
          <w:p>
            <w:pPr>
              <w:ind w:left="140"/>
              <w:spacing w:after="0"/>
              <w:rPr>
                <w:sz w:val="20"/>
                <w:szCs w:val="20"/>
                <w:color w:val="auto"/>
              </w:rPr>
            </w:pPr>
            <w:r>
              <w:rPr>
                <w:rFonts w:ascii="Arial" w:cs="Arial" w:eastAsia="Arial" w:hAnsi="Arial"/>
                <w:sz w:val="14"/>
                <w:szCs w:val="14"/>
                <w:b w:val="1"/>
                <w:bCs w:val="1"/>
                <w:color w:val="auto"/>
              </w:rPr>
              <w:t>Income Taxes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95"/>
        </w:trPr>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1"/>
                <w:szCs w:val="11"/>
                <w:b w:val="1"/>
                <w:bCs w:val="1"/>
                <w:color w:val="auto"/>
              </w:rPr>
              <w:t>Three Months Ended July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July 31,</w:t>
            </w:r>
          </w:p>
        </w:tc>
        <w:tc>
          <w:tcPr>
            <w:tcW w:w="960" w:type="dxa"/>
            <w:vAlign w:val="bottom"/>
            <w:tcBorders>
              <w:bottom w:val="single" w:sz="8" w:color="auto"/>
            </w:tcBorders>
          </w:tcPr>
          <w:p>
            <w:pPr>
              <w:spacing w:after="0"/>
              <w:rPr>
                <w:sz w:val="24"/>
                <w:szCs w:val="24"/>
                <w:color w:val="auto"/>
              </w:rPr>
            </w:pPr>
          </w:p>
        </w:tc>
      </w:tr>
      <w:tr>
        <w:trPr>
          <w:trHeight w:val="148"/>
        </w:trPr>
        <w:tc>
          <w:tcPr>
            <w:tcW w:w="36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36"/>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w w:val="97"/>
              </w:rPr>
              <w:t>2025</w:t>
            </w:r>
          </w:p>
        </w:tc>
      </w:tr>
      <w:tr>
        <w:trPr>
          <w:trHeight w:val="16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33,523</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39,871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4"/>
                <w:szCs w:val="14"/>
                <w:color w:val="auto"/>
              </w:rPr>
              <w:t>78,246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73,982</w:t>
            </w:r>
          </w:p>
        </w:tc>
      </w:tr>
      <w:tr>
        <w:trPr>
          <w:trHeight w:val="179"/>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980" w:type="dxa"/>
            <w:vAlign w:val="bottom"/>
          </w:tcPr>
          <w:p>
            <w:pPr>
              <w:spacing w:after="0"/>
              <w:rPr>
                <w:sz w:val="15"/>
                <w:szCs w:val="15"/>
                <w:color w:val="auto"/>
              </w:rPr>
            </w:pP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(655)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5,130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76"/>
              <w:spacing w:after="0"/>
              <w:rPr>
                <w:sz w:val="20"/>
                <w:szCs w:val="20"/>
                <w:color w:val="auto"/>
              </w:rPr>
            </w:pPr>
            <w:r>
              <w:rPr>
                <w:rFonts w:ascii="Arial" w:cs="Arial" w:eastAsia="Arial" w:hAnsi="Arial"/>
                <w:sz w:val="14"/>
                <w:szCs w:val="14"/>
                <w:color w:val="auto"/>
              </w:rPr>
              <w:t>(54,063)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color w:val="auto"/>
              </w:rPr>
              <w:t>13,294</w:t>
            </w:r>
          </w:p>
        </w:tc>
      </w:tr>
      <w:tr>
        <w:trPr>
          <w:trHeight w:val="17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Each quarter, the Company’s tax provision for interim periods is determined by using an estimated annual effective tax rate, adjusted for discrete items arising in that quarter. The Company updates the estimated annual effective tax rate and makes a year-to-date adjustment to the provision.</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effective tax rate was (2.0)% and (69.1)% for the three and six months ended July 31, 2024. The primary difference between the effective tax rate and the federal statutory tax rate for each period is primarily due to the release in the valuation allowance on federal and state net deferred tax assets. The Company’s effective tax rate was 12.9% and 18.0% for the three and six months ended July 31, 2025. The primary difference between the effective tax rate and the federal statutory tax rate for each period was primarily due to nondeductible expenses and research and development tax credits.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July 4, 2025, the One Big Beautiful Bill Act (“OBBBA”), was enacted into law in the United States. The OBBBA introduces significant changes to U.S. tax law, including full expensing of qualified capital expenditures, full expensing of domestic research and development expenditures, changes to the business interest limitation, and modifications to the international tax framework. The Company is still evaluating the impact of the OBBBA; however, we do anticipate a material reduction in current income tax expense for the year, primarily driven by the permanent reinstatement of full expensing of domestic research and development expenditures, with no material impact to the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F-55</w:t>
      </w:r>
    </w:p>
    <w:p>
      <w:pPr>
        <w:sectPr>
          <w:pgSz w:w="11900" w:h="16838" w:orient="portrait"/>
          <w:cols w:equalWidth="0" w:num="1">
            <w:col w:w="11280"/>
          </w:cols>
          <w:pgMar w:left="300" w:top="209" w:right="319" w:bottom="1440" w:gutter="0" w:footer="0" w:header="0"/>
        </w:sectPr>
      </w:pPr>
    </w:p>
    <w:bookmarkStart w:id="326" w:name="page327"/>
    <w:bookmarkEnd w:id="326"/>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ind w:left="500" w:hanging="496"/>
        <w:spacing w:after="0"/>
        <w:tabs>
          <w:tab w:leader="none" w:pos="500" w:val="left"/>
        </w:tabs>
        <w:numPr>
          <w:ilvl w:val="0"/>
          <w:numId w:val="168"/>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 Attributable to Common Stockholders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sets forth the computation of basic and diluted earnings per share attributable to common stockholders for the periods presented (in thousands, except per share and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20" w:type="dxa"/>
            <w:vAlign w:val="bottom"/>
            <w:gridSpan w:val="5"/>
          </w:tcPr>
          <w:p>
            <w:pPr>
              <w:ind w:left="460"/>
              <w:spacing w:after="0"/>
              <w:rPr>
                <w:sz w:val="20"/>
                <w:szCs w:val="20"/>
                <w:color w:val="auto"/>
              </w:rPr>
            </w:pPr>
            <w:r>
              <w:rPr>
                <w:rFonts w:ascii="Arial" w:cs="Arial" w:eastAsia="Arial" w:hAnsi="Arial"/>
                <w:sz w:val="11"/>
                <w:szCs w:val="11"/>
                <w:b w:val="1"/>
                <w:bCs w:val="1"/>
                <w:color w:val="auto"/>
              </w:rPr>
              <w:t>Three Months Ended July 31,</w:t>
            </w:r>
          </w:p>
        </w:tc>
        <w:tc>
          <w:tcPr>
            <w:tcW w:w="380" w:type="dxa"/>
            <w:vAlign w:val="bottom"/>
          </w:tcPr>
          <w:p>
            <w:pPr>
              <w:spacing w:after="0"/>
              <w:rPr>
                <w:sz w:val="13"/>
                <w:szCs w:val="13"/>
                <w:color w:val="auto"/>
              </w:rPr>
            </w:pPr>
          </w:p>
        </w:tc>
        <w:tc>
          <w:tcPr>
            <w:tcW w:w="2840" w:type="dxa"/>
            <w:vAlign w:val="bottom"/>
            <w:gridSpan w:val="4"/>
          </w:tcPr>
          <w:p>
            <w:pPr>
              <w:jc w:val="right"/>
              <w:ind w:right="831"/>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Basic earnings per share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Numerator: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34,178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132,309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60,688</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7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Weighted-average number of common stock outstanding used in computing</w:t>
            </w: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39,021,040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40,497,003</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38,998,847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40,386,351</w:t>
            </w: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earnings per share, basic</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color w:val="auto"/>
              </w:rPr>
              <w:t>Earnings per share attributable to common stockholders, basic</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basic</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34,178</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34,741</w:t>
            </w:r>
          </w:p>
        </w:tc>
        <w:tc>
          <w:tcPr>
            <w:tcW w:w="80" w:type="dxa"/>
            <w:vAlign w:val="bottom"/>
          </w:tcPr>
          <w:p>
            <w:pPr>
              <w:spacing w:after="0"/>
              <w:rPr>
                <w:sz w:val="15"/>
                <w:szCs w:val="15"/>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132,309</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60,688</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adjustment for the convertible note, net of tax effect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4760" w:type="dxa"/>
            <w:vAlign w:val="bottom"/>
          </w:tcPr>
          <w:p>
            <w:pPr>
              <w:ind w:left="180"/>
              <w:spacing w:after="0" w:line="137" w:lineRule="exact"/>
              <w:rPr>
                <w:sz w:val="20"/>
                <w:szCs w:val="20"/>
                <w:color w:val="auto"/>
              </w:rPr>
            </w:pPr>
            <w:r>
              <w:rPr>
                <w:rFonts w:ascii="Arial" w:cs="Arial" w:eastAsia="Arial" w:hAnsi="Arial"/>
                <w:sz w:val="14"/>
                <w:szCs w:val="14"/>
                <w:color w:val="auto"/>
              </w:rPr>
              <w:t>Fair value adjustment for liability-classified Series G Warrant, net of tax</w:t>
            </w:r>
          </w:p>
        </w:tc>
        <w:tc>
          <w:tcPr>
            <w:tcW w:w="380" w:type="dxa"/>
            <w:vAlign w:val="bottom"/>
          </w:tcPr>
          <w:p>
            <w:pPr>
              <w:spacing w:after="0"/>
              <w:rPr>
                <w:sz w:val="11"/>
                <w:szCs w:val="11"/>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760" w:type="dxa"/>
            <w:vAlign w:val="bottom"/>
          </w:tcPr>
          <w:p>
            <w:pPr>
              <w:ind w:left="320"/>
              <w:spacing w:after="0"/>
              <w:rPr>
                <w:sz w:val="20"/>
                <w:szCs w:val="20"/>
                <w:color w:val="auto"/>
              </w:rPr>
            </w:pPr>
            <w:r>
              <w:rPr>
                <w:rFonts w:ascii="Arial" w:cs="Arial" w:eastAsia="Arial" w:hAnsi="Arial"/>
                <w:sz w:val="14"/>
                <w:szCs w:val="14"/>
                <w:color w:val="auto"/>
              </w:rPr>
              <w:t>effect</w:t>
            </w:r>
          </w:p>
        </w:tc>
        <w:tc>
          <w:tcPr>
            <w:tcW w:w="3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 dilutive</w:t>
            </w: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34,178</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34,741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119,761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60,688</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7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Weighted-average number of common stock outstanding used in computing</w:t>
            </w: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39,021,040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40,497,003</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38,998,847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40,386,351</w:t>
            </w: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earnings per share, basic</w:t>
            </w:r>
          </w:p>
        </w:tc>
        <w:tc>
          <w:tcPr>
            <w:tcW w:w="3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Conversion of the convertible note</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989,599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redeemable convertible preferred stock, all series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69,914,359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69,852,421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69,914,359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69,852,421</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Dilutive effect of stock options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28,125,491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30,281,896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27,991,552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30,531,354</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equity-classified common stock warrants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1,287,767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1,365,677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1,277,635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1,351,405</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Dilutive effect of liability-classified Series G Warrant</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179,201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7"/>
        </w:trPr>
        <w:tc>
          <w:tcPr>
            <w:tcW w:w="4760" w:type="dxa"/>
            <w:vAlign w:val="bottom"/>
            <w:tcBorders>
              <w:top w:val="single" w:sz="8" w:color="CCEEFF"/>
            </w:tcBorders>
            <w:shd w:val="clear" w:color="auto" w:fill="CCEEFF"/>
          </w:tcPr>
          <w:p>
            <w:pPr>
              <w:ind w:left="20"/>
              <w:spacing w:after="0" w:line="117" w:lineRule="exact"/>
              <w:rPr>
                <w:sz w:val="20"/>
                <w:szCs w:val="20"/>
                <w:color w:val="auto"/>
              </w:rPr>
            </w:pPr>
            <w:r>
              <w:rPr>
                <w:rFonts w:ascii="Arial" w:cs="Arial" w:eastAsia="Arial" w:hAnsi="Arial"/>
                <w:sz w:val="13"/>
                <w:szCs w:val="13"/>
                <w:color w:val="auto"/>
              </w:rPr>
              <w:t>Weighted-average number of common stock outstanding used in computing</w:t>
            </w: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138,348,657</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141,996,997</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139,351,193</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142,121,531</w:t>
            </w: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earnings per share, dilutive</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color w:val="auto"/>
              </w:rPr>
              <w:t>Earnings per share attributable to common stockholders, diluted</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F-56</w:t>
      </w:r>
    </w:p>
    <w:p>
      <w:pPr>
        <w:sectPr>
          <w:pgSz w:w="11900" w:h="16838" w:orient="portrait"/>
          <w:cols w:equalWidth="0" w:num="1">
            <w:col w:w="11280"/>
          </w:cols>
          <w:pgMar w:left="300" w:top="209" w:right="319" w:bottom="1440" w:gutter="0" w:footer="0" w:header="0"/>
        </w:sectPr>
      </w:pPr>
    </w:p>
    <w:bookmarkStart w:id="327" w:name="page328"/>
    <w:bookmarkEnd w:id="327"/>
    <w:p>
      <w:pPr>
        <w:spacing w:after="0"/>
        <w:rPr>
          <w:sz w:val="20"/>
          <w:szCs w:val="20"/>
          <w:color w:val="auto"/>
        </w:rPr>
      </w:pPr>
      <w:r>
        <w:rPr>
          <w:rFonts w:ascii="Arial" w:cs="Arial" w:eastAsia="Arial" w:hAnsi="Arial"/>
          <w:sz w:val="14"/>
          <w:szCs w:val="14"/>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Unaudited Condensed Consolidated Financial Statements</w:t>
      </w: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common stock equivalents were excluded from the computation of diluted earnings per share attributable to common stockholders because including them would have been antidilutive (outstanding):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3300" w:type="dxa"/>
            <w:vAlign w:val="bottom"/>
            <w:gridSpan w:val="4"/>
          </w:tcPr>
          <w:p>
            <w:pPr>
              <w:ind w:left="840"/>
              <w:spacing w:after="0"/>
              <w:rPr>
                <w:sz w:val="20"/>
                <w:szCs w:val="20"/>
                <w:color w:val="auto"/>
              </w:rPr>
            </w:pPr>
            <w:r>
              <w:rPr>
                <w:rFonts w:ascii="Arial" w:cs="Arial" w:eastAsia="Arial" w:hAnsi="Arial"/>
                <w:sz w:val="11"/>
                <w:szCs w:val="11"/>
                <w:b w:val="1"/>
                <w:bCs w:val="1"/>
                <w:color w:val="auto"/>
              </w:rPr>
              <w:t>Three Months Ended July 31,</w:t>
            </w:r>
          </w:p>
        </w:tc>
        <w:tc>
          <w:tcPr>
            <w:tcW w:w="3220" w:type="dxa"/>
            <w:vAlign w:val="bottom"/>
            <w:gridSpan w:val="3"/>
          </w:tcPr>
          <w:p>
            <w:pPr>
              <w:jc w:val="right"/>
              <w:ind w:right="833"/>
              <w:spacing w:after="0"/>
              <w:rPr>
                <w:sz w:val="20"/>
                <w:szCs w:val="20"/>
                <w:color w:val="auto"/>
              </w:rPr>
            </w:pPr>
            <w:r>
              <w:rPr>
                <w:rFonts w:ascii="Arial" w:cs="Arial" w:eastAsia="Arial" w:hAnsi="Arial"/>
                <w:sz w:val="11"/>
                <w:szCs w:val="11"/>
                <w:b w:val="1"/>
                <w:bCs w:val="1"/>
                <w:color w:val="auto"/>
              </w:rPr>
              <w:t>Six Months Ended July 31,</w:t>
            </w:r>
          </w:p>
        </w:tc>
      </w:tr>
      <w:tr>
        <w:trPr>
          <w:trHeight w:val="148"/>
        </w:trPr>
        <w:tc>
          <w:tcPr>
            <w:tcW w:w="4760" w:type="dxa"/>
            <w:vAlign w:val="bottom"/>
            <w:tcBorders>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Liability-classified common stock warrant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Series G Warrant</w:t>
            </w:r>
          </w:p>
        </w:tc>
        <w:tc>
          <w:tcPr>
            <w:tcW w:w="1580" w:type="dxa"/>
            <w:vAlign w:val="bottom"/>
          </w:tcPr>
          <w:p>
            <w:pPr>
              <w:jc w:val="right"/>
              <w:spacing w:after="0"/>
              <w:rPr>
                <w:sz w:val="20"/>
                <w:szCs w:val="20"/>
                <w:color w:val="auto"/>
              </w:rPr>
            </w:pPr>
            <w:r>
              <w:rPr>
                <w:rFonts w:ascii="Arial" w:cs="Arial" w:eastAsia="Arial" w:hAnsi="Arial"/>
                <w:sz w:val="14"/>
                <w:szCs w:val="14"/>
                <w:color w:val="auto"/>
              </w:rPr>
              <w:t>251,750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251,750</w:t>
            </w:r>
          </w:p>
        </w:tc>
        <w:tc>
          <w:tcPr>
            <w:tcW w:w="80" w:type="dxa"/>
            <w:vAlign w:val="bottom"/>
          </w:tcPr>
          <w:p>
            <w:pPr>
              <w:spacing w:after="0"/>
              <w:rPr>
                <w:sz w:val="15"/>
                <w:szCs w:val="15"/>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251,750</w:t>
            </w: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Dual-trigger RSUs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25,058,032</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34,242,383</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25,058,032</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34,242,383</w:t>
            </w:r>
          </w:p>
        </w:tc>
      </w:tr>
      <w:tr>
        <w:trPr>
          <w:trHeight w:val="185"/>
        </w:trPr>
        <w:tc>
          <w:tcPr>
            <w:tcW w:w="4760" w:type="dxa"/>
            <w:vAlign w:val="bottom"/>
          </w:tcPr>
          <w:p>
            <w:pPr>
              <w:ind w:left="20"/>
              <w:spacing w:after="0"/>
              <w:rPr>
                <w:sz w:val="20"/>
                <w:szCs w:val="20"/>
                <w:color w:val="auto"/>
              </w:rPr>
            </w:pPr>
            <w:r>
              <w:rPr>
                <w:rFonts w:ascii="Arial" w:cs="Arial" w:eastAsia="Arial" w:hAnsi="Arial"/>
                <w:sz w:val="14"/>
                <w:szCs w:val="14"/>
                <w:color w:val="auto"/>
              </w:rPr>
              <w:t>SAFEs</w:t>
            </w:r>
          </w:p>
        </w:tc>
        <w:tc>
          <w:tcPr>
            <w:tcW w:w="1660" w:type="dxa"/>
            <w:vAlign w:val="bottom"/>
            <w:gridSpan w:val="2"/>
          </w:tcPr>
          <w:p>
            <w:pPr>
              <w:ind w:left="1100"/>
              <w:spacing w:after="0"/>
              <w:rPr>
                <w:sz w:val="20"/>
                <w:szCs w:val="20"/>
                <w:color w:val="auto"/>
              </w:rPr>
            </w:pPr>
            <w:r>
              <w:rPr>
                <w:rFonts w:ascii="Arial" w:cs="Arial" w:eastAsia="Arial" w:hAnsi="Arial"/>
                <w:sz w:val="14"/>
                <w:szCs w:val="14"/>
                <w:color w:val="auto"/>
              </w:rPr>
              <w:t>Various</w:t>
            </w:r>
          </w:p>
        </w:tc>
        <w:tc>
          <w:tcPr>
            <w:tcW w:w="1640" w:type="dxa"/>
            <w:vAlign w:val="bottom"/>
            <w:gridSpan w:val="2"/>
          </w:tcPr>
          <w:p>
            <w:pPr>
              <w:ind w:left="1080"/>
              <w:spacing w:after="0"/>
              <w:rPr>
                <w:sz w:val="20"/>
                <w:szCs w:val="20"/>
                <w:color w:val="auto"/>
              </w:rPr>
            </w:pPr>
            <w:r>
              <w:rPr>
                <w:rFonts w:ascii="Arial" w:cs="Arial" w:eastAsia="Arial" w:hAnsi="Arial"/>
                <w:sz w:val="14"/>
                <w:szCs w:val="14"/>
                <w:color w:val="auto"/>
              </w:rPr>
              <w:t>Various</w:t>
            </w:r>
          </w:p>
        </w:tc>
        <w:tc>
          <w:tcPr>
            <w:tcW w:w="1660" w:type="dxa"/>
            <w:vAlign w:val="bottom"/>
            <w:gridSpan w:val="2"/>
          </w:tcPr>
          <w:p>
            <w:pPr>
              <w:ind w:left="1100"/>
              <w:spacing w:after="0"/>
              <w:rPr>
                <w:sz w:val="20"/>
                <w:szCs w:val="20"/>
                <w:color w:val="auto"/>
              </w:rPr>
            </w:pPr>
            <w:r>
              <w:rPr>
                <w:rFonts w:ascii="Arial" w:cs="Arial" w:eastAsia="Arial" w:hAnsi="Arial"/>
                <w:sz w:val="14"/>
                <w:szCs w:val="14"/>
                <w:color w:val="auto"/>
              </w:rPr>
              <w:t>Various</w:t>
            </w:r>
          </w:p>
        </w:tc>
        <w:tc>
          <w:tcPr>
            <w:tcW w:w="1560" w:type="dxa"/>
            <w:vAlign w:val="bottom"/>
          </w:tcPr>
          <w:p>
            <w:pPr>
              <w:jc w:val="right"/>
              <w:spacing w:after="0"/>
              <w:rPr>
                <w:sz w:val="20"/>
                <w:szCs w:val="20"/>
                <w:color w:val="auto"/>
              </w:rPr>
            </w:pPr>
            <w:r>
              <w:rPr>
                <w:rFonts w:ascii="Arial" w:cs="Arial" w:eastAsia="Arial" w:hAnsi="Arial"/>
                <w:sz w:val="14"/>
                <w:szCs w:val="14"/>
                <w:color w:val="auto"/>
              </w:rPr>
              <w:t>Various</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Financial Instruments with Off-Balance Sheet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a securities broker, the Company executes transactions with and on behalf of clients. The Company clears these transactions with its clearing firm on an omnibus basis.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normal course of business, the Company’s client activities involve the execution of securities transactions and settlement by its clearing broker. The agreement between the Company and its clearing broker provides that the Company is obligated to assume any exposure related to nonperformance by its clients. These activities may expose the Company to off-balance sheet risk in the event the client is unable to fulfill its contracted obligations. In the event the client fails to satisfy its obligations, the Company may be required to purchase or sell financial instruments at the prevailing market price in order to fulfill the client’s obligation. The Company seeks to control off-balance sheet credit risk by monitoring its client transactions and reviewing information it receives from its clearing broker on a daily basis and reserving for doubtful accounts when necessary.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Related Party Transactions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Related party transactions may include any transaction between the Company and entities under common control or with a related party. The Company has defined related parties as members of the board of directors, executive officers, existing investors holding 10% or more of the Company’s outstanding stock, principal owners of the Company’s outstanding stock and any immediate family members of each related party, as well as any other person or entity with significant influence over the management or operations of the Company.</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July 2024, in connection with the acquisition of Unified National Mortgage LLC (renamed Wealthfront Home Lending, LLC), the Company entered into a series of agreements with the Company’s Chief Executive Officer, Wealthfront Home Lending, and Wealthfront Holdings LLC, the purchasing entity. Through related management and financing agreements, the Company directs the significant activities of Wealthfront Home Lending and absorbs all associated benefits and losses. As of and during the three and six months ended July 31, 2024 and 2025, the assets, liabilities and activities of Wealthfront Home Lending and Wealthfront Holdings were immaterial to the Company’s condensed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Subsequent Events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has evaluated subsequent events from the condensed consolidated balance sheets date through September 23, 2025, the issuance date of the condensed consolidated financial statements.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There have been no other material subsequent events other than previously disclosed that occurred during such period that would require disclosure or would be required to be recognized in the condensed consolidated financial statements as of July 31, 2025.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ectPr>
          <w:pgSz w:w="11900" w:h="16838" w:orient="portrait"/>
          <w:cols w:equalWidth="0" w:num="1">
            <w:col w:w="11280"/>
          </w:cols>
          <w:pgMar w:left="300" w:top="208" w:right="319" w:bottom="1440" w:gutter="0" w:footer="0" w:header="0"/>
        </w:sectPr>
      </w:pPr>
    </w:p>
    <w:bookmarkStart w:id="328" w:name="page329"/>
    <w:bookmarkEnd w:id="3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1054100</wp:posOffset>
            </wp:positionH>
            <wp:positionV relativeFrom="page">
              <wp:posOffset>288925</wp:posOffset>
            </wp:positionV>
            <wp:extent cx="5447030" cy="70491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447030" cy="704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following table sets forth all costs and expenses to be paid by the Registrant, other than underwriting discounts and commissions, in connection with the sale of common stock being registered hereby. All amounts shown are estimates except for the Securities and Exchange Commission (“SEC”) registration fee, the Financial Industry Regulatory Authority (“FINRA”) filing fee and the listing fee: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rPr>
              <w:t>Amount Paid or to be Paid</w:t>
            </w:r>
          </w:p>
        </w:tc>
      </w:tr>
      <w:tr>
        <w:trPr>
          <w:trHeight w:val="16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 registration fee</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78,464</w:t>
            </w:r>
          </w:p>
        </w:tc>
      </w:tr>
      <w:tr>
        <w:trPr>
          <w:trHeight w:val="179"/>
        </w:trPr>
        <w:tc>
          <w:tcPr>
            <w:tcW w:w="9460" w:type="dxa"/>
            <w:vAlign w:val="bottom"/>
          </w:tcPr>
          <w:p>
            <w:pPr>
              <w:ind w:left="20"/>
              <w:spacing w:after="0"/>
              <w:rPr>
                <w:sz w:val="20"/>
                <w:szCs w:val="20"/>
                <w:color w:val="auto"/>
              </w:rPr>
            </w:pPr>
            <w:r>
              <w:rPr>
                <w:rFonts w:ascii="Arial" w:cs="Arial" w:eastAsia="Arial" w:hAnsi="Arial"/>
                <w:sz w:val="14"/>
                <w:szCs w:val="14"/>
                <w:color w:val="auto"/>
              </w:rPr>
              <w:t>FINRA filing fee</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68,000</w:t>
            </w:r>
          </w:p>
        </w:tc>
      </w:tr>
      <w:tr>
        <w:trPr>
          <w:trHeight w:val="17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listing fee</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295,000</w:t>
            </w:r>
          </w:p>
        </w:tc>
      </w:tr>
      <w:tr>
        <w:trPr>
          <w:trHeight w:val="179"/>
        </w:trPr>
        <w:tc>
          <w:tcPr>
            <w:tcW w:w="9460" w:type="dxa"/>
            <w:vAlign w:val="bottom"/>
          </w:tcPr>
          <w:p>
            <w:pPr>
              <w:ind w:left="20"/>
              <w:spacing w:after="0"/>
              <w:rPr>
                <w:sz w:val="20"/>
                <w:szCs w:val="20"/>
                <w:color w:val="auto"/>
              </w:rPr>
            </w:pPr>
            <w:r>
              <w:rPr>
                <w:rFonts w:ascii="Arial" w:cs="Arial" w:eastAsia="Arial" w:hAnsi="Arial"/>
                <w:sz w:val="14"/>
                <w:szCs w:val="14"/>
                <w:color w:val="auto"/>
              </w:rPr>
              <w:t>Printing and engraving expenses</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300,000</w:t>
            </w:r>
          </w:p>
        </w:tc>
      </w:tr>
      <w:tr>
        <w:trPr>
          <w:trHeight w:val="17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fees and expenses</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w:t>
            </w:r>
          </w:p>
        </w:tc>
      </w:tr>
      <w:tr>
        <w:trPr>
          <w:trHeight w:val="179"/>
        </w:trPr>
        <w:tc>
          <w:tcPr>
            <w:tcW w:w="9460" w:type="dxa"/>
            <w:vAlign w:val="bottom"/>
          </w:tcPr>
          <w:p>
            <w:pPr>
              <w:ind w:left="20"/>
              <w:spacing w:after="0"/>
              <w:rPr>
                <w:sz w:val="20"/>
                <w:szCs w:val="20"/>
                <w:color w:val="auto"/>
              </w:rPr>
            </w:pPr>
            <w:r>
              <w:rPr>
                <w:rFonts w:ascii="Arial" w:cs="Arial" w:eastAsia="Arial" w:hAnsi="Arial"/>
                <w:sz w:val="14"/>
                <w:szCs w:val="14"/>
                <w:color w:val="auto"/>
              </w:rPr>
              <w:t>Accounting fees and expenses</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1,100,000</w:t>
            </w:r>
          </w:p>
        </w:tc>
      </w:tr>
      <w:tr>
        <w:trPr>
          <w:trHeight w:val="17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agent and registrar fees and expenses</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116,350</w:t>
            </w:r>
          </w:p>
        </w:tc>
      </w:tr>
      <w:tr>
        <w:trPr>
          <w:trHeight w:val="17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expenses</w:t>
            </w: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242,186</w:t>
            </w:r>
          </w:p>
        </w:tc>
      </w:tr>
      <w:tr>
        <w:trPr>
          <w:trHeight w:val="16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6,700,000</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permitted by the DGCL, the Registrant’s restated certificate of incorporation to be effective upon the completion of this offering contains provisions that eliminate the personal liability of its directors and officers for monetary damages for any breach of fiduciary duties as a director or officer, except liability for the following:</w:t>
      </w:r>
    </w:p>
    <w:p>
      <w:pPr>
        <w:spacing w:after="0" w:line="79" w:lineRule="exact"/>
        <w:rPr>
          <w:sz w:val="20"/>
          <w:szCs w:val="20"/>
          <w:color w:val="auto"/>
        </w:rPr>
      </w:pPr>
    </w:p>
    <w:p>
      <w:pPr>
        <w:ind w:left="500" w:hanging="244"/>
        <w:spacing w:after="0"/>
        <w:tabs>
          <w:tab w:leader="none" w:pos="5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any breach of the director’s or officers’ duty of loyalty to the Registrant or its stockholders;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acts or omissions not in good faith or that involve intentional misconduct or a knowing violation of law;</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under Section 174 of the DGCL (regarding unlawful dividends and stock purchases);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any transaction from which the director or officer derived an improper personal benefit; and</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with respect to officers, any action by or in the right of the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permitted by the DGCL, the Registrant’s restated bylaws to be effective upon the completion of this offering, provide that:</w:t>
      </w:r>
    </w:p>
    <w:p>
      <w:pPr>
        <w:spacing w:after="0" w:line="133" w:lineRule="exact"/>
        <w:rPr>
          <w:sz w:val="20"/>
          <w:szCs w:val="20"/>
          <w:color w:val="auto"/>
        </w:rPr>
      </w:pPr>
    </w:p>
    <w:p>
      <w:pPr>
        <w:ind w:left="500" w:hanging="244"/>
        <w:spacing w:after="0"/>
        <w:tabs>
          <w:tab w:leader="none" w:pos="50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Registrant is required to indemnify its directors and executive officers to the fullest extent permitted by the DGCL, subject to very limited exceptions;</w:t>
      </w:r>
    </w:p>
    <w:p>
      <w:pPr>
        <w:spacing w:after="0" w:line="133" w:lineRule="exact"/>
        <w:rPr>
          <w:rFonts w:ascii="Arial" w:cs="Arial" w:eastAsia="Arial" w:hAnsi="Arial"/>
          <w:sz w:val="14"/>
          <w:szCs w:val="14"/>
          <w:color w:val="auto"/>
        </w:rPr>
      </w:pPr>
    </w:p>
    <w:p>
      <w:pPr>
        <w:ind w:left="500" w:hanging="244"/>
        <w:spacing w:after="0"/>
        <w:tabs>
          <w:tab w:leader="none" w:pos="50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Registrant may indemnify its other employees and agents as set forth in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280"/>
          </w:cols>
          <w:pgMar w:left="300" w:top="209" w:right="319" w:bottom="1440" w:gutter="0" w:footer="0" w:header="0"/>
        </w:sectPr>
      </w:pPr>
    </w:p>
    <w:bookmarkStart w:id="330" w:name="page331"/>
    <w:bookmarkEnd w:id="3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244"/>
        <w:spacing w:after="0" w:line="286" w:lineRule="auto"/>
        <w:tabs>
          <w:tab w:leader="none" w:pos="496"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78" w:lineRule="exact"/>
        <w:rPr>
          <w:rFonts w:ascii="Arial" w:cs="Arial" w:eastAsia="Arial" w:hAnsi="Arial"/>
          <w:sz w:val="14"/>
          <w:szCs w:val="14"/>
          <w:color w:val="auto"/>
        </w:rPr>
      </w:pPr>
    </w:p>
    <w:p>
      <w:pPr>
        <w:ind w:left="500" w:hanging="244"/>
        <w:spacing w:after="0"/>
        <w:tabs>
          <w:tab w:leader="none" w:pos="50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 rights conferred in the restated bylaws are not exclusive.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Prior to the completion of this offering, the Registrant intends to enter into indemnification agreements with each of its then-current directors and executive officers to provide these directors and executive officers additional contractual assurances regarding the scope of the indemnification set forth in its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its restated certificate of incorporation, restated bylaws and the indemnification agreements entered into or to be entered into between the Registrant and each of its directors and executive officers may be sufficiently broad to permit indemnification of the directors and executive officers for liabilities arising under the Securities Act.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currently carries liability insurance for its directors and officers.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Certain of the Registrant’s directors are also indemnified by their employers with regard to service on the Registrant’s board of directors.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addition, the underwriting agreement filed as Exhibit 1.1 to this registration statement provides for indemnification by the underwriters of the Registrant and its officers and directors for certain liabilities arising under the Securities Act, or otherwise.</w:t>
      </w:r>
    </w:p>
    <w:p>
      <w:pPr>
        <w:spacing w:after="0" w:line="79"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Since December 1, 2022, the Registrant has issued and sold the following securities:</w:t>
      </w:r>
    </w:p>
    <w:p>
      <w:pPr>
        <w:spacing w:after="0" w:line="133" w:lineRule="exact"/>
        <w:rPr>
          <w:sz w:val="20"/>
          <w:szCs w:val="20"/>
          <w:color w:val="auto"/>
        </w:rPr>
      </w:pPr>
    </w:p>
    <w:p>
      <w:pPr>
        <w:ind w:left="500" w:hanging="244"/>
        <w:spacing w:after="0" w:line="286" w:lineRule="auto"/>
        <w:tabs>
          <w:tab w:leader="none" w:pos="496" w:val="left"/>
        </w:tabs>
        <w:numPr>
          <w:ilvl w:val="0"/>
          <w:numId w:val="172"/>
        </w:numPr>
        <w:rPr>
          <w:rFonts w:ascii="Arial" w:cs="Arial" w:eastAsia="Arial" w:hAnsi="Arial"/>
          <w:sz w:val="14"/>
          <w:szCs w:val="14"/>
          <w:color w:val="auto"/>
        </w:rPr>
      </w:pPr>
      <w:r>
        <w:rPr>
          <w:rFonts w:ascii="Arial" w:cs="Arial" w:eastAsia="Arial" w:hAnsi="Arial"/>
          <w:sz w:val="14"/>
          <w:szCs w:val="14"/>
          <w:color w:val="auto"/>
        </w:rPr>
        <w:t>In December 2024, the Registrant sold an aggregate of 1,929,731 shares of its common stock to two accredited investors at a purchase price of $11.76 per share for an aggregate purchase price of approximately $22.7 million.</w:t>
      </w:r>
    </w:p>
    <w:p>
      <w:pPr>
        <w:spacing w:after="0" w:line="78" w:lineRule="exact"/>
        <w:rPr>
          <w:rFonts w:ascii="Arial" w:cs="Arial" w:eastAsia="Arial" w:hAnsi="Arial"/>
          <w:sz w:val="14"/>
          <w:szCs w:val="14"/>
          <w:color w:val="auto"/>
        </w:rPr>
      </w:pPr>
    </w:p>
    <w:p>
      <w:pPr>
        <w:jc w:val="both"/>
        <w:ind w:left="500" w:hanging="244"/>
        <w:spacing w:after="0" w:line="268" w:lineRule="auto"/>
        <w:tabs>
          <w:tab w:leader="none" w:pos="496"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Registrant issued (i) 2,392,950 shares of its common stock upon exercise of previously issued stock options under its 2017 Equity Incentive Plan (as amended, the “2017 Plan”) at exercise prices ranging from $1.16 to $2.91 per share and (ii) 5,500,867 shares of its common stock upon exercise of previously issued stock options under its 2008 Equity Incentive Plan at exercise prices ranging from $0.48 to $2.67 per share.</w:t>
      </w:r>
    </w:p>
    <w:p>
      <w:pPr>
        <w:spacing w:after="0" w:line="91" w:lineRule="exact"/>
        <w:rPr>
          <w:rFonts w:ascii="Arial" w:cs="Arial" w:eastAsia="Arial" w:hAnsi="Arial"/>
          <w:sz w:val="14"/>
          <w:szCs w:val="14"/>
          <w:color w:val="auto"/>
        </w:rPr>
      </w:pPr>
    </w:p>
    <w:p>
      <w:pPr>
        <w:ind w:left="500" w:hanging="244"/>
        <w:spacing w:after="0" w:line="286" w:lineRule="auto"/>
        <w:tabs>
          <w:tab w:leader="none" w:pos="496"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Registrant granted to its directors, officers, employees, consultants and other service providers an aggregate of 25,853,606 RSUs to be settled in shares of its common stock under its 2017 Plan.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1280"/>
          </w:cols>
          <w:pgMar w:left="300" w:top="209" w:right="319" w:bottom="1440" w:gutter="0" w:footer="0" w:header="0"/>
        </w:sectPr>
      </w:pPr>
    </w:p>
    <w:bookmarkStart w:id="331" w:name="page332"/>
    <w:bookmarkEnd w:id="3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10000" w:type="dxa"/>
            <w:vAlign w:val="bottom"/>
            <w:gridSpan w:val="29"/>
            <w:vMerge w:val="restart"/>
          </w:tcPr>
          <w:p>
            <w:pPr>
              <w:spacing w:after="0"/>
              <w:rPr>
                <w:sz w:val="20"/>
                <w:szCs w:val="20"/>
                <w:color w:val="auto"/>
              </w:rPr>
            </w:pPr>
            <w:r>
              <w:rPr>
                <w:rFonts w:ascii="Arial" w:cs="Arial" w:eastAsia="Arial" w:hAnsi="Arial"/>
                <w:sz w:val="11"/>
                <w:szCs w:val="11"/>
                <w:b w:val="1"/>
                <w:bCs w:val="1"/>
                <w:color w:val="auto"/>
              </w:rPr>
              <w:t>Description of Document</w:t>
            </w:r>
          </w:p>
        </w:tc>
        <w:tc>
          <w:tcPr>
            <w:tcW w:w="0" w:type="dxa"/>
            <w:vAlign w:val="bottom"/>
          </w:tcPr>
          <w:p>
            <w:pPr>
              <w:spacing w:after="0"/>
              <w:rPr>
                <w:sz w:val="1"/>
                <w:szCs w:val="1"/>
                <w:color w:val="auto"/>
              </w:rPr>
            </w:pPr>
          </w:p>
        </w:tc>
      </w:tr>
      <w:tr>
        <w:trPr>
          <w:trHeight w:val="143"/>
        </w:trPr>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2"/>
                <w:szCs w:val="12"/>
                <w:color w:val="auto"/>
              </w:rPr>
            </w:pPr>
          </w:p>
        </w:tc>
        <w:tc>
          <w:tcPr>
            <w:tcW w:w="10000" w:type="dxa"/>
            <w:vAlign w:val="bottom"/>
            <w:gridSpan w:val="2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80" w:type="dxa"/>
            <w:vAlign w:val="bottom"/>
            <w:tcBorders>
              <w:top w:val="single" w:sz="8" w:color="auto"/>
            </w:tcBorders>
          </w:tcPr>
          <w:p>
            <w:pPr>
              <w:ind w:left="20"/>
              <w:spacing w:after="0" w:line="138"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00" w:type="dxa"/>
            <w:vAlign w:val="bottom"/>
            <w:tcBorders>
              <w:top w:val="single" w:sz="8" w:color="auto"/>
            </w:tcBorders>
            <w:gridSpan w:val="29"/>
          </w:tcPr>
          <w:p>
            <w:pPr>
              <w:spacing w:after="0" w:line="138" w:lineRule="exact"/>
              <w:rPr>
                <w:sz w:val="20"/>
                <w:szCs w:val="20"/>
                <w:color w:val="auto"/>
              </w:rPr>
            </w:pPr>
            <w:r>
              <w:rPr>
                <w:rFonts w:ascii="Arial" w:cs="Arial" w:eastAsia="Arial" w:hAnsi="Arial"/>
                <w:sz w:val="14"/>
                <w:szCs w:val="14"/>
                <w:color w:val="0000FF"/>
              </w:rPr>
              <w:t>Form of Underwriting Agreement.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bottom w:val="single" w:sz="8" w:color="0000FF"/>
            </w:tcBorders>
            <w:gridSpan w:val="18"/>
          </w:tcPr>
          <w:p>
            <w:pPr>
              <w:spacing w:after="0" w:line="159" w:lineRule="exact"/>
              <w:rPr>
                <w:rFonts w:ascii="Arial" w:cs="Arial" w:eastAsia="Arial" w:hAnsi="Arial"/>
                <w:sz w:val="14"/>
                <w:szCs w:val="14"/>
                <w:color w:val="0000FF"/>
                <w:w w:val="99"/>
              </w:rPr>
            </w:pPr>
            <w:hyperlink r:id="rId116">
              <w:r>
                <w:rPr>
                  <w:rFonts w:ascii="Arial" w:cs="Arial" w:eastAsia="Arial" w:hAnsi="Arial"/>
                  <w:sz w:val="14"/>
                  <w:szCs w:val="14"/>
                  <w:color w:val="0000FF"/>
                  <w:w w:val="99"/>
                </w:rPr>
                <w:t>Restated Certificate of Incorporation of Wealthfront Corporation, as amended and currently in effect.</w:t>
              </w:r>
            </w:hyperlink>
          </w:p>
        </w:tc>
        <w:tc>
          <w:tcPr>
            <w:tcW w:w="38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bottom w:val="single" w:sz="8" w:color="0000FF"/>
            </w:tcBorders>
            <w:gridSpan w:val="26"/>
          </w:tcPr>
          <w:p>
            <w:pPr>
              <w:spacing w:after="0" w:line="159" w:lineRule="exact"/>
              <w:rPr>
                <w:rFonts w:ascii="Arial" w:cs="Arial" w:eastAsia="Arial" w:hAnsi="Arial"/>
                <w:sz w:val="14"/>
                <w:szCs w:val="14"/>
                <w:color w:val="0000FF"/>
                <w:w w:val="99"/>
              </w:rPr>
            </w:pPr>
            <w:hyperlink r:id="rId117">
              <w:r>
                <w:rPr>
                  <w:rFonts w:ascii="Arial" w:cs="Arial" w:eastAsia="Arial" w:hAnsi="Arial"/>
                  <w:sz w:val="14"/>
                  <w:szCs w:val="14"/>
                  <w:color w:val="0000FF"/>
                  <w:w w:val="99"/>
                </w:rPr>
                <w:t>Form of Restated Certificate of Incorporation of Wealthfront Corporation, to be in effect immediately prior to the completion of this offering.</w:t>
              </w:r>
            </w:hyperlink>
          </w:p>
        </w:tc>
        <w:tc>
          <w:tcPr>
            <w:tcW w:w="14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bottom w:val="single" w:sz="8" w:color="0000FF"/>
            </w:tcBorders>
            <w:gridSpan w:val="14"/>
          </w:tcPr>
          <w:p>
            <w:pPr>
              <w:spacing w:after="0" w:line="159" w:lineRule="exact"/>
              <w:rPr>
                <w:rFonts w:ascii="Arial" w:cs="Arial" w:eastAsia="Arial" w:hAnsi="Arial"/>
                <w:sz w:val="14"/>
                <w:szCs w:val="14"/>
                <w:color w:val="0000FF"/>
                <w:w w:val="99"/>
              </w:rPr>
            </w:pPr>
            <w:hyperlink r:id="rId118">
              <w:r>
                <w:rPr>
                  <w:rFonts w:ascii="Arial" w:cs="Arial" w:eastAsia="Arial" w:hAnsi="Arial"/>
                  <w:sz w:val="14"/>
                  <w:szCs w:val="14"/>
                  <w:color w:val="0000FF"/>
                  <w:w w:val="99"/>
                </w:rPr>
                <w:t>Amended and Restated Bylaws of Wealthfront Corporation, as currently in effect.</w:t>
              </w:r>
            </w:hyperlink>
          </w:p>
        </w:tc>
        <w:tc>
          <w:tcPr>
            <w:tcW w:w="496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bottom w:val="single" w:sz="8" w:color="0000FF"/>
            </w:tcBorders>
            <w:gridSpan w:val="24"/>
          </w:tcPr>
          <w:p>
            <w:pPr>
              <w:spacing w:after="0" w:line="159" w:lineRule="exact"/>
              <w:rPr>
                <w:rFonts w:ascii="Arial" w:cs="Arial" w:eastAsia="Arial" w:hAnsi="Arial"/>
                <w:sz w:val="14"/>
                <w:szCs w:val="14"/>
                <w:color w:val="0000FF"/>
                <w:w w:val="99"/>
              </w:rPr>
            </w:pPr>
            <w:hyperlink r:id="rId119">
              <w:r>
                <w:rPr>
                  <w:rFonts w:ascii="Arial" w:cs="Arial" w:eastAsia="Arial" w:hAnsi="Arial"/>
                  <w:sz w:val="14"/>
                  <w:szCs w:val="14"/>
                  <w:color w:val="0000FF"/>
                  <w:w w:val="99"/>
                </w:rPr>
                <w:t>Form of Restated Bylaws of Wealthfront Corporation, to be in effect immediately prior to the completion of this offering.</w:t>
              </w:r>
            </w:hyperlink>
          </w:p>
        </w:tc>
        <w:tc>
          <w:tcPr>
            <w:tcW w:w="26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sz w:val="20"/>
                <w:szCs w:val="20"/>
                <w:color w:val="auto"/>
              </w:rPr>
            </w:pPr>
            <w:r>
              <w:rPr>
                <w:rFonts w:ascii="Arial" w:cs="Arial" w:eastAsia="Arial" w:hAnsi="Arial"/>
                <w:sz w:val="14"/>
                <w:szCs w:val="14"/>
                <w:color w:val="0000FF"/>
              </w:rPr>
              <w:t>Form of Common Stock certificate of Wealthfront Corporation.</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rFonts w:ascii="Arial" w:cs="Arial" w:eastAsia="Arial" w:hAnsi="Arial"/>
                <w:sz w:val="14"/>
                <w:szCs w:val="14"/>
                <w:color w:val="0000FF"/>
              </w:rPr>
            </w:pPr>
            <w:hyperlink r:id="rId120">
              <w:r>
                <w:rPr>
                  <w:rFonts w:ascii="Arial" w:cs="Arial" w:eastAsia="Arial" w:hAnsi="Arial"/>
                  <w:sz w:val="14"/>
                  <w:szCs w:val="14"/>
                  <w:color w:val="0000FF"/>
                </w:rPr>
                <w:t>Amended and Restated Investors’ Rights Agreement among Wealthfront Corporation and certain holders of its capital stock and warrants to purchase shares of</w:t>
              </w:r>
            </w:hyperlink>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6"/>
          </w:tcPr>
          <w:p>
            <w:pPr>
              <w:spacing w:after="0" w:line="117" w:lineRule="exact"/>
              <w:rPr>
                <w:rFonts w:ascii="Arial" w:cs="Arial" w:eastAsia="Arial" w:hAnsi="Arial"/>
                <w:sz w:val="13"/>
                <w:szCs w:val="13"/>
                <w:color w:val="0000FF"/>
              </w:rPr>
            </w:pPr>
            <w:hyperlink r:id="rId120">
              <w:r>
                <w:rPr>
                  <w:rFonts w:ascii="Arial" w:cs="Arial" w:eastAsia="Arial" w:hAnsi="Arial"/>
                  <w:sz w:val="13"/>
                  <w:szCs w:val="13"/>
                  <w:color w:val="0000FF"/>
                </w:rPr>
                <w:t>its capital stock, dated September 22, 2022.</w:t>
              </w:r>
            </w:hyperlink>
          </w:p>
        </w:tc>
        <w:tc>
          <w:tcPr>
            <w:tcW w:w="7140" w:type="dxa"/>
            <w:vAlign w:val="bottom"/>
            <w:tcBorders>
              <w:top w:val="single" w:sz="8" w:color="0000FF"/>
            </w:tcBorders>
            <w:gridSpan w:val="21"/>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rPr>
                <w:rFonts w:ascii="Arial" w:cs="Arial" w:eastAsia="Arial" w:hAnsi="Arial"/>
                <w:sz w:val="14"/>
                <w:szCs w:val="14"/>
                <w:color w:val="0000FF"/>
              </w:rPr>
            </w:pPr>
            <w:hyperlink r:id="rId121">
              <w:r>
                <w:rPr>
                  <w:rFonts w:ascii="Arial" w:cs="Arial" w:eastAsia="Arial" w:hAnsi="Arial"/>
                  <w:sz w:val="14"/>
                  <w:szCs w:val="14"/>
                  <w:color w:val="0000FF"/>
                </w:rPr>
                <w:t>Plain English Warrant Agreement between Wealthfront Corporation and TriplePoint Capital LLC, dated April 22, 2016.</w:t>
              </w:r>
            </w:hyperlink>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0"/>
          </w:tcPr>
          <w:p>
            <w:pPr>
              <w:spacing w:after="0" w:line="159" w:lineRule="exact"/>
              <w:rPr>
                <w:rFonts w:ascii="Arial" w:cs="Arial" w:eastAsia="Arial" w:hAnsi="Arial"/>
                <w:sz w:val="14"/>
                <w:szCs w:val="14"/>
                <w:color w:val="0000FF"/>
                <w:w w:val="99"/>
              </w:rPr>
            </w:pPr>
            <w:hyperlink r:id="rId122">
              <w:r>
                <w:rPr>
                  <w:rFonts w:ascii="Arial" w:cs="Arial" w:eastAsia="Arial" w:hAnsi="Arial"/>
                  <w:sz w:val="14"/>
                  <w:szCs w:val="14"/>
                  <w:color w:val="0000FF"/>
                  <w:w w:val="99"/>
                </w:rPr>
                <w:t>Form of 2019 Warrant to Purchase Common Stock.</w:t>
              </w:r>
            </w:hyperlink>
          </w:p>
        </w:tc>
        <w:tc>
          <w:tcPr>
            <w:tcW w:w="4060" w:type="dxa"/>
            <w:vAlign w:val="bottom"/>
            <w:tcBorders>
              <w:top w:val="single" w:sz="8" w:color="0000FF"/>
            </w:tcBorders>
            <w:gridSpan w:val="13"/>
          </w:tcPr>
          <w:p>
            <w:pPr>
              <w:spacing w:after="0"/>
              <w:rPr>
                <w:sz w:val="13"/>
                <w:szCs w:val="13"/>
                <w:color w:val="auto"/>
              </w:rPr>
            </w:pPr>
          </w:p>
        </w:tc>
        <w:tc>
          <w:tcPr>
            <w:tcW w:w="27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bottom w:val="single" w:sz="8" w:color="0000FF"/>
            </w:tcBorders>
            <w:gridSpan w:val="10"/>
          </w:tcPr>
          <w:p>
            <w:pPr>
              <w:spacing w:after="0" w:line="159" w:lineRule="exact"/>
              <w:rPr>
                <w:rFonts w:ascii="Arial" w:cs="Arial" w:eastAsia="Arial" w:hAnsi="Arial"/>
                <w:sz w:val="14"/>
                <w:szCs w:val="14"/>
                <w:color w:val="0000FF"/>
                <w:w w:val="99"/>
              </w:rPr>
            </w:pPr>
            <w:hyperlink r:id="rId123">
              <w:r>
                <w:rPr>
                  <w:rFonts w:ascii="Arial" w:cs="Arial" w:eastAsia="Arial" w:hAnsi="Arial"/>
                  <w:sz w:val="14"/>
                  <w:szCs w:val="14"/>
                  <w:color w:val="0000FF"/>
                  <w:w w:val="99"/>
                </w:rPr>
                <w:t>Form of 2020 Warrant to Purchase Common Stock.</w:t>
              </w:r>
            </w:hyperlink>
          </w:p>
        </w:tc>
        <w:tc>
          <w:tcPr>
            <w:tcW w:w="680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bottom w:val="single" w:sz="8" w:color="0000FF"/>
            </w:tcBorders>
            <w:gridSpan w:val="9"/>
          </w:tcPr>
          <w:p>
            <w:pPr>
              <w:spacing w:after="0" w:line="159" w:lineRule="exact"/>
              <w:rPr>
                <w:rFonts w:ascii="Arial" w:cs="Arial" w:eastAsia="Arial" w:hAnsi="Arial"/>
                <w:sz w:val="14"/>
                <w:szCs w:val="14"/>
                <w:color w:val="0000FF"/>
                <w:w w:val="99"/>
              </w:rPr>
            </w:pPr>
            <w:hyperlink r:id="rId124">
              <w:r>
                <w:rPr>
                  <w:rFonts w:ascii="Arial" w:cs="Arial" w:eastAsia="Arial" w:hAnsi="Arial"/>
                  <w:sz w:val="14"/>
                  <w:szCs w:val="14"/>
                  <w:color w:val="0000FF"/>
                  <w:w w:val="99"/>
                </w:rPr>
                <w:t>Form of 2021 Warrant to Purchase Common Stock.</w:t>
              </w:r>
            </w:hyperlink>
          </w:p>
        </w:tc>
        <w:tc>
          <w:tcPr>
            <w:tcW w:w="682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bottom w:val="single" w:sz="8" w:color="0000FF"/>
            </w:tcBorders>
            <w:gridSpan w:val="3"/>
          </w:tcPr>
          <w:p>
            <w:pPr>
              <w:spacing w:after="0" w:line="159" w:lineRule="exact"/>
              <w:rPr>
                <w:sz w:val="20"/>
                <w:szCs w:val="20"/>
                <w:color w:val="auto"/>
              </w:rPr>
            </w:pPr>
            <w:r>
              <w:rPr>
                <w:rFonts w:ascii="Arial" w:cs="Arial" w:eastAsia="Arial" w:hAnsi="Arial"/>
                <w:sz w:val="14"/>
                <w:szCs w:val="14"/>
                <w:color w:val="0000FF"/>
                <w:w w:val="97"/>
              </w:rPr>
              <w:t>Opinion of Fenwick &amp; West LLP.</w:t>
            </w:r>
          </w:p>
        </w:tc>
        <w:tc>
          <w:tcPr>
            <w:tcW w:w="8020" w:type="dxa"/>
            <w:vAlign w:val="bottom"/>
            <w:gridSpan w:val="26"/>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10.1*</w:t>
            </w:r>
            <w:r>
              <w:rPr>
                <w:rFonts w:ascii="Arial" w:cs="Arial" w:eastAsia="Arial" w:hAnsi="Arial"/>
                <w:sz w:val="18"/>
                <w:szCs w:val="18"/>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bottom w:val="single" w:sz="8" w:color="0000FF"/>
            </w:tcBorders>
            <w:gridSpan w:val="22"/>
          </w:tcPr>
          <w:p>
            <w:pPr>
              <w:spacing w:after="0" w:line="159" w:lineRule="exact"/>
              <w:rPr>
                <w:rFonts w:ascii="Arial" w:cs="Arial" w:eastAsia="Arial" w:hAnsi="Arial"/>
                <w:sz w:val="14"/>
                <w:szCs w:val="14"/>
                <w:color w:val="0000FF"/>
                <w:w w:val="99"/>
              </w:rPr>
            </w:pPr>
            <w:hyperlink r:id="rId125">
              <w:r>
                <w:rPr>
                  <w:rFonts w:ascii="Arial" w:cs="Arial" w:eastAsia="Arial" w:hAnsi="Arial"/>
                  <w:sz w:val="14"/>
                  <w:szCs w:val="14"/>
                  <w:color w:val="0000FF"/>
                  <w:w w:val="99"/>
                </w:rPr>
                <w:t>Form of Indemnity Agreement between Wealthfront Corporation and each of its directors and executive officers.</w:t>
              </w:r>
            </w:hyperlink>
          </w:p>
        </w:tc>
        <w:tc>
          <w:tcPr>
            <w:tcW w:w="31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10.2*</w:t>
            </w:r>
            <w:r>
              <w:rPr>
                <w:rFonts w:ascii="Arial" w:cs="Arial" w:eastAsia="Arial" w:hAnsi="Arial"/>
                <w:sz w:val="18"/>
                <w:szCs w:val="18"/>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bottom w:val="single" w:sz="8" w:color="0000FF"/>
            </w:tcBorders>
            <w:gridSpan w:val="15"/>
          </w:tcPr>
          <w:p>
            <w:pPr>
              <w:spacing w:after="0" w:line="159" w:lineRule="exact"/>
              <w:rPr>
                <w:rFonts w:ascii="Arial" w:cs="Arial" w:eastAsia="Arial" w:hAnsi="Arial"/>
                <w:sz w:val="14"/>
                <w:szCs w:val="14"/>
                <w:color w:val="0000FF"/>
                <w:w w:val="99"/>
              </w:rPr>
            </w:pPr>
            <w:hyperlink r:id="rId126">
              <w:r>
                <w:rPr>
                  <w:rFonts w:ascii="Arial" w:cs="Arial" w:eastAsia="Arial" w:hAnsi="Arial"/>
                  <w:sz w:val="14"/>
                  <w:szCs w:val="14"/>
                  <w:color w:val="0000FF"/>
                  <w:w w:val="99"/>
                </w:rPr>
                <w:t>Wealthfront Corporation 2008 Equity Incentive Plan and related form agreements.</w:t>
              </w:r>
            </w:hyperlink>
          </w:p>
        </w:tc>
        <w:tc>
          <w:tcPr>
            <w:tcW w:w="49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10.3*</w:t>
            </w:r>
            <w:r>
              <w:rPr>
                <w:rFonts w:ascii="Arial" w:cs="Arial" w:eastAsia="Arial" w:hAnsi="Arial"/>
                <w:sz w:val="18"/>
                <w:szCs w:val="18"/>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rFonts w:ascii="Arial" w:cs="Arial" w:eastAsia="Arial" w:hAnsi="Arial"/>
                <w:sz w:val="14"/>
                <w:szCs w:val="14"/>
                <w:color w:val="0000FF"/>
              </w:rPr>
            </w:pPr>
            <w:hyperlink r:id="rId127">
              <w:r>
                <w:rPr>
                  <w:rFonts w:ascii="Arial" w:cs="Arial" w:eastAsia="Arial" w:hAnsi="Arial"/>
                  <w:sz w:val="14"/>
                  <w:szCs w:val="14"/>
                  <w:color w:val="0000FF"/>
                </w:rPr>
                <w:t>Wealthfront Corporation 2017 Equity Incentive Plan and related form agreements.</w:t>
              </w:r>
            </w:hyperlink>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179" w:lineRule="exact"/>
              <w:rPr>
                <w:sz w:val="20"/>
                <w:szCs w:val="20"/>
                <w:color w:val="auto"/>
              </w:rPr>
            </w:pPr>
            <w:r>
              <w:rPr>
                <w:rFonts w:ascii="Arial" w:cs="Arial" w:eastAsia="Arial" w:hAnsi="Arial"/>
                <w:sz w:val="14"/>
                <w:szCs w:val="14"/>
                <w:color w:val="auto"/>
              </w:rPr>
              <w:t>10.4*</w:t>
            </w:r>
            <w:r>
              <w:rPr>
                <w:rFonts w:ascii="Arial" w:cs="Arial" w:eastAsia="Arial" w:hAnsi="Arial"/>
                <w:sz w:val="18"/>
                <w:szCs w:val="18"/>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rFonts w:ascii="Arial" w:cs="Arial" w:eastAsia="Arial" w:hAnsi="Arial"/>
                <w:sz w:val="14"/>
                <w:szCs w:val="14"/>
                <w:color w:val="0000FF"/>
              </w:rPr>
            </w:pPr>
            <w:hyperlink r:id="rId128">
              <w:r>
                <w:rPr>
                  <w:rFonts w:ascii="Arial" w:cs="Arial" w:eastAsia="Arial" w:hAnsi="Arial"/>
                  <w:sz w:val="14"/>
                  <w:szCs w:val="14"/>
                  <w:color w:val="0000FF"/>
                </w:rPr>
                <w:t>Wealthfront Corporation 2025 Equity Incentive Plan and related form agreements.</w:t>
              </w:r>
            </w:hyperlink>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179" w:lineRule="exact"/>
              <w:rPr>
                <w:sz w:val="20"/>
                <w:szCs w:val="20"/>
                <w:color w:val="auto"/>
              </w:rPr>
            </w:pPr>
            <w:r>
              <w:rPr>
                <w:rFonts w:ascii="Arial" w:cs="Arial" w:eastAsia="Arial" w:hAnsi="Arial"/>
                <w:sz w:val="14"/>
                <w:szCs w:val="14"/>
                <w:color w:val="auto"/>
              </w:rPr>
              <w:t>10.5*</w:t>
            </w:r>
            <w:r>
              <w:rPr>
                <w:rFonts w:ascii="Arial" w:cs="Arial" w:eastAsia="Arial" w:hAnsi="Arial"/>
                <w:sz w:val="18"/>
                <w:szCs w:val="18"/>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rFonts w:ascii="Arial" w:cs="Arial" w:eastAsia="Arial" w:hAnsi="Arial"/>
                <w:sz w:val="14"/>
                <w:szCs w:val="14"/>
                <w:color w:val="0000FF"/>
              </w:rPr>
            </w:pPr>
            <w:hyperlink r:id="rId129">
              <w:r>
                <w:rPr>
                  <w:rFonts w:ascii="Arial" w:cs="Arial" w:eastAsia="Arial" w:hAnsi="Arial"/>
                  <w:sz w:val="14"/>
                  <w:szCs w:val="14"/>
                  <w:color w:val="0000FF"/>
                </w:rPr>
                <w:t>Wealthfront Corporation 2025 Employee Stock Purchase Plan and related form agreements.</w:t>
              </w:r>
            </w:hyperlink>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10.6*</w:t>
            </w:r>
            <w:r>
              <w:rPr>
                <w:rFonts w:ascii="Arial" w:cs="Arial" w:eastAsia="Arial" w:hAnsi="Arial"/>
                <w:sz w:val="18"/>
                <w:szCs w:val="18"/>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7"/>
          </w:tcPr>
          <w:p>
            <w:pPr>
              <w:spacing w:after="0" w:line="159" w:lineRule="exact"/>
              <w:rPr>
                <w:rFonts w:ascii="Arial" w:cs="Arial" w:eastAsia="Arial" w:hAnsi="Arial"/>
                <w:sz w:val="14"/>
                <w:szCs w:val="14"/>
                <w:color w:val="0000FF"/>
                <w:w w:val="98"/>
              </w:rPr>
            </w:pPr>
            <w:r>
              <w:rPr>
                <w:rFonts w:ascii="Arial" w:cs="Arial" w:eastAsia="Arial" w:hAnsi="Arial"/>
                <w:sz w:val="14"/>
                <w:szCs w:val="14"/>
                <w:color w:val="0000FF"/>
                <w:w w:val="98"/>
              </w:rPr>
              <w:t>Non</w:t>
            </w:r>
            <w:hyperlink r:id="rId130">
              <w:r>
                <w:rPr>
                  <w:rFonts w:ascii="Arial" w:cs="Arial" w:eastAsia="Arial" w:hAnsi="Arial"/>
                  <w:sz w:val="14"/>
                  <w:szCs w:val="14"/>
                  <w:color w:val="0000FF"/>
                  <w:w w:val="98"/>
                </w:rPr>
                <w:t>-Employee Director Compensation Policy</w:t>
              </w:r>
            </w:hyperlink>
          </w:p>
        </w:tc>
        <w:tc>
          <w:tcPr>
            <w:tcW w:w="2900" w:type="dxa"/>
            <w:vAlign w:val="bottom"/>
            <w:tcBorders>
              <w:top w:val="single" w:sz="8" w:color="0000FF"/>
            </w:tcBorders>
            <w:gridSpan w:val="9"/>
          </w:tcPr>
          <w:p>
            <w:pPr>
              <w:spacing w:after="0"/>
              <w:rPr>
                <w:sz w:val="13"/>
                <w:szCs w:val="13"/>
                <w:color w:val="auto"/>
              </w:rPr>
            </w:pPr>
          </w:p>
        </w:tc>
        <w:tc>
          <w:tcPr>
            <w:tcW w:w="43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10.7*</w:t>
            </w:r>
            <w:r>
              <w:rPr>
                <w:rFonts w:ascii="Arial" w:cs="Arial" w:eastAsia="Arial" w:hAnsi="Arial"/>
                <w:sz w:val="18"/>
                <w:szCs w:val="18"/>
                <w:color w:val="auto"/>
                <w:vertAlign w:val="superscript"/>
              </w:rPr>
              <w:t>+†</w:t>
            </w:r>
          </w:p>
        </w:tc>
        <w:tc>
          <w:tcPr>
            <w:tcW w:w="20" w:type="dxa"/>
            <w:vAlign w:val="bottom"/>
          </w:tcPr>
          <w:p>
            <w:pPr>
              <w:spacing w:after="0"/>
              <w:rPr>
                <w:sz w:val="13"/>
                <w:szCs w:val="13"/>
                <w:color w:val="auto"/>
              </w:rPr>
            </w:pPr>
          </w:p>
        </w:tc>
        <w:tc>
          <w:tcPr>
            <w:tcW w:w="6720" w:type="dxa"/>
            <w:vAlign w:val="bottom"/>
            <w:tcBorders>
              <w:bottom w:val="single" w:sz="8" w:color="0000FF"/>
            </w:tcBorders>
            <w:gridSpan w:val="20"/>
          </w:tcPr>
          <w:p>
            <w:pPr>
              <w:spacing w:after="0" w:line="159" w:lineRule="exact"/>
              <w:rPr>
                <w:rFonts w:ascii="Arial" w:cs="Arial" w:eastAsia="Arial" w:hAnsi="Arial"/>
                <w:sz w:val="14"/>
                <w:szCs w:val="14"/>
                <w:color w:val="0000FF"/>
                <w:w w:val="99"/>
              </w:rPr>
            </w:pPr>
            <w:hyperlink r:id="rId131">
              <w:r>
                <w:rPr>
                  <w:rFonts w:ascii="Arial" w:cs="Arial" w:eastAsia="Arial" w:hAnsi="Arial"/>
                  <w:sz w:val="14"/>
                  <w:szCs w:val="14"/>
                  <w:color w:val="0000FF"/>
                  <w:w w:val="99"/>
                </w:rPr>
                <w:t>Confirmatory Offer Letter between David Fortunato and Wealthfront Corporation, dated September 26, 2025.</w:t>
              </w:r>
            </w:hyperlink>
          </w:p>
        </w:tc>
        <w:tc>
          <w:tcPr>
            <w:tcW w:w="3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10.8*</w:t>
            </w:r>
            <w:r>
              <w:rPr>
                <w:rFonts w:ascii="Arial" w:cs="Arial" w:eastAsia="Arial" w:hAnsi="Arial"/>
                <w:sz w:val="18"/>
                <w:szCs w:val="18"/>
                <w:color w:val="auto"/>
                <w:vertAlign w:val="superscript"/>
              </w:rPr>
              <w:t>+†</w:t>
            </w:r>
          </w:p>
        </w:tc>
        <w:tc>
          <w:tcPr>
            <w:tcW w:w="20" w:type="dxa"/>
            <w:vAlign w:val="bottom"/>
          </w:tcPr>
          <w:p>
            <w:pPr>
              <w:spacing w:after="0"/>
              <w:rPr>
                <w:sz w:val="13"/>
                <w:szCs w:val="13"/>
                <w:color w:val="auto"/>
              </w:rPr>
            </w:pPr>
          </w:p>
        </w:tc>
        <w:tc>
          <w:tcPr>
            <w:tcW w:w="6200" w:type="dxa"/>
            <w:vAlign w:val="bottom"/>
            <w:tcBorders>
              <w:bottom w:val="single" w:sz="8" w:color="0000FF"/>
            </w:tcBorders>
            <w:gridSpan w:val="19"/>
          </w:tcPr>
          <w:p>
            <w:pPr>
              <w:spacing w:after="0" w:line="159" w:lineRule="exact"/>
              <w:rPr>
                <w:rFonts w:ascii="Arial" w:cs="Arial" w:eastAsia="Arial" w:hAnsi="Arial"/>
                <w:sz w:val="14"/>
                <w:szCs w:val="14"/>
                <w:color w:val="0000FF"/>
                <w:w w:val="99"/>
              </w:rPr>
            </w:pPr>
            <w:hyperlink r:id="rId132">
              <w:r>
                <w:rPr>
                  <w:rFonts w:ascii="Arial" w:cs="Arial" w:eastAsia="Arial" w:hAnsi="Arial"/>
                  <w:sz w:val="14"/>
                  <w:szCs w:val="14"/>
                  <w:color w:val="0000FF"/>
                  <w:w w:val="99"/>
                </w:rPr>
                <w:t>Confirmatory Offer Letter between Kal Iyer and Wealthfront Corporation, dated September 26, 2025.</w:t>
              </w:r>
            </w:hyperlink>
          </w:p>
        </w:tc>
        <w:tc>
          <w:tcPr>
            <w:tcW w:w="38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10.9*</w:t>
            </w:r>
            <w:r>
              <w:rPr>
                <w:rFonts w:ascii="Arial" w:cs="Arial" w:eastAsia="Arial" w:hAnsi="Arial"/>
                <w:sz w:val="18"/>
                <w:szCs w:val="18"/>
                <w:color w:val="auto"/>
                <w:vertAlign w:val="superscript"/>
              </w:rPr>
              <w:t>+†</w:t>
            </w:r>
          </w:p>
        </w:tc>
        <w:tc>
          <w:tcPr>
            <w:tcW w:w="20" w:type="dxa"/>
            <w:vAlign w:val="bottom"/>
          </w:tcPr>
          <w:p>
            <w:pPr>
              <w:spacing w:after="0"/>
              <w:rPr>
                <w:sz w:val="13"/>
                <w:szCs w:val="13"/>
                <w:color w:val="auto"/>
              </w:rPr>
            </w:pPr>
          </w:p>
        </w:tc>
        <w:tc>
          <w:tcPr>
            <w:tcW w:w="6820" w:type="dxa"/>
            <w:vAlign w:val="bottom"/>
            <w:tcBorders>
              <w:bottom w:val="single" w:sz="8" w:color="0000FF"/>
            </w:tcBorders>
            <w:gridSpan w:val="21"/>
          </w:tcPr>
          <w:p>
            <w:pPr>
              <w:spacing w:after="0" w:line="159" w:lineRule="exact"/>
              <w:rPr>
                <w:rFonts w:ascii="Arial" w:cs="Arial" w:eastAsia="Arial" w:hAnsi="Arial"/>
                <w:sz w:val="14"/>
                <w:szCs w:val="14"/>
                <w:color w:val="0000FF"/>
                <w:w w:val="99"/>
              </w:rPr>
            </w:pPr>
            <w:hyperlink r:id="rId133">
              <w:r>
                <w:rPr>
                  <w:rFonts w:ascii="Arial" w:cs="Arial" w:eastAsia="Arial" w:hAnsi="Arial"/>
                  <w:sz w:val="14"/>
                  <w:szCs w:val="14"/>
                  <w:color w:val="0000FF"/>
                  <w:w w:val="99"/>
                </w:rPr>
                <w:t>Confirmatory Offer Letter between Julien Wetterwald and Wealthfront Corporation, dated September 26, 2025.</w:t>
              </w:r>
            </w:hyperlink>
          </w:p>
        </w:tc>
        <w:tc>
          <w:tcPr>
            <w:tcW w:w="3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10.10*</w:t>
            </w:r>
            <w:r>
              <w:rPr>
                <w:rFonts w:ascii="Arial" w:cs="Arial" w:eastAsia="Arial" w:hAnsi="Arial"/>
                <w:sz w:val="18"/>
                <w:szCs w:val="18"/>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rFonts w:ascii="Arial" w:cs="Arial" w:eastAsia="Arial" w:hAnsi="Arial"/>
                <w:sz w:val="14"/>
                <w:szCs w:val="14"/>
                <w:color w:val="0000FF"/>
              </w:rPr>
            </w:pPr>
            <w:hyperlink r:id="rId134">
              <w:r>
                <w:rPr>
                  <w:rFonts w:ascii="Arial" w:cs="Arial" w:eastAsia="Arial" w:hAnsi="Arial"/>
                  <w:sz w:val="14"/>
                  <w:szCs w:val="14"/>
                  <w:color w:val="0000FF"/>
                </w:rPr>
                <w:t>Form of Change of Control and Severance Agreement between Wealthfront Corporation and each of its named executive officers.</w:t>
              </w:r>
            </w:hyperlink>
          </w:p>
        </w:tc>
        <w:tc>
          <w:tcPr>
            <w:tcW w:w="0" w:type="dxa"/>
            <w:vAlign w:val="bottom"/>
          </w:tcPr>
          <w:p>
            <w:pPr>
              <w:spacing w:after="0"/>
              <w:rPr>
                <w:sz w:val="1"/>
                <w:szCs w:val="1"/>
                <w:color w:val="auto"/>
              </w:rPr>
            </w:pPr>
          </w:p>
        </w:tc>
      </w:tr>
      <w:tr>
        <w:trPr>
          <w:trHeight w:val="159"/>
        </w:trPr>
        <w:tc>
          <w:tcPr>
            <w:tcW w:w="12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10.11*</w:t>
            </w:r>
            <w:r>
              <w:rPr>
                <w:rFonts w:ascii="Arial" w:cs="Arial" w:eastAsia="Arial" w:hAnsi="Arial"/>
                <w:sz w:val="18"/>
                <w:szCs w:val="18"/>
                <w:color w:val="auto"/>
                <w:vertAlign w:val="superscript"/>
              </w:rPr>
              <w:t>†</w:t>
            </w:r>
          </w:p>
        </w:tc>
        <w:tc>
          <w:tcPr>
            <w:tcW w:w="20" w:type="dxa"/>
            <w:vAlign w:val="bottom"/>
          </w:tcPr>
          <w:p>
            <w:pPr>
              <w:spacing w:after="0"/>
              <w:rPr>
                <w:sz w:val="13"/>
                <w:szCs w:val="13"/>
                <w:color w:val="auto"/>
              </w:rPr>
            </w:pPr>
          </w:p>
        </w:tc>
        <w:tc>
          <w:tcPr>
            <w:tcW w:w="8020" w:type="dxa"/>
            <w:vAlign w:val="bottom"/>
            <w:tcBorders>
              <w:top w:val="single" w:sz="8" w:color="0000FF"/>
            </w:tcBorders>
            <w:gridSpan w:val="25"/>
          </w:tcPr>
          <w:p>
            <w:pPr>
              <w:spacing w:after="0" w:line="159" w:lineRule="exact"/>
              <w:rPr>
                <w:rFonts w:ascii="Arial" w:cs="Arial" w:eastAsia="Arial" w:hAnsi="Arial"/>
                <w:sz w:val="14"/>
                <w:szCs w:val="14"/>
                <w:color w:val="0000FF"/>
              </w:rPr>
            </w:pPr>
            <w:hyperlink r:id="rId135">
              <w:r>
                <w:rPr>
                  <w:rFonts w:ascii="Arial" w:cs="Arial" w:eastAsia="Arial" w:hAnsi="Arial"/>
                  <w:sz w:val="14"/>
                  <w:szCs w:val="14"/>
                  <w:color w:val="0000FF"/>
                </w:rPr>
                <w:t>Sublease, between Palantir Technologies Inc. and Wealthfront Corporation, dated October 12, 2018.</w:t>
              </w:r>
            </w:hyperlink>
          </w:p>
        </w:tc>
        <w:tc>
          <w:tcPr>
            <w:tcW w:w="19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ind w:left="20"/>
              <w:spacing w:after="0" w:line="179" w:lineRule="exact"/>
              <w:rPr>
                <w:sz w:val="20"/>
                <w:szCs w:val="20"/>
                <w:color w:val="auto"/>
              </w:rPr>
            </w:pPr>
            <w:r>
              <w:rPr>
                <w:rFonts w:ascii="Arial" w:cs="Arial" w:eastAsia="Arial" w:hAnsi="Arial"/>
                <w:sz w:val="14"/>
                <w:szCs w:val="14"/>
                <w:color w:val="auto"/>
              </w:rPr>
              <w:t>10.12</w:t>
            </w:r>
            <w:r>
              <w:rPr>
                <w:rFonts w:ascii="Arial" w:cs="Arial" w:eastAsia="Arial" w:hAnsi="Arial"/>
                <w:sz w:val="18"/>
                <w:szCs w:val="18"/>
                <w:color w:val="auto"/>
                <w:vertAlign w:val="superscript"/>
              </w:rPr>
              <w:t>†</w:t>
            </w: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sz w:val="20"/>
                <w:szCs w:val="20"/>
                <w:color w:val="auto"/>
              </w:rPr>
            </w:pPr>
            <w:r>
              <w:rPr>
                <w:rFonts w:ascii="Arial" w:cs="Arial" w:eastAsia="Arial" w:hAnsi="Arial"/>
                <w:sz w:val="14"/>
                <w:szCs w:val="14"/>
                <w:color w:val="0000FF"/>
              </w:rPr>
              <w:t>Amended and Restated Credit Agreement between Wealthfront Corporation, as borrower, and Wells Fargo Bank, National Association, as lender, dated October</w:t>
            </w: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0000FF"/>
              <w:bottom w:val="single" w:sz="8" w:color="0000FF"/>
            </w:tcBorders>
          </w:tcPr>
          <w:p>
            <w:pPr>
              <w:spacing w:after="0" w:line="117" w:lineRule="exact"/>
              <w:rPr>
                <w:sz w:val="20"/>
                <w:szCs w:val="20"/>
                <w:color w:val="auto"/>
              </w:rPr>
            </w:pPr>
            <w:r>
              <w:rPr>
                <w:rFonts w:ascii="Arial" w:cs="Arial" w:eastAsia="Arial" w:hAnsi="Arial"/>
                <w:sz w:val="13"/>
                <w:szCs w:val="13"/>
                <w:color w:val="0000FF"/>
              </w:rPr>
              <w:t>14, 2025.</w:t>
            </w:r>
          </w:p>
        </w:tc>
        <w:tc>
          <w:tcPr>
            <w:tcW w:w="76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0"/>
              <w:spacing w:after="0" w:line="170" w:lineRule="exact"/>
              <w:rPr>
                <w:sz w:val="20"/>
                <w:szCs w:val="20"/>
                <w:color w:val="auto"/>
              </w:rPr>
            </w:pPr>
            <w:r>
              <w:rPr>
                <w:rFonts w:ascii="Arial" w:cs="Arial" w:eastAsia="Arial" w:hAnsi="Arial"/>
                <w:sz w:val="14"/>
                <w:szCs w:val="14"/>
                <w:color w:val="auto"/>
              </w:rPr>
              <w:t>10.13*</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rPr>
                <w:rFonts w:ascii="Arial" w:cs="Arial" w:eastAsia="Arial" w:hAnsi="Arial"/>
                <w:sz w:val="14"/>
                <w:szCs w:val="14"/>
                <w:color w:val="0000FF"/>
              </w:rPr>
            </w:pPr>
            <w:hyperlink r:id="rId136">
              <w:r>
                <w:rPr>
                  <w:rFonts w:ascii="Arial" w:cs="Arial" w:eastAsia="Arial" w:hAnsi="Arial"/>
                  <w:sz w:val="14"/>
                  <w:szCs w:val="14"/>
                  <w:color w:val="0000FF"/>
                </w:rPr>
                <w:t>Umbrella Bonus Plan.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21.1*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rFonts w:ascii="Arial" w:cs="Arial" w:eastAsia="Arial" w:hAnsi="Arial"/>
                <w:sz w:val="14"/>
                <w:szCs w:val="14"/>
                <w:color w:val="0000FF"/>
              </w:rPr>
            </w:pPr>
            <w:hyperlink r:id="rId137">
              <w:r>
                <w:rPr>
                  <w:rFonts w:ascii="Arial" w:cs="Arial" w:eastAsia="Arial" w:hAnsi="Arial"/>
                  <w:sz w:val="14"/>
                  <w:szCs w:val="14"/>
                  <w:color w:val="0000FF"/>
                </w:rPr>
                <w:t>List of Subsidiaries of Wealthfront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23.1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bottom w:val="single" w:sz="8" w:color="0000FF"/>
            </w:tcBorders>
            <w:gridSpan w:val="13"/>
          </w:tcPr>
          <w:p>
            <w:pPr>
              <w:spacing w:after="0" w:line="159" w:lineRule="exact"/>
              <w:rPr>
                <w:sz w:val="20"/>
                <w:szCs w:val="20"/>
                <w:color w:val="auto"/>
              </w:rPr>
            </w:pPr>
            <w:r>
              <w:rPr>
                <w:rFonts w:ascii="Arial" w:cs="Arial" w:eastAsia="Arial" w:hAnsi="Arial"/>
                <w:sz w:val="14"/>
                <w:szCs w:val="14"/>
                <w:color w:val="0000FF"/>
                <w:w w:val="99"/>
              </w:rPr>
              <w:t>Consent of Ernst &amp; Young LLP, independent registered public accounting firm.</w:t>
            </w:r>
          </w:p>
        </w:tc>
        <w:tc>
          <w:tcPr>
            <w:tcW w:w="518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23.2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sz w:val="20"/>
                <w:szCs w:val="20"/>
                <w:color w:val="auto"/>
              </w:rPr>
            </w:pPr>
            <w:r>
              <w:rPr>
                <w:rFonts w:ascii="Arial" w:cs="Arial" w:eastAsia="Arial" w:hAnsi="Arial"/>
                <w:sz w:val="14"/>
                <w:szCs w:val="14"/>
                <w:color w:val="0000FF"/>
              </w:rPr>
              <w:t>Consent of Fenwick &amp; West LLP (included in Exhibit 5.1).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41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24.1*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bottom w:val="single" w:sz="8" w:color="0000FF"/>
            </w:tcBorders>
            <w:gridSpan w:val="17"/>
          </w:tcPr>
          <w:p>
            <w:pPr>
              <w:spacing w:after="0" w:line="159" w:lineRule="exact"/>
              <w:rPr>
                <w:rFonts w:ascii="Arial" w:cs="Arial" w:eastAsia="Arial" w:hAnsi="Arial"/>
                <w:sz w:val="14"/>
                <w:szCs w:val="14"/>
                <w:color w:val="0000FF"/>
                <w:w w:val="99"/>
              </w:rPr>
            </w:pPr>
            <w:hyperlink r:id="rId138">
              <w:r>
                <w:rPr>
                  <w:rFonts w:ascii="Arial" w:cs="Arial" w:eastAsia="Arial" w:hAnsi="Arial"/>
                  <w:sz w:val="14"/>
                  <w:szCs w:val="14"/>
                  <w:color w:val="0000FF"/>
                  <w:w w:val="99"/>
                </w:rPr>
                <w:t>Power of Attorney (included in the signature page to this Registration Statement on Form S-1).</w:t>
              </w:r>
            </w:hyperlink>
          </w:p>
        </w:tc>
        <w:tc>
          <w:tcPr>
            <w:tcW w:w="41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ind w:left="20"/>
              <w:spacing w:after="0" w:line="159" w:lineRule="exact"/>
              <w:rPr>
                <w:sz w:val="20"/>
                <w:szCs w:val="20"/>
                <w:color w:val="auto"/>
              </w:rPr>
            </w:pPr>
            <w:r>
              <w:rPr>
                <w:rFonts w:ascii="Arial" w:cs="Arial" w:eastAsia="Arial" w:hAnsi="Arial"/>
                <w:sz w:val="14"/>
                <w:szCs w:val="14"/>
                <w:color w:val="auto"/>
              </w:rPr>
              <w:t>99.1*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29"/>
          </w:tcPr>
          <w:p>
            <w:pPr>
              <w:spacing w:after="0" w:line="159" w:lineRule="exact"/>
              <w:rPr>
                <w:rFonts w:ascii="Arial" w:cs="Arial" w:eastAsia="Arial" w:hAnsi="Arial"/>
                <w:sz w:val="14"/>
                <w:szCs w:val="14"/>
                <w:color w:val="0000FF"/>
              </w:rPr>
            </w:pPr>
            <w:hyperlink r:id="rId139">
              <w:r>
                <w:rPr>
                  <w:rFonts w:ascii="Arial" w:cs="Arial" w:eastAsia="Arial" w:hAnsi="Arial"/>
                  <w:sz w:val="14"/>
                  <w:szCs w:val="14"/>
                  <w:color w:val="0000FF"/>
                </w:rPr>
                <w:t xml:space="preserve">Consent of Oxford </w:t>
              </w:r>
            </w:hyperlink>
            <w:r>
              <w:rPr>
                <w:rFonts w:ascii="Arial" w:cs="Arial" w:eastAsia="Arial" w:hAnsi="Arial"/>
                <w:sz w:val="14"/>
                <w:szCs w:val="14"/>
                <w:color w:val="0000FF"/>
              </w:rPr>
              <w:t xml:space="preserve">Economics </w:t>
            </w:r>
            <w:hyperlink r:id="rId139">
              <w:r>
                <w:rPr>
                  <w:rFonts w:ascii="Arial" w:cs="Arial" w:eastAsia="Arial" w:hAnsi="Arial"/>
                  <w:sz w:val="14"/>
                  <w:szCs w:val="14"/>
                  <w:color w:val="0000FF"/>
                </w:rPr>
                <w:t>USA, Inc.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1260" w:hanging="1242"/>
        <w:spacing w:after="0"/>
        <w:tabs>
          <w:tab w:leader="none" w:pos="1260" w:val="left"/>
        </w:tabs>
        <w:numPr>
          <w:ilvl w:val="0"/>
          <w:numId w:val="173"/>
        </w:numPr>
        <w:rPr>
          <w:rFonts w:ascii="Arial" w:cs="Arial" w:eastAsia="Arial" w:hAnsi="Arial"/>
          <w:sz w:val="14"/>
          <w:szCs w:val="14"/>
          <w:color w:val="auto"/>
        </w:rPr>
      </w:pPr>
      <w:r>
        <w:rPr>
          <w:rFonts w:ascii="Arial" w:cs="Arial" w:eastAsia="Arial" w:hAnsi="Arial"/>
          <w:sz w:val="14"/>
          <w:szCs w:val="14"/>
          <w:u w:val="single" w:color="auto"/>
          <w:color w:val="0000FF"/>
        </w:rPr>
        <w:t>Filing Fee Table.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7" w:lineRule="exact"/>
        <w:rPr>
          <w:sz w:val="20"/>
          <w:szCs w:val="20"/>
          <w:color w:val="auto"/>
        </w:rPr>
      </w:pPr>
    </w:p>
    <w:p>
      <w:pPr>
        <w:ind w:left="260" w:hanging="256"/>
        <w:spacing w:after="0"/>
        <w:tabs>
          <w:tab w:leader="none" w:pos="26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Previously filed.</w:t>
      </w:r>
    </w:p>
    <w:p>
      <w:pPr>
        <w:ind w:left="260" w:hanging="256"/>
        <w:spacing w:after="0"/>
        <w:tabs>
          <w:tab w:leader="none" w:pos="26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1280"/>
          </w:cols>
          <w:pgMar w:left="300" w:top="209" w:right="319" w:bottom="1440" w:gutter="0" w:footer="0" w:header="0"/>
        </w:sectPr>
      </w:pPr>
    </w:p>
    <w:bookmarkStart w:id="332" w:name="page333"/>
    <w:bookmarkEnd w:id="3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 w:hanging="256"/>
        <w:spacing w:after="0" w:line="263" w:lineRule="auto"/>
        <w:tabs>
          <w:tab w:leader="none" w:pos="257" w:val="left"/>
        </w:tabs>
        <w:numPr>
          <w:ilvl w:val="0"/>
          <w:numId w:val="176"/>
        </w:numPr>
        <w:rPr>
          <w:rFonts w:ascii="Arial" w:cs="Arial" w:eastAsia="Arial" w:hAnsi="Arial"/>
          <w:sz w:val="13"/>
          <w:szCs w:val="13"/>
          <w:color w:val="auto"/>
        </w:rPr>
      </w:pPr>
      <w:r>
        <w:rPr>
          <w:rFonts w:ascii="Arial" w:cs="Arial" w:eastAsia="Arial" w:hAnsi="Arial"/>
          <w:sz w:val="13"/>
          <w:szCs w:val="13"/>
          <w:color w:val="auto"/>
        </w:rPr>
        <w:t>Certain schedules and exhibits have been omitted pursuant to Item 601(a)(5) of Regulation S-K, and we agree to furnish supplementally to the SEC a copy of any omitted schedules or exhibits upon request.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(b) Financial Statement Schedules.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All financial statement schedules are omitted because the information required to be set forth therein is not applicable or is shown in the consolidated financial statements or the notes thereto.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17. UNDERTAKINGS.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 that:</w:t>
      </w:r>
    </w:p>
    <w:p>
      <w:pPr>
        <w:spacing w:after="0" w:line="133" w:lineRule="exact"/>
        <w:rPr>
          <w:sz w:val="20"/>
          <w:szCs w:val="20"/>
          <w:color w:val="auto"/>
        </w:rPr>
      </w:pPr>
    </w:p>
    <w:p>
      <w:pPr>
        <w:jc w:val="both"/>
        <w:ind w:left="500" w:hanging="244"/>
        <w:spacing w:after="0" w:line="268" w:lineRule="auto"/>
        <w:tabs>
          <w:tab w:leader="none" w:pos="493" w:val="left"/>
        </w:tabs>
        <w:numPr>
          <w:ilvl w:val="0"/>
          <w:numId w:val="177"/>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1" w:lineRule="exact"/>
        <w:rPr>
          <w:rFonts w:ascii="Arial" w:cs="Arial" w:eastAsia="Arial" w:hAnsi="Arial"/>
          <w:sz w:val="14"/>
          <w:szCs w:val="14"/>
          <w:color w:val="auto"/>
        </w:rPr>
      </w:pPr>
    </w:p>
    <w:p>
      <w:pPr>
        <w:ind w:left="500" w:hanging="244"/>
        <w:spacing w:after="0" w:line="286" w:lineRule="auto"/>
        <w:tabs>
          <w:tab w:leader="none" w:pos="493" w:val="left"/>
        </w:tabs>
        <w:numPr>
          <w:ilvl w:val="0"/>
          <w:numId w:val="177"/>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280"/>
          </w:cols>
          <w:pgMar w:left="300" w:top="209" w:right="319" w:bottom="1440" w:gutter="0" w:footer="0" w:header="0"/>
        </w:sectPr>
      </w:pPr>
    </w:p>
    <w:bookmarkStart w:id="333" w:name="page334"/>
    <w:bookmarkEnd w:id="3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9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on Form S-1 to be signed on its behalf by the undersigned, thereunto duly authorized, in Palo Alto, California, on the 2nd day of December, 2025.</w:t>
      </w:r>
    </w:p>
    <w:p>
      <w:pPr>
        <w:spacing w:after="0" w:line="110"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auto"/>
        </w:rPr>
        <w:t>WEALTHFRONT CORPORATION</w:t>
      </w:r>
    </w:p>
    <w:p>
      <w:pPr>
        <w:spacing w:after="0" w:line="102" w:lineRule="exact"/>
        <w:rPr>
          <w:sz w:val="20"/>
          <w:szCs w:val="20"/>
          <w:color w:val="auto"/>
        </w:rPr>
      </w:pPr>
    </w:p>
    <w:tbl>
      <w:tblPr>
        <w:tblLayout w:type="fixed"/>
        <w:tblInd w:w="5900" w:type="dxa"/>
        <w:tblCellMar>
          <w:top w:w="0" w:type="dxa"/>
          <w:left w:w="0" w:type="dxa"/>
          <w:bottom w:w="0" w:type="dxa"/>
          <w:right w:w="0" w:type="dxa"/>
        </w:tblCellMar>
      </w:tblPr>
      <w:tr>
        <w:trPr>
          <w:trHeight w:val="183"/>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Fortunato</w:t>
            </w:r>
          </w:p>
        </w:tc>
      </w:tr>
      <w:tr>
        <w:trPr>
          <w:trHeight w:val="165"/>
        </w:trPr>
        <w:tc>
          <w:tcPr>
            <w:tcW w:w="560" w:type="dxa"/>
            <w:vAlign w:val="bottom"/>
          </w:tcPr>
          <w:p>
            <w:pPr>
              <w:spacing w:after="0"/>
              <w:rPr>
                <w:sz w:val="14"/>
                <w:szCs w:val="14"/>
                <w:color w:val="auto"/>
              </w:rPr>
            </w:pPr>
          </w:p>
        </w:tc>
        <w:tc>
          <w:tcPr>
            <w:tcW w:w="4820" w:type="dxa"/>
            <w:vAlign w:val="bottom"/>
          </w:tcPr>
          <w:p>
            <w:pPr>
              <w:ind w:left="20"/>
              <w:spacing w:after="0"/>
              <w:rPr>
                <w:sz w:val="20"/>
                <w:szCs w:val="20"/>
                <w:color w:val="auto"/>
              </w:rPr>
            </w:pPr>
            <w:r>
              <w:rPr>
                <w:rFonts w:ascii="Arial" w:cs="Arial" w:eastAsia="Arial" w:hAnsi="Arial"/>
                <w:sz w:val="14"/>
                <w:szCs w:val="14"/>
                <w:color w:val="auto"/>
              </w:rPr>
              <w:t>David Fortunato</w:t>
            </w:r>
          </w:p>
        </w:tc>
      </w:tr>
      <w:tr>
        <w:trPr>
          <w:trHeight w:val="185"/>
        </w:trPr>
        <w:tc>
          <w:tcPr>
            <w:tcW w:w="56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4"/>
                <w:szCs w:val="14"/>
                <w:color w:val="auto"/>
              </w:rPr>
              <w:t>Chief Executive Officer and President</w:t>
            </w:r>
          </w:p>
        </w:tc>
      </w:tr>
    </w:tbl>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Pursuant to the requirements of the Securities Act of 1933, this registration statement on Form S-1 has been signed by the following persons in the capacities and on the dates indicated.</w:t>
      </w:r>
    </w:p>
    <w:p>
      <w:pPr>
        <w:sectPr>
          <w:pgSz w:w="11900" w:h="16838" w:orient="portrait"/>
          <w:cols w:equalWidth="0" w:num="1">
            <w:col w:w="11280"/>
          </w:cols>
          <w:pgMar w:left="300" w:top="209" w:right="319" w:bottom="1440" w:gutter="0" w:footer="0" w:header="0"/>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1"/>
                <w:szCs w:val="11"/>
                <w:b w:val="1"/>
                <w:bCs w:val="1"/>
                <w:color w:val="auto"/>
              </w:rPr>
              <w:t>Signature</w:t>
            </w:r>
          </w:p>
        </w:tc>
      </w:tr>
      <w:tr>
        <w:trPr>
          <w:trHeight w:val="222"/>
        </w:trPr>
        <w:tc>
          <w:tcPr>
            <w:tcW w:w="5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rPr>
              <w:t>/s/ David Fortunato</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31"/>
              <w:spacing w:after="0"/>
              <w:rPr>
                <w:sz w:val="20"/>
                <w:szCs w:val="20"/>
                <w:color w:val="auto"/>
              </w:rPr>
            </w:pPr>
            <w:r>
              <w:rPr>
                <w:rFonts w:ascii="Arial" w:cs="Arial" w:eastAsia="Arial" w:hAnsi="Arial"/>
                <w:sz w:val="14"/>
                <w:szCs w:val="14"/>
                <w:color w:val="auto"/>
              </w:rPr>
              <w:t>David Fortunato</w:t>
            </w:r>
          </w:p>
        </w:tc>
      </w:tr>
      <w:tr>
        <w:trPr>
          <w:trHeight w:val="246"/>
        </w:trPr>
        <w:tc>
          <w:tcPr>
            <w:tcW w:w="5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w w:val="98"/>
              </w:rPr>
              <w:t>/s/ Alan Imberman</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31"/>
              <w:spacing w:after="0"/>
              <w:rPr>
                <w:sz w:val="20"/>
                <w:szCs w:val="20"/>
                <w:color w:val="auto"/>
              </w:rPr>
            </w:pPr>
            <w:r>
              <w:rPr>
                <w:rFonts w:ascii="Arial" w:cs="Arial" w:eastAsia="Arial" w:hAnsi="Arial"/>
                <w:sz w:val="14"/>
                <w:szCs w:val="14"/>
                <w:color w:val="auto"/>
              </w:rPr>
              <w:t>Alan Imberman</w:t>
            </w:r>
          </w:p>
        </w:tc>
      </w:tr>
      <w:tr>
        <w:trPr>
          <w:trHeight w:val="246"/>
        </w:trPr>
        <w:tc>
          <w:tcPr>
            <w:tcW w:w="5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w w:val="72"/>
              </w:rPr>
              <w:t>*</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31"/>
              <w:spacing w:after="0"/>
              <w:rPr>
                <w:sz w:val="20"/>
                <w:szCs w:val="20"/>
                <w:color w:val="auto"/>
              </w:rPr>
            </w:pPr>
            <w:r>
              <w:rPr>
                <w:rFonts w:ascii="Arial" w:cs="Arial" w:eastAsia="Arial" w:hAnsi="Arial"/>
                <w:sz w:val="14"/>
                <w:szCs w:val="14"/>
                <w:color w:val="auto"/>
              </w:rPr>
              <w:t>Andrew S. Rachleff</w:t>
            </w:r>
          </w:p>
        </w:tc>
      </w:tr>
      <w:tr>
        <w:trPr>
          <w:trHeight w:val="246"/>
        </w:trPr>
        <w:tc>
          <w:tcPr>
            <w:tcW w:w="5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w w:val="72"/>
              </w:rPr>
              <w:t>*</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31"/>
              <w:spacing w:after="0"/>
              <w:rPr>
                <w:sz w:val="20"/>
                <w:szCs w:val="20"/>
                <w:color w:val="auto"/>
              </w:rPr>
            </w:pPr>
            <w:r>
              <w:rPr>
                <w:rFonts w:ascii="Arial" w:cs="Arial" w:eastAsia="Arial" w:hAnsi="Arial"/>
                <w:sz w:val="14"/>
                <w:szCs w:val="14"/>
                <w:color w:val="auto"/>
                <w:w w:val="99"/>
              </w:rPr>
              <w:t>Jaleh Bisharat</w:t>
            </w:r>
          </w:p>
        </w:tc>
      </w:tr>
      <w:tr>
        <w:trPr>
          <w:trHeight w:val="246"/>
        </w:trPr>
        <w:tc>
          <w:tcPr>
            <w:tcW w:w="5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w w:val="72"/>
              </w:rPr>
              <w:t>*</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11"/>
              <w:spacing w:after="0"/>
              <w:rPr>
                <w:sz w:val="20"/>
                <w:szCs w:val="20"/>
                <w:color w:val="auto"/>
              </w:rPr>
            </w:pPr>
            <w:r>
              <w:rPr>
                <w:rFonts w:ascii="Arial" w:cs="Arial" w:eastAsia="Arial" w:hAnsi="Arial"/>
                <w:sz w:val="14"/>
                <w:szCs w:val="14"/>
                <w:color w:val="auto"/>
                <w:w w:val="99"/>
              </w:rPr>
              <w:t>Kenneth A. Goldman</w:t>
            </w:r>
          </w:p>
        </w:tc>
      </w:tr>
      <w:tr>
        <w:trPr>
          <w:trHeight w:val="246"/>
        </w:trPr>
        <w:tc>
          <w:tcPr>
            <w:tcW w:w="5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w w:val="72"/>
              </w:rPr>
              <w:t>*</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31"/>
              <w:spacing w:after="0"/>
              <w:rPr>
                <w:sz w:val="20"/>
                <w:szCs w:val="20"/>
                <w:color w:val="auto"/>
              </w:rPr>
            </w:pPr>
            <w:r>
              <w:rPr>
                <w:rFonts w:ascii="Arial" w:cs="Arial" w:eastAsia="Arial" w:hAnsi="Arial"/>
                <w:sz w:val="14"/>
                <w:szCs w:val="14"/>
                <w:color w:val="auto"/>
                <w:w w:val="98"/>
              </w:rPr>
              <w:t>Jason Kilar</w:t>
            </w:r>
          </w:p>
        </w:tc>
      </w:tr>
      <w:tr>
        <w:trPr>
          <w:trHeight w:val="246"/>
        </w:trPr>
        <w:tc>
          <w:tcPr>
            <w:tcW w:w="5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w w:val="72"/>
              </w:rPr>
              <w:t>*</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31"/>
              <w:spacing w:after="0"/>
              <w:rPr>
                <w:sz w:val="20"/>
                <w:szCs w:val="20"/>
                <w:color w:val="auto"/>
              </w:rPr>
            </w:pPr>
            <w:r>
              <w:rPr>
                <w:rFonts w:ascii="Arial" w:cs="Arial" w:eastAsia="Arial" w:hAnsi="Arial"/>
                <w:sz w:val="14"/>
                <w:szCs w:val="14"/>
                <w:color w:val="auto"/>
              </w:rPr>
              <w:t>Michael Schmidt</w:t>
            </w:r>
          </w:p>
        </w:tc>
      </w:tr>
      <w:tr>
        <w:trPr>
          <w:trHeight w:val="246"/>
        </w:trPr>
        <w:tc>
          <w:tcPr>
            <w:tcW w:w="5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w w:val="72"/>
              </w:rPr>
              <w:t>*</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31"/>
              <w:spacing w:after="0"/>
              <w:rPr>
                <w:sz w:val="20"/>
                <w:szCs w:val="20"/>
                <w:color w:val="auto"/>
              </w:rPr>
            </w:pPr>
            <w:r>
              <w:rPr>
                <w:rFonts w:ascii="Arial" w:cs="Arial" w:eastAsia="Arial" w:hAnsi="Arial"/>
                <w:sz w:val="14"/>
                <w:szCs w:val="14"/>
                <w:color w:val="auto"/>
                <w:w w:val="98"/>
              </w:rPr>
              <w:t>Michelangelo Volpi</w:t>
            </w:r>
          </w:p>
        </w:tc>
      </w:tr>
      <w:tr>
        <w:trPr>
          <w:trHeight w:val="246"/>
        </w:trPr>
        <w:tc>
          <w:tcPr>
            <w:tcW w:w="5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w w:val="72"/>
              </w:rPr>
              <w:t>*</w:t>
            </w:r>
          </w:p>
        </w:tc>
      </w:tr>
      <w:tr>
        <w:trPr>
          <w:trHeight w:val="175"/>
        </w:trPr>
        <w:tc>
          <w:tcPr>
            <w:tcW w:w="500" w:type="dxa"/>
            <w:vAlign w:val="bottom"/>
          </w:tcPr>
          <w:p>
            <w:pPr>
              <w:spacing w:after="0"/>
              <w:rPr>
                <w:sz w:val="15"/>
                <w:szCs w:val="15"/>
                <w:color w:val="auto"/>
              </w:rPr>
            </w:pPr>
          </w:p>
        </w:tc>
        <w:tc>
          <w:tcPr>
            <w:tcW w:w="2460" w:type="dxa"/>
            <w:vAlign w:val="bottom"/>
          </w:tcPr>
          <w:p>
            <w:pPr>
              <w:jc w:val="center"/>
              <w:ind w:right="431"/>
              <w:spacing w:after="0"/>
              <w:rPr>
                <w:sz w:val="20"/>
                <w:szCs w:val="20"/>
                <w:color w:val="auto"/>
              </w:rPr>
            </w:pPr>
            <w:r>
              <w:rPr>
                <w:rFonts w:ascii="Arial" w:cs="Arial" w:eastAsia="Arial" w:hAnsi="Arial"/>
                <w:sz w:val="14"/>
                <w:szCs w:val="14"/>
                <w:color w:val="auto"/>
                <w:w w:val="98"/>
              </w:rPr>
              <w:t>Michelle Wilson</w:t>
            </w:r>
          </w:p>
        </w:tc>
      </w:tr>
      <w:tr>
        <w:trPr>
          <w:trHeight w:val="395"/>
        </w:trPr>
        <w:tc>
          <w:tcPr>
            <w:tcW w:w="500" w:type="dxa"/>
            <w:vAlign w:val="bottom"/>
          </w:tcPr>
          <w:p>
            <w:pPr>
              <w:ind w:left="20"/>
              <w:spacing w:after="0"/>
              <w:rPr>
                <w:sz w:val="20"/>
                <w:szCs w:val="20"/>
                <w:color w:val="auto"/>
              </w:rPr>
            </w:pPr>
            <w:r>
              <w:rPr>
                <w:rFonts w:ascii="Arial" w:cs="Arial" w:eastAsia="Arial" w:hAnsi="Arial"/>
                <w:sz w:val="14"/>
                <w:szCs w:val="14"/>
                <w:color w:val="auto"/>
              </w:rPr>
              <w:t>* By:</w:t>
            </w:r>
          </w:p>
        </w:tc>
        <w:tc>
          <w:tcPr>
            <w:tcW w:w="2460" w:type="dxa"/>
            <w:vAlign w:val="bottom"/>
          </w:tcPr>
          <w:p>
            <w:pPr>
              <w:ind w:left="180"/>
              <w:spacing w:after="0"/>
              <w:rPr>
                <w:sz w:val="20"/>
                <w:szCs w:val="20"/>
                <w:color w:val="auto"/>
              </w:rPr>
            </w:pPr>
            <w:r>
              <w:rPr>
                <w:rFonts w:ascii="Arial" w:cs="Arial" w:eastAsia="Arial" w:hAnsi="Arial"/>
                <w:sz w:val="14"/>
                <w:szCs w:val="14"/>
                <w:color w:val="auto"/>
              </w:rPr>
              <w:t>/s/ David Fortunato</w:t>
            </w:r>
          </w:p>
        </w:tc>
      </w:tr>
      <w:tr>
        <w:trPr>
          <w:trHeight w:val="183"/>
        </w:trPr>
        <w:tc>
          <w:tcPr>
            <w:tcW w:w="50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4"/>
                <w:szCs w:val="14"/>
                <w:color w:val="auto"/>
              </w:rPr>
              <w:t>David Fortunato</w:t>
            </w:r>
          </w:p>
        </w:tc>
      </w:tr>
      <w:tr>
        <w:trPr>
          <w:trHeight w:val="185"/>
        </w:trPr>
        <w:tc>
          <w:tcPr>
            <w:tcW w:w="500" w:type="dxa"/>
            <w:vAlign w:val="bottom"/>
          </w:tcPr>
          <w:p>
            <w:pPr>
              <w:spacing w:after="0"/>
              <w:rPr>
                <w:sz w:val="16"/>
                <w:szCs w:val="16"/>
                <w:color w:val="auto"/>
              </w:rPr>
            </w:pPr>
          </w:p>
        </w:tc>
        <w:tc>
          <w:tcPr>
            <w:tcW w:w="2460" w:type="dxa"/>
            <w:vAlign w:val="bottom"/>
          </w:tcPr>
          <w:p>
            <w:pPr>
              <w:ind w:left="180"/>
              <w:spacing w:after="0"/>
              <w:rPr>
                <w:sz w:val="20"/>
                <w:szCs w:val="20"/>
                <w:color w:val="auto"/>
              </w:rPr>
            </w:pPr>
            <w:r>
              <w:rPr>
                <w:rFonts w:ascii="Arial" w:cs="Arial" w:eastAsia="Arial" w:hAnsi="Arial"/>
                <w:sz w:val="14"/>
                <w:szCs w:val="14"/>
                <w:color w:val="auto"/>
              </w:rPr>
              <w:t>Attorney-in-Fact</w:t>
            </w:r>
          </w:p>
        </w:tc>
      </w:tr>
    </w:tbl>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190"/>
        </w:trPr>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Chief Executive Officer, President, and 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r>
        <w:trPr>
          <w:trHeight w:val="118"/>
        </w:trPr>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i w:val="1"/>
                <w:iCs w:val="1"/>
                <w:color w:val="auto"/>
                <w:w w:val="99"/>
              </w:rPr>
              <w:t>(Principal Executive Officer)</w:t>
            </w: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840" w:type="dxa"/>
            <w:vAlign w:val="bottom"/>
            <w:gridSpan w:val="2"/>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5840" w:type="dxa"/>
            <w:vAlign w:val="bottom"/>
            <w:gridSpan w:val="2"/>
          </w:tcPr>
          <w:p>
            <w:pPr>
              <w:jc w:val="center"/>
              <w:ind w:right="60"/>
              <w:spacing w:after="0"/>
              <w:rPr>
                <w:sz w:val="20"/>
                <w:szCs w:val="20"/>
                <w:color w:val="auto"/>
              </w:rPr>
            </w:pPr>
            <w:r>
              <w:rPr>
                <w:rFonts w:ascii="Arial" w:cs="Arial" w:eastAsia="Arial" w:hAnsi="Arial"/>
                <w:sz w:val="14"/>
                <w:szCs w:val="14"/>
                <w:color w:val="auto"/>
              </w:rPr>
              <w:t>Chief Financial Officer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r>
        <w:trPr>
          <w:trHeight w:val="118"/>
        </w:trPr>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i w:val="1"/>
                <w:iCs w:val="1"/>
                <w:color w:val="auto"/>
                <w:w w:val="99"/>
              </w:rPr>
              <w:t>(Principal Accounting and Financial Officer)</w:t>
            </w: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840" w:type="dxa"/>
            <w:vAlign w:val="bottom"/>
            <w:gridSpan w:val="2"/>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r>
        <w:trPr>
          <w:trHeight w:val="442"/>
        </w:trPr>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r>
        <w:trPr>
          <w:trHeight w:val="442"/>
        </w:trPr>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r>
        <w:trPr>
          <w:trHeight w:val="442"/>
        </w:trPr>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r>
        <w:trPr>
          <w:trHeight w:val="442"/>
        </w:trPr>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r>
        <w:trPr>
          <w:trHeight w:val="442"/>
        </w:trPr>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r>
        <w:trPr>
          <w:trHeight w:val="442"/>
        </w:trPr>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rPr>
              <w:t>December 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319405</wp:posOffset>
            </wp:positionV>
            <wp:extent cx="30638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3063875" cy="6985"/>
                    </a:xfrm>
                    <a:prstGeom prst="rect">
                      <a:avLst/>
                    </a:prstGeom>
                    <a:noFill/>
                  </pic:spPr>
                </pic:pic>
              </a:graphicData>
            </a:graphic>
          </wp:anchor>
        </w:drawing>
      </w:r>
    </w:p>
    <w:p>
      <w:pPr>
        <w:spacing w:after="0" w:line="1072" w:lineRule="exact"/>
        <w:rPr>
          <w:sz w:val="20"/>
          <w:szCs w:val="20"/>
          <w:color w:val="auto"/>
        </w:rPr>
      </w:pPr>
    </w:p>
    <w:p>
      <w:pPr>
        <w:sectPr>
          <w:pgSz w:w="11900" w:h="16838" w:orient="portrait"/>
          <w:cols w:equalWidth="0" w:num="2">
            <w:col w:w="2960" w:space="80"/>
            <w:col w:w="8240"/>
          </w:cols>
          <w:pgMar w:left="300" w:top="20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II-5</w:t>
      </w:r>
    </w:p>
    <w:p>
      <w:pPr>
        <w:sectPr>
          <w:pgSz w:w="11900" w:h="16838" w:orient="portrait"/>
          <w:cols w:equalWidth="0" w:num="1">
            <w:col w:w="11280"/>
          </w:cols>
          <w:pgMar w:left="300" w:top="209" w:right="319" w:bottom="1440" w:gutter="0" w:footer="0" w:header="0"/>
          <w:type w:val="continuous"/>
        </w:sectPr>
      </w:pPr>
    </w:p>
    <w:bookmarkStart w:id="334" w:name="page335"/>
    <w:bookmarkEnd w:id="334"/>
    <w:p>
      <w:pPr>
        <w:spacing w:after="0" w:line="6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WEALTHFRONT CORP</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6"/>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6"/>
              <w:spacing w:after="0" w:line="189"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6"/>
              <w:spacing w:after="0" w:line="189" w:lineRule="exact"/>
              <w:rPr>
                <w:sz w:val="20"/>
                <w:szCs w:val="20"/>
                <w:color w:val="auto"/>
              </w:rPr>
            </w:pPr>
            <w:r>
              <w:rPr>
                <w:rFonts w:ascii="Arial" w:cs="Arial" w:eastAsia="Arial" w:hAnsi="Arial"/>
                <w:sz w:val="17"/>
                <w:szCs w:val="17"/>
                <w:b w:val="1"/>
                <w:bCs w:val="1"/>
                <w:color w:val="auto"/>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16"/>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16"/>
              <w:spacing w:after="0"/>
              <w:rPr>
                <w:sz w:val="20"/>
                <w:szCs w:val="20"/>
                <w:color w:val="auto"/>
              </w:rPr>
            </w:pPr>
            <w:r>
              <w:rPr>
                <w:rFonts w:ascii="Arial" w:cs="Arial" w:eastAsia="Arial" w:hAnsi="Arial"/>
                <w:sz w:val="17"/>
                <w:szCs w:val="17"/>
                <w:color w:val="auto"/>
                <w:w w:val="97"/>
              </w:rPr>
              <w:t>457(a)</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32,664,834</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$ 14.00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$ 63,154.19</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457,307,674.00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16"/>
              <w:spacing w:after="0"/>
              <w:rPr>
                <w:sz w:val="20"/>
                <w:szCs w:val="20"/>
                <w:color w:val="auto"/>
              </w:rPr>
            </w:pPr>
            <w:r>
              <w:rPr>
                <w:rFonts w:ascii="Arial" w:cs="Arial" w:eastAsia="Arial" w:hAnsi="Arial"/>
                <w:sz w:val="17"/>
                <w:szCs w:val="17"/>
                <w:color w:val="auto"/>
                <w:w w:val="97"/>
              </w:rPr>
              <w:t>457(a)</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7,142,857</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$ 14.00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100,000,000.00</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$ 78,464.19</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557,307,674.00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$ 63,154.19</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420" w:hanging="6"/>
        <w:spacing w:after="0" w:line="242" w:lineRule="auto"/>
        <w:tabs>
          <w:tab w:leader="none" w:pos="47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amount of the registration fee pursuant to Rule 457(a) under the Securities Act of 1933, as amended (the "Securities Act").</w:t>
      </w:r>
    </w:p>
    <w:p>
      <w:pPr>
        <w:ind w:left="460" w:hanging="246"/>
        <w:spacing w:after="0"/>
        <w:tabs>
          <w:tab w:leader="none" w:pos="4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Includes the aggregate offering price of additional shares that the underwriters have the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4819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2" w:lineRule="exact"/>
        <w:rPr>
          <w:sz w:val="20"/>
          <w:szCs w:val="20"/>
          <w:color w:val="auto"/>
        </w:rPr>
      </w:pPr>
    </w:p>
    <w:p>
      <w:pPr>
        <w:ind w:left="220" w:right="600" w:hanging="6"/>
        <w:spacing w:after="0" w:line="242" w:lineRule="auto"/>
        <w:tabs>
          <w:tab w:leader="none" w:pos="47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 previously paid a registration fee of $15,310.00 in connection with initial filing of the Registration Statement on Form S-1 on September 29, 2025.</w:t>
      </w:r>
    </w:p>
    <w:p>
      <w:pPr>
        <w:ind w:left="460" w:hanging="246"/>
        <w:spacing w:after="0"/>
        <w:tabs>
          <w:tab w:leader="none" w:pos="4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This Maximum Aggregate Offering Price was originally registered under 457(o) and is now converted to 457(a).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4819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620" w:type="dxa"/>
            <w:vAlign w:val="bottom"/>
            <w:gridSpan w:val="3"/>
            <w:shd w:val="clear" w:color="auto" w:fill="9ADAF6"/>
          </w:tcPr>
          <w:p>
            <w:pPr>
              <w:jc w:val="right"/>
              <w:ind w:right="16"/>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280" w:type="dxa"/>
            <w:vAlign w:val="bottom"/>
            <w:shd w:val="clear" w:color="auto" w:fill="9ADAF6"/>
          </w:tcPr>
          <w:p>
            <w:pPr>
              <w:jc w:val="center"/>
              <w:ind w:right="176"/>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21"/>
                <w:szCs w:val="21"/>
                <w:color w:val="auto"/>
              </w:rPr>
            </w:pPr>
          </w:p>
        </w:tc>
        <w:tc>
          <w:tcPr>
            <w:tcW w:w="10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00" w:type="dxa"/>
            <w:vAlign w:val="bottom"/>
            <w:shd w:val="clear" w:color="auto" w:fill="9ADAF6"/>
          </w:tcPr>
          <w:p>
            <w:pPr>
              <w:jc w:val="center"/>
              <w:ind w:right="56"/>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80" w:type="dxa"/>
            <w:vAlign w:val="bottom"/>
            <w:tcBorders>
              <w:right w:val="single" w:sz="8" w:color="9ADAF6"/>
            </w:tcBorders>
          </w:tcPr>
          <w:p>
            <w:pPr>
              <w:spacing w:after="0"/>
              <w:rPr>
                <w:sz w:val="21"/>
                <w:szCs w:val="21"/>
                <w:color w:val="auto"/>
              </w:rPr>
            </w:pPr>
          </w:p>
        </w:tc>
        <w:tc>
          <w:tcPr>
            <w:tcW w:w="620" w:type="dxa"/>
            <w:vAlign w:val="bottom"/>
            <w:gridSpan w:val="3"/>
            <w:shd w:val="clear" w:color="auto" w:fill="9ADAF6"/>
          </w:tcPr>
          <w:p>
            <w:pPr>
              <w:jc w:val="right"/>
              <w:spacing w:after="0"/>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21"/>
                <w:szCs w:val="21"/>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6"/>
                <w:szCs w:val="16"/>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6"/>
                <w:szCs w:val="16"/>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4"/>
            <w:shd w:val="clear" w:color="auto" w:fill="9ADAF6"/>
          </w:tcPr>
          <w:p>
            <w:pPr>
              <w:ind w:left="240"/>
              <w:spacing w:after="0"/>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5"/>
            <w:shd w:val="clear" w:color="auto" w:fill="9ADAF6"/>
          </w:tcPr>
          <w:p>
            <w:pPr>
              <w:ind w:left="62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right w:val="single" w:sz="8" w:color="9ADAF6"/>
            </w:tcBorders>
            <w:gridSpan w:val="4"/>
            <w:shd w:val="clear" w:color="auto" w:fill="9ADAF6"/>
          </w:tcPr>
          <w:p>
            <w:pPr>
              <w:jc w:val="right"/>
              <w:ind w:right="20"/>
              <w:spacing w:after="0"/>
              <w:rPr>
                <w:sz w:val="20"/>
                <w:szCs w:val="20"/>
                <w:color w:val="auto"/>
              </w:rPr>
            </w:pPr>
            <w:r>
              <w:rPr>
                <w:rFonts w:ascii="Arial" w:cs="Arial" w:eastAsia="Arial" w:hAnsi="Arial"/>
                <w:sz w:val="17"/>
                <w:szCs w:val="17"/>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ind w:left="180"/>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60" w:type="dxa"/>
            <w:vAlign w:val="bottom"/>
            <w:gridSpan w:val="2"/>
            <w:shd w:val="clear" w:color="auto" w:fill="9ADAF6"/>
          </w:tcPr>
          <w:p>
            <w:pP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1100" w:type="dxa"/>
            <w:vAlign w:val="bottom"/>
            <w:gridSpan w:val="3"/>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right w:val="single" w:sz="8" w:color="9ADAF6"/>
            </w:tcBorders>
            <w:gridSpan w:val="4"/>
            <w:shd w:val="clear" w:color="auto" w:fill="9ADAF6"/>
          </w:tcPr>
          <w:p>
            <w:pPr>
              <w:jc w:val="right"/>
              <w:ind w:right="4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740" w:type="dxa"/>
            <w:vAlign w:val="bottom"/>
            <w:gridSpan w:val="3"/>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gridSpan w:val="4"/>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4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2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80" w:type="dxa"/>
            <w:vAlign w:val="bottom"/>
            <w:tcBorders>
              <w:right w:val="single" w:sz="8" w:color="9ADAF6"/>
            </w:tcBorders>
            <w:shd w:val="clear" w:color="auto" w:fill="9ADAF6"/>
          </w:tcPr>
          <w:p>
            <w:pPr>
              <w:spacing w:after="0"/>
              <w:rPr>
                <w:sz w:val="20"/>
                <w:szCs w:val="20"/>
                <w:color w:val="auto"/>
              </w:rPr>
            </w:pPr>
          </w:p>
        </w:tc>
        <w:tc>
          <w:tcPr>
            <w:tcW w:w="3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9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5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shd w:val="clear" w:color="auto" w:fill="9ADAF6"/>
          </w:tcPr>
          <w:p>
            <w:pPr>
              <w:spacing w:after="0"/>
              <w:rPr>
                <w:sz w:val="20"/>
                <w:szCs w:val="20"/>
                <w:color w:val="auto"/>
              </w:rPr>
            </w:pPr>
          </w:p>
        </w:tc>
        <w:tc>
          <w:tcPr>
            <w:tcW w:w="40" w:type="dxa"/>
            <w:vAlign w:val="bottom"/>
            <w:shd w:val="clear" w:color="auto" w:fill="9ADAF6"/>
          </w:tcPr>
          <w:p>
            <w:pPr>
              <w:spacing w:after="0"/>
              <w:rPr>
                <w:sz w:val="20"/>
                <w:szCs w:val="20"/>
                <w:color w:val="auto"/>
              </w:rPr>
            </w:pPr>
          </w:p>
        </w:tc>
        <w:tc>
          <w:tcPr>
            <w:tcW w:w="680" w:type="dxa"/>
            <w:vAlign w:val="bottom"/>
            <w:tcBorders>
              <w:right w:val="single" w:sz="8" w:color="auto"/>
            </w:tcBorders>
            <w:gridSpan w:val="2"/>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9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40" w:type="dxa"/>
            <w:vAlign w:val="bottom"/>
            <w:tcBorders>
              <w:right w:val="single" w:sz="8" w:color="auto"/>
            </w:tcBorders>
            <w:shd w:val="clear" w:color="auto" w:fill="9ADAF6"/>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335" w:name="page336"/>
    <w:bookmarkEnd w:id="3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680" w:type="dxa"/>
            <w:vAlign w:val="bottom"/>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100" w:type="dxa"/>
            <w:vAlign w:val="bottom"/>
            <w:shd w:val="clear" w:color="auto" w:fill="E7E7E2"/>
          </w:tcPr>
          <w:p>
            <w:pPr>
              <w:ind w:left="4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112" w:right="31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4"/>
          <w:szCs w:val="14"/>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__</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u w:val="single" w:color="auto"/>
          <w:color w:val="auto"/>
        </w:rPr>
        <w:t>Underwriting Agreement</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 ]</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representatives (the “Representatives”) of the several Underwriters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named in Schedule I hereto,</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c/o Goldman Sachs &amp; Co. LLC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10282-2198</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c/o J.P. Morgan Securities LLC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383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10179</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5" w:lineRule="exact"/>
        <w:rPr>
          <w:sz w:val="20"/>
          <w:szCs w:val="20"/>
          <w:color w:val="auto"/>
        </w:rPr>
      </w:pPr>
    </w:p>
    <w:p>
      <w:pPr>
        <w:jc w:val="both"/>
        <w:ind w:firstLine="505"/>
        <w:spacing w:after="0" w:line="262" w:lineRule="auto"/>
        <w:rPr>
          <w:sz w:val="20"/>
          <w:szCs w:val="20"/>
          <w:color w:val="auto"/>
        </w:rPr>
      </w:pPr>
      <w:r>
        <w:rPr>
          <w:rFonts w:ascii="Arial" w:cs="Arial" w:eastAsia="Arial" w:hAnsi="Arial"/>
          <w:sz w:val="15"/>
          <w:szCs w:val="15"/>
          <w:color w:val="auto"/>
        </w:rPr>
        <w:t>Wealthfront Corporation, a Delaware corporation (the “Company”), proposes, subject to the terms and conditions stated in this agreement (this “Agreement”), to issue and sell to the Underwriters named in Schedule I hereto (the “Underwriters”) an aggregate of [ • ] shares, and, at the election of the Underwriters, up to [ • ] additional shares of the Company’s Common Stock, par value $0.0001 per share (“Stock”), and the stockholders of the Company named in Schedule II hereto (the “Selling Stockholders”) propose, subject to the terms and conditions stated in this Agreement, to sell to the Underwriters an aggregate of [ • ] shares of Stock. The aggregate of [ • ] shares of Stock to be sold by the Company and the Selling Stockholders is herein called the “Firm Shares” and the aggregate of [ • ] additional shares of Stock to be sold by the Company are herein called the “Optional Shares.” The Firm Shares and the Optional Shares that the Underwriters elect to purchase pursuant to Section 2 hereof are herein collectively called the “Shares.”</w:t>
      </w:r>
    </w:p>
    <w:p>
      <w:pPr>
        <w:spacing w:after="0" w:line="143" w:lineRule="exact"/>
        <w:rPr>
          <w:sz w:val="20"/>
          <w:szCs w:val="20"/>
          <w:color w:val="auto"/>
        </w:rPr>
      </w:pPr>
    </w:p>
    <w:p>
      <w:pPr>
        <w:jc w:val="both"/>
        <w:ind w:firstLine="505"/>
        <w:spacing w:after="0" w:line="266" w:lineRule="auto"/>
        <w:rPr>
          <w:sz w:val="20"/>
          <w:szCs w:val="20"/>
          <w:color w:val="auto"/>
        </w:rPr>
      </w:pPr>
      <w:r>
        <w:rPr>
          <w:rFonts w:ascii="Arial" w:cs="Arial" w:eastAsia="Arial" w:hAnsi="Arial"/>
          <w:sz w:val="15"/>
          <w:szCs w:val="15"/>
          <w:color w:val="auto"/>
        </w:rPr>
        <w:t>The Company hereby confirms the engagement of Citizens JMP Securities, LLC as, and Citizens JMP Securities, LLC hereby confirms its agreement with the Company to render services as, a “qualified independent underwriter” within the meaning of Rule 5121 (“Rule 5121”) of the Financial Industry Regulatory Authority, Inc. (“FINRA”) with respect to the offering and sale of the Shares (Citizens JMP Securities, LLC acting in such capacity, the “QIU”). No compensation will be paid to the QIU for its services as a qualified independent underwriter.</w:t>
      </w:r>
    </w:p>
    <w:p>
      <w:pPr>
        <w:spacing w:after="0" w:line="139" w:lineRule="exact"/>
        <w:rPr>
          <w:sz w:val="20"/>
          <w:szCs w:val="20"/>
          <w:color w:val="auto"/>
        </w:rPr>
      </w:pPr>
    </w:p>
    <w:p>
      <w:pPr>
        <w:ind w:left="800" w:hanging="291"/>
        <w:spacing w:after="0"/>
        <w:tabs>
          <w:tab w:leader="none" w:pos="80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  The Company represents and warrants to, and agrees with, each of the Underwriters that:</w:t>
      </w:r>
    </w:p>
    <w:p>
      <w:pPr>
        <w:sectPr>
          <w:pgSz w:w="11900" w:h="16838" w:orient="portrait"/>
          <w:cols w:equalWidth="0" w:num="1">
            <w:col w:w="11280"/>
          </w:cols>
          <w:pgMar w:left="300" w:top="123" w:right="319" w:bottom="1440" w:gutter="0" w:footer="0" w:header="0"/>
        </w:sectPr>
      </w:pPr>
    </w:p>
    <w:bookmarkStart w:id="337" w:name="page338"/>
    <w:bookmarkEnd w:id="337"/>
    <w:p>
      <w:pPr>
        <w:jc w:val="both"/>
        <w:ind w:firstLine="509"/>
        <w:spacing w:after="0" w:line="259" w:lineRule="auto"/>
        <w:tabs>
          <w:tab w:leader="none" w:pos="909" w:val="left"/>
        </w:tabs>
        <w:numPr>
          <w:ilvl w:val="0"/>
          <w:numId w:val="181"/>
        </w:numPr>
        <w:rPr>
          <w:rFonts w:ascii="Arial" w:cs="Arial" w:eastAsia="Arial" w:hAnsi="Arial"/>
          <w:sz w:val="15"/>
          <w:szCs w:val="15"/>
          <w:color w:val="auto"/>
        </w:rPr>
      </w:pPr>
      <w:r>
        <w:rPr>
          <w:rFonts w:ascii="Arial" w:cs="Arial" w:eastAsia="Arial" w:hAnsi="Arial"/>
          <w:sz w:val="15"/>
          <w:szCs w:val="15"/>
          <w:color w:val="auto"/>
        </w:rPr>
        <w:t>A registration statement on Form S-1 (File No. 333-290583) (the “Initial Registration Statement”) in respect of the Shares has been filed with the Securities and Exchange Commission (the “Commission”); the Initial Registration Statement and any post-effective amendment thereto, each in the form heretofore delivered to the 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no stop order suspending the effectiveness of the Initial Registration Statement, any post-effective amendment thereto or the Rule 462(b) Registration Statement, if any, has been issued and no proceeding for that purpose or pursuant to Section 8A of the Act has been initiated or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150" w:lineRule="exact"/>
        <w:rPr>
          <w:rFonts w:ascii="Arial" w:cs="Arial" w:eastAsia="Arial" w:hAnsi="Arial"/>
          <w:sz w:val="15"/>
          <w:szCs w:val="15"/>
          <w:color w:val="auto"/>
        </w:rPr>
      </w:pPr>
    </w:p>
    <w:p>
      <w:pPr>
        <w:jc w:val="both"/>
        <w:ind w:firstLine="509"/>
        <w:spacing w:after="0" w:line="265" w:lineRule="auto"/>
        <w:tabs>
          <w:tab w:leader="none" w:pos="988" w:val="left"/>
        </w:tabs>
        <w:numPr>
          <w:ilvl w:val="0"/>
          <w:numId w:val="181"/>
        </w:numPr>
        <w:rPr>
          <w:rFonts w:ascii="Arial" w:cs="Arial" w:eastAsia="Arial" w:hAnsi="Arial"/>
          <w:sz w:val="15"/>
          <w:szCs w:val="15"/>
          <w:color w:val="auto"/>
        </w:rPr>
      </w:pPr>
      <w:r>
        <w:rPr>
          <w:rFonts w:ascii="Arial" w:cs="Arial" w:eastAsia="Arial" w:hAnsi="Arial"/>
          <w:sz w:val="15"/>
          <w:szCs w:val="15"/>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representation and warranty shall not apply to any statements or omissions made in reliance upon and in conformity with the Underwriter Information (as defined in Section 9(c) of this Agreement) or any Selling Stockholder Information (as defined in Section 1(b)(vi) of this Agreement);</w:t>
      </w:r>
    </w:p>
    <w:p>
      <w:pPr>
        <w:spacing w:after="0" w:line="129" w:lineRule="exact"/>
        <w:rPr>
          <w:rFonts w:ascii="Arial" w:cs="Arial" w:eastAsia="Arial" w:hAnsi="Arial"/>
          <w:sz w:val="15"/>
          <w:szCs w:val="15"/>
          <w:color w:val="auto"/>
        </w:rPr>
      </w:pPr>
    </w:p>
    <w:p>
      <w:pPr>
        <w:jc w:val="both"/>
        <w:ind w:firstLine="509"/>
        <w:spacing w:after="0" w:line="271" w:lineRule="auto"/>
        <w:tabs>
          <w:tab w:leader="none" w:pos="912" w:val="left"/>
        </w:tabs>
        <w:numPr>
          <w:ilvl w:val="0"/>
          <w:numId w:val="181"/>
        </w:numPr>
        <w:rPr>
          <w:rFonts w:ascii="Arial" w:cs="Arial" w:eastAsia="Arial" w:hAnsi="Arial"/>
          <w:sz w:val="15"/>
          <w:szCs w:val="15"/>
          <w:color w:val="auto"/>
        </w:rPr>
      </w:pPr>
      <w:r>
        <w:rPr>
          <w:rFonts w:ascii="Arial" w:cs="Arial" w:eastAsia="Arial" w:hAnsi="Arial"/>
          <w:sz w:val="15"/>
          <w:szCs w:val="15"/>
          <w:color w:val="auto"/>
        </w:rPr>
        <w:t>For the purposes of this Agreement, the “Applicable Time” is [ • ] p.m. (New York City time) on the date of this Agreement. The Pricing Prospectus, as supplemented by the information listed on Schedule III(a) and Schedule III(c)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32" w:right="319" w:bottom="1440" w:gutter="0" w:footer="0" w:header="0"/>
        </w:sectPr>
      </w:pPr>
    </w:p>
    <w:bookmarkStart w:id="338" w:name="page339"/>
    <w:bookmarkEnd w:id="338"/>
    <w:p>
      <w:pPr>
        <w:jc w:val="both"/>
        <w:spacing w:after="0" w:line="265" w:lineRule="auto"/>
        <w:rPr>
          <w:sz w:val="20"/>
          <w:szCs w:val="20"/>
          <w:color w:val="auto"/>
        </w:rPr>
      </w:pPr>
      <w:r>
        <w:rPr>
          <w:rFonts w:ascii="Arial" w:cs="Arial" w:eastAsia="Arial" w:hAnsi="Arial"/>
          <w:sz w:val="15"/>
          <w:szCs w:val="15"/>
          <w:color w:val="auto"/>
        </w:rPr>
        <w:t>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or any Selling Stockholder Information;</w:t>
      </w:r>
    </w:p>
    <w:p>
      <w:pPr>
        <w:spacing w:after="0" w:line="140" w:lineRule="exact"/>
        <w:rPr>
          <w:sz w:val="20"/>
          <w:szCs w:val="20"/>
          <w:color w:val="auto"/>
        </w:rPr>
      </w:pPr>
    </w:p>
    <w:p>
      <w:pPr>
        <w:ind w:firstLine="509"/>
        <w:spacing w:after="0" w:line="288" w:lineRule="auto"/>
        <w:tabs>
          <w:tab w:leader="none" w:pos="961" w:val="left"/>
        </w:tabs>
        <w:numPr>
          <w:ilvl w:val="0"/>
          <w:numId w:val="182"/>
        </w:numPr>
        <w:rPr>
          <w:rFonts w:ascii="Arial" w:cs="Arial" w:eastAsia="Arial" w:hAnsi="Arial"/>
          <w:sz w:val="15"/>
          <w:szCs w:val="15"/>
          <w:color w:val="auto"/>
        </w:rPr>
      </w:pPr>
      <w:r>
        <w:rPr>
          <w:rFonts w:ascii="Arial" w:cs="Arial" w:eastAsia="Arial" w:hAnsi="Arial"/>
          <w:sz w:val="15"/>
          <w:szCs w:val="15"/>
          <w:color w:val="auto"/>
        </w:rPr>
        <w:t>No documents were filed with the Commission since the Commission’s close of business on the business day immediately prior to the date of this Agreement and prior to the execution of this Agreement, except as set forth on Schedule III(b) hereto;</w:t>
      </w:r>
    </w:p>
    <w:p>
      <w:pPr>
        <w:spacing w:after="0" w:line="122" w:lineRule="exact"/>
        <w:rPr>
          <w:rFonts w:ascii="Arial" w:cs="Arial" w:eastAsia="Arial" w:hAnsi="Arial"/>
          <w:sz w:val="15"/>
          <w:szCs w:val="15"/>
          <w:color w:val="auto"/>
        </w:rPr>
      </w:pPr>
    </w:p>
    <w:p>
      <w:pPr>
        <w:jc w:val="both"/>
        <w:ind w:firstLine="509"/>
        <w:spacing w:after="0" w:line="265" w:lineRule="auto"/>
        <w:tabs>
          <w:tab w:leader="none" w:pos="99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or any Selling Stockholder Information;</w:t>
      </w:r>
    </w:p>
    <w:p>
      <w:pPr>
        <w:spacing w:after="0" w:line="129" w:lineRule="exact"/>
        <w:rPr>
          <w:rFonts w:ascii="Arial" w:cs="Arial" w:eastAsia="Arial" w:hAnsi="Arial"/>
          <w:sz w:val="15"/>
          <w:szCs w:val="15"/>
          <w:color w:val="auto"/>
        </w:rPr>
      </w:pPr>
    </w:p>
    <w:p>
      <w:pPr>
        <w:jc w:val="both"/>
        <w:ind w:firstLine="509"/>
        <w:spacing w:after="0" w:line="260" w:lineRule="auto"/>
        <w:tabs>
          <w:tab w:leader="none" w:pos="954" w:val="left"/>
        </w:tabs>
        <w:numPr>
          <w:ilvl w:val="0"/>
          <w:numId w:val="182"/>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since the date of the latest audited financial statements included in the Pricing Prospectus, (i) sustained any loss or interference with its business that is material to the Company and its subsidiaries, taken as a whole,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 than as set forth or contemplated in the Pricing Prospectus; and, since the respective dates as of which information is given in the Registration Statement and the Pricing Prospectus, except in each case as described in the Pricing Prospectus and the Prospectus, there has not been (x) any change in the capital stock (other than as a result of (i) the exercise or settlement, if any, of stock options or restricted stock units (including any “net” or “cashless” exercises or settlements) or the award, if any, of stock options, restricted stock units or other equity awards, in each case in the ordinary course of business pursuant to the Company’s equity plans that are described in the Pricing Prospectus and the Prospectus, (ii) the repurchase or purchase of shares of capital stock from a stockholder upon or following termination of such holder’s employment or service with the Company pursuant to agreements providing for an option to repurchase or a right of first refusal on behalf of the Company, (iii) the exercise, if any, of warrants that are described in the Pricing Prospectus and the Prospectus or (iv) the issuance, if any, of shares of Stock upon exercise or conversion of Company securities as described in the Pricing Prospectus and the Prospectus) or long-term debt of the Company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32" w:right="319" w:bottom="1440" w:gutter="0" w:footer="0" w:header="0"/>
        </w:sectPr>
      </w:pPr>
    </w:p>
    <w:bookmarkStart w:id="339" w:name="page340"/>
    <w:bookmarkEnd w:id="339"/>
    <w:p>
      <w:pPr>
        <w:jc w:val="both"/>
        <w:spacing w:after="0" w:line="266" w:lineRule="auto"/>
        <w:rPr>
          <w:sz w:val="20"/>
          <w:szCs w:val="20"/>
          <w:color w:val="auto"/>
        </w:rPr>
      </w:pPr>
      <w:r>
        <w:rPr>
          <w:rFonts w:ascii="Arial" w:cs="Arial" w:eastAsia="Arial" w:hAnsi="Arial"/>
          <w:sz w:val="15"/>
          <w:szCs w:val="15"/>
          <w:color w:val="auto"/>
        </w:rPr>
        <w:t>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137" w:lineRule="exact"/>
        <w:rPr>
          <w:sz w:val="20"/>
          <w:szCs w:val="20"/>
          <w:color w:val="auto"/>
        </w:rPr>
      </w:pPr>
    </w:p>
    <w:p>
      <w:pPr>
        <w:jc w:val="both"/>
        <w:ind w:firstLine="509"/>
        <w:spacing w:after="0" w:line="261" w:lineRule="auto"/>
        <w:tabs>
          <w:tab w:leader="none" w:pos="994"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Company and its subsidiaries do not own any real property. The Company and its subsidiaries have good and marketable title to all personal property owned by them (other than with respect to intellectual property and Intellectual Property Rights (as defined below), title to which is addressed exclusively in subsection (xxxi) of this Section 1(a)),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the rights to indemnity and contribution) with such exceptions as are not material and do not materially interfere with the use made and proposed to be made of such property and buildings by the Company and its subsidiaries;</w:t>
      </w:r>
    </w:p>
    <w:p>
      <w:pPr>
        <w:spacing w:after="0" w:line="142" w:lineRule="exact"/>
        <w:rPr>
          <w:rFonts w:ascii="Arial" w:cs="Arial" w:eastAsia="Arial" w:hAnsi="Arial"/>
          <w:sz w:val="15"/>
          <w:szCs w:val="15"/>
          <w:color w:val="auto"/>
        </w:rPr>
      </w:pPr>
    </w:p>
    <w:p>
      <w:pPr>
        <w:jc w:val="both"/>
        <w:ind w:firstLine="509"/>
        <w:spacing w:after="0" w:line="262" w:lineRule="auto"/>
        <w:tabs>
          <w:tab w:leader="none" w:pos="1045" w:val="left"/>
        </w:tabs>
        <w:numPr>
          <w:ilvl w:val="0"/>
          <w:numId w:val="183"/>
        </w:numPr>
        <w:rPr>
          <w:rFonts w:ascii="Arial" w:cs="Arial" w:eastAsia="Arial" w:hAnsi="Arial"/>
          <w:sz w:val="15"/>
          <w:szCs w:val="15"/>
          <w:color w:val="auto"/>
        </w:rPr>
      </w:pPr>
      <w:r>
        <w:rPr>
          <w:rFonts w:ascii="Arial" w:cs="Arial" w:eastAsia="Arial" w:hAnsi="Arial"/>
          <w:sz w:val="15"/>
          <w:szCs w:val="15"/>
          <w:color w:val="auto"/>
        </w:rPr>
        <w:t>Each of the Company and each of its subsidiaries has been (i) duly organized and is validly existing and in good standing under the laws of its jurisdiction of organization (where such concept exists),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significant subsidiary (as such term is defined in Rule 1-02 of Regulation S-X promulgated under the Act) of the Company has been listed in Exhibit 21.1 to the Registration Statement;</w:t>
      </w:r>
    </w:p>
    <w:p>
      <w:pPr>
        <w:spacing w:after="0" w:line="143" w:lineRule="exact"/>
        <w:rPr>
          <w:rFonts w:ascii="Arial" w:cs="Arial" w:eastAsia="Arial" w:hAnsi="Arial"/>
          <w:sz w:val="15"/>
          <w:szCs w:val="15"/>
          <w:color w:val="auto"/>
        </w:rPr>
      </w:pPr>
    </w:p>
    <w:p>
      <w:pPr>
        <w:jc w:val="both"/>
        <w:ind w:firstLine="509"/>
        <w:spacing w:after="0" w:line="265" w:lineRule="auto"/>
        <w:tabs>
          <w:tab w:leader="none" w:pos="903"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Company has an authorized capitalization as set forth in the Pricing Prospectus and all of the issued and outstanding shares of capital stock of the Company, including the Shares to be sold by the Selling Stockholders, have been duly and validly authorized and issued and outstanding and are fully paid and non-assessable and conform in all material respects to the description of the Stock contained in the Pricing Disclosure Package and the Prospectus; and all of the issued and outstanding shares of capital stock of each subsidiary of the Company have been duly and validly authorized and issued, are fully paid and non-assessable and (except, in the case of any foreign subsidiary, for directors’ qualifying shares) are owned directly or indirectly by the Company, are free and clear of all liens, encumbrances, equities or claims, with the exception of Wealthfront Advisers LLC (“Wealthfront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132" w:right="319" w:bottom="1440" w:gutter="0" w:footer="0" w:header="0"/>
        </w:sectPr>
      </w:pPr>
    </w:p>
    <w:bookmarkStart w:id="340" w:name="page341"/>
    <w:bookmarkEnd w:id="340"/>
    <w:p>
      <w:pPr>
        <w:spacing w:after="0"/>
        <w:rPr>
          <w:sz w:val="20"/>
          <w:szCs w:val="20"/>
          <w:color w:val="auto"/>
        </w:rPr>
      </w:pPr>
      <w:r>
        <w:rPr>
          <w:rFonts w:ascii="Arial" w:cs="Arial" w:eastAsia="Arial" w:hAnsi="Arial"/>
          <w:sz w:val="15"/>
          <w:szCs w:val="15"/>
          <w:color w:val="auto"/>
        </w:rPr>
        <w:t>Advisers”) and Wealthfront Software LLC which equity interests are pledged as collateral under the Company’s revolver;</w:t>
      </w:r>
    </w:p>
    <w:p>
      <w:pPr>
        <w:spacing w:after="0" w:line="185" w:lineRule="exact"/>
        <w:rPr>
          <w:sz w:val="20"/>
          <w:szCs w:val="20"/>
          <w:color w:val="auto"/>
        </w:rPr>
      </w:pPr>
    </w:p>
    <w:p>
      <w:pPr>
        <w:jc w:val="both"/>
        <w:ind w:firstLine="509"/>
        <w:spacing w:after="0" w:line="266" w:lineRule="auto"/>
        <w:tabs>
          <w:tab w:leader="none" w:pos="8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that have not been validly waived or satisfied;</w:t>
      </w:r>
    </w:p>
    <w:p>
      <w:pPr>
        <w:spacing w:after="0" w:line="139" w:lineRule="exact"/>
        <w:rPr>
          <w:rFonts w:ascii="Arial" w:cs="Arial" w:eastAsia="Arial" w:hAnsi="Arial"/>
          <w:sz w:val="15"/>
          <w:szCs w:val="15"/>
          <w:color w:val="auto"/>
        </w:rPr>
      </w:pPr>
    </w:p>
    <w:p>
      <w:pPr>
        <w:jc w:val="both"/>
        <w:ind w:firstLine="509"/>
        <w:spacing w:after="0" w:line="261" w:lineRule="auto"/>
        <w:tabs>
          <w:tab w:leader="none" w:pos="926"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issue and sale of the Shares to be sold by the Company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defaults, breaches, or violations that would not, individually or in the aggregate, reasonably be expected to have a Material Adverse Effect; and no consent, approval, authorization, order, registration or qualification of or with any such court or governmental agency or regulatory body is required for the issue and sale of the Shares to be sold by the Company and the sale of the Shares or the consummation by the Company of the transactions contemplated by this Agreement, except such as have been obtained under the Act, the approval by FINRA of the underwriting terms and arrangements, the approval for listing on the Nasdaq Stock Market LLC (the “Exchange”), and such consents, approvals, authorizations, registrations or qualifications as may be required under state securities or Blue Sky laws in connection with the purchase and distribution of the Shares by the Underwriters;</w:t>
      </w:r>
    </w:p>
    <w:p>
      <w:pPr>
        <w:spacing w:after="0" w:line="135" w:lineRule="exact"/>
        <w:rPr>
          <w:rFonts w:ascii="Arial" w:cs="Arial" w:eastAsia="Arial" w:hAnsi="Arial"/>
          <w:sz w:val="15"/>
          <w:szCs w:val="15"/>
          <w:color w:val="auto"/>
        </w:rPr>
      </w:pPr>
    </w:p>
    <w:p>
      <w:pPr>
        <w:jc w:val="both"/>
        <w:ind w:firstLine="509"/>
        <w:spacing w:after="0" w:line="262" w:lineRule="auto"/>
        <w:tabs>
          <w:tab w:leader="none" w:pos="1036" w:val="left"/>
        </w:tabs>
        <w:numPr>
          <w:ilvl w:val="0"/>
          <w:numId w:val="184"/>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(i) in violation of its certificate of incorporation or by-laws (or other applicable organizational document), (ii) in violation of any statute or any judgment, writ, award, injunction, decree or order (each an “Order”), of any federal, state or local governmental, regulatory or other public regulatory body, agency, commission, department, branch, division, subdivision, bureau, audit group, procuring office or authority (including self-regulatory organizations), court, tribunal, domestic or foreign, including the employees or agents thereof, governmental agency or body having jurisdiction over the Company or any of its subsidiaries or any of their properties (each, a “Governmental Entity”),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44" w:lineRule="exact"/>
        <w:rPr>
          <w:rFonts w:ascii="Arial" w:cs="Arial" w:eastAsia="Arial" w:hAnsi="Arial"/>
          <w:sz w:val="15"/>
          <w:szCs w:val="15"/>
          <w:color w:val="auto"/>
        </w:rPr>
      </w:pPr>
    </w:p>
    <w:p>
      <w:pPr>
        <w:ind w:firstLine="509"/>
        <w:spacing w:after="0" w:line="288" w:lineRule="auto"/>
        <w:tabs>
          <w:tab w:leader="none" w:pos="103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statements set forth in the Pricing Prospectus and the Prospectus under the caption “Description of Capital Stock,” insofar as they purport to constitute a summary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132" w:right="319" w:bottom="1440" w:gutter="0" w:footer="0" w:header="0"/>
        </w:sectPr>
      </w:pPr>
    </w:p>
    <w:bookmarkStart w:id="341" w:name="page342"/>
    <w:bookmarkEnd w:id="341"/>
    <w:p>
      <w:pPr>
        <w:jc w:val="both"/>
        <w:spacing w:after="0" w:line="271" w:lineRule="auto"/>
        <w:rPr>
          <w:sz w:val="20"/>
          <w:szCs w:val="20"/>
          <w:color w:val="auto"/>
        </w:rPr>
      </w:pPr>
      <w:r>
        <w:rPr>
          <w:rFonts w:ascii="Arial" w:cs="Arial" w:eastAsia="Arial" w:hAnsi="Arial"/>
          <w:sz w:val="15"/>
          <w:szCs w:val="15"/>
          <w:color w:val="auto"/>
        </w:rPr>
        <w:t>terms of the Stock, under the caption “Material U.S. Federal Income Tax Consequences for Non-U.S. Holders of Our Common Stock,” and under the caption “Underwriting,” insofar as they purport to describe the provisions of the laws (other than laws, rules and regulations relating to selling restrictions in various foreign jurisdictions) and documents referred to therein, are accurate, complete and fair in all material respects; provided, however, that this representation and warranty shall not apply to any statements or omissions made in reliance upon and in conformity with the Underwriter Information;</w:t>
      </w:r>
    </w:p>
    <w:p>
      <w:pPr>
        <w:spacing w:after="0" w:line="125" w:lineRule="exact"/>
        <w:rPr>
          <w:sz w:val="20"/>
          <w:szCs w:val="20"/>
          <w:color w:val="auto"/>
        </w:rPr>
      </w:pPr>
    </w:p>
    <w:p>
      <w:pPr>
        <w:jc w:val="both"/>
        <w:ind w:firstLine="509"/>
        <w:spacing w:after="0" w:line="261" w:lineRule="auto"/>
        <w:tabs>
          <w:tab w:leader="none" w:pos="1063" w:val="left"/>
        </w:tabs>
        <w:numPr>
          <w:ilvl w:val="0"/>
          <w:numId w:val="185"/>
        </w:numPr>
        <w:rPr>
          <w:rFonts w:ascii="Arial" w:cs="Arial" w:eastAsia="Arial" w:hAnsi="Arial"/>
          <w:sz w:val="15"/>
          <w:szCs w:val="15"/>
          <w:color w:val="auto"/>
        </w:rPr>
      </w:pPr>
      <w:r>
        <w:rPr>
          <w:rFonts w:ascii="Arial" w:cs="Arial" w:eastAsia="Arial" w:hAnsi="Arial"/>
          <w:sz w:val="15"/>
          <w:szCs w:val="15"/>
          <w:color w:val="auto"/>
        </w:rPr>
        <w:t>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 there is no Action pending, nor, to the knowledge of the Company or any of its subsidiaries, any Action threatened, which could result in the termination or material limitation of either Wealthfront Advisers’ or Wealthfront Strategies LLC’s (“Wealthfront Strategies”) rights under their respective registrations as investment advisers under the Advisers Act, or the termination or material limitation of any similar or related rights under any registrations or qualifications with various self-regulatory bodies, states or other jurisdictions, or under any other applicable securities laws;</w:t>
      </w:r>
    </w:p>
    <w:p>
      <w:pPr>
        <w:spacing w:after="0" w:line="145" w:lineRule="exact"/>
        <w:rPr>
          <w:rFonts w:ascii="Arial" w:cs="Arial" w:eastAsia="Arial" w:hAnsi="Arial"/>
          <w:sz w:val="15"/>
          <w:szCs w:val="15"/>
          <w:color w:val="auto"/>
        </w:rPr>
      </w:pPr>
    </w:p>
    <w:p>
      <w:pPr>
        <w:ind w:firstLine="509"/>
        <w:spacing w:after="0" w:line="289" w:lineRule="auto"/>
        <w:tabs>
          <w:tab w:leader="none" w:pos="956"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Company is not, and immediately after giving effect to the offering and sale of the Shares and the application of the proceeds thereof, will not be, required to be registered as an “investment company,” as such term is defined in the Investment Company Act;</w:t>
      </w:r>
    </w:p>
    <w:p>
      <w:pPr>
        <w:spacing w:after="0" w:line="120" w:lineRule="exact"/>
        <w:rPr>
          <w:rFonts w:ascii="Arial" w:cs="Arial" w:eastAsia="Arial" w:hAnsi="Arial"/>
          <w:sz w:val="15"/>
          <w:szCs w:val="15"/>
          <w:color w:val="auto"/>
        </w:rPr>
      </w:pPr>
    </w:p>
    <w:p>
      <w:pPr>
        <w:jc w:val="both"/>
        <w:ind w:firstLine="509"/>
        <w:spacing w:after="0" w:line="276" w:lineRule="auto"/>
        <w:tabs>
          <w:tab w:leader="none" w:pos="96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19" w:lineRule="exact"/>
        <w:rPr>
          <w:rFonts w:ascii="Arial" w:cs="Arial" w:eastAsia="Arial" w:hAnsi="Arial"/>
          <w:sz w:val="15"/>
          <w:szCs w:val="15"/>
          <w:color w:val="auto"/>
        </w:rPr>
      </w:pPr>
    </w:p>
    <w:p>
      <w:pPr>
        <w:ind w:firstLine="509"/>
        <w:spacing w:after="0" w:line="303" w:lineRule="auto"/>
        <w:tabs>
          <w:tab w:leader="none" w:pos="1131" w:val="left"/>
        </w:tabs>
        <w:numPr>
          <w:ilvl w:val="0"/>
          <w:numId w:val="185"/>
        </w:numPr>
        <w:rPr>
          <w:rFonts w:ascii="Arial" w:cs="Arial" w:eastAsia="Arial" w:hAnsi="Arial"/>
          <w:sz w:val="15"/>
          <w:szCs w:val="15"/>
          <w:color w:val="auto"/>
        </w:rPr>
      </w:pPr>
      <w:r>
        <w:rPr>
          <w:rFonts w:ascii="Arial" w:cs="Arial" w:eastAsia="Arial" w:hAnsi="Arial"/>
          <w:sz w:val="15"/>
          <w:szCs w:val="15"/>
          <w:color w:val="auto"/>
        </w:rPr>
        <w:t>Ernst &amp; Young LLP, which has certified certain financial statements of the Company and its subsidiaries, is an independent registered public accounting firm as required by the Act and the rules and regulations of the Commission thereunder;</w:t>
      </w:r>
    </w:p>
    <w:p>
      <w:pPr>
        <w:spacing w:after="0" w:line="111" w:lineRule="exact"/>
        <w:rPr>
          <w:rFonts w:ascii="Arial" w:cs="Arial" w:eastAsia="Arial" w:hAnsi="Arial"/>
          <w:sz w:val="15"/>
          <w:szCs w:val="15"/>
          <w:color w:val="auto"/>
        </w:rPr>
      </w:pPr>
    </w:p>
    <w:p>
      <w:pPr>
        <w:jc w:val="both"/>
        <w:ind w:firstLine="509"/>
        <w:spacing w:after="0" w:line="276" w:lineRule="auto"/>
        <w:tabs>
          <w:tab w:leader="none" w:pos="1044"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Company maintains a system of internal control over financial reporting (as such term is defined in Rule 13a-15(f) under the Securities Exchange Act of 1934, as amended (the “Exchange Act”)) that (i) complies with the applicable requirements of the Exchange Act, (ii) has been designed by the Company’s principal executive officer and principal financial officer, or under their supervision, to provide reasonable assurance regarding the reliability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32" w:right="319" w:bottom="1440" w:gutter="0" w:footer="0" w:header="0"/>
        </w:sectPr>
      </w:pPr>
    </w:p>
    <w:bookmarkStart w:id="342" w:name="page343"/>
    <w:bookmarkEnd w:id="342"/>
    <w:p>
      <w:pPr>
        <w:jc w:val="both"/>
        <w:spacing w:after="0" w:line="262" w:lineRule="auto"/>
        <w:rPr>
          <w:sz w:val="20"/>
          <w:szCs w:val="20"/>
          <w:color w:val="auto"/>
        </w:rPr>
      </w:pPr>
      <w:r>
        <w:rPr>
          <w:rFonts w:ascii="Arial" w:cs="Arial" w:eastAsia="Arial" w:hAnsi="Arial"/>
          <w:sz w:val="15"/>
          <w:szCs w:val="15"/>
          <w:color w:val="auto"/>
        </w:rPr>
        <w:t>reporting and the preparation of financial statements for external purposes in accordance with U.S. generally accepted accounting principles (“GAAP”) and (iii)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provided, however, that this subsection does not require that the Company comply with Section 404 of the Sarbanes-Oxley Act of 2002, as amended, and the rules and regulations promulgated in connection therewith (the “Sarbanes-Oxley Act”) as of an earlier date than it would otherwise be required to so comply under applicable law;</w:t>
      </w:r>
    </w:p>
    <w:p>
      <w:pPr>
        <w:spacing w:after="0" w:line="144" w:lineRule="exact"/>
        <w:rPr>
          <w:sz w:val="20"/>
          <w:szCs w:val="20"/>
          <w:color w:val="auto"/>
        </w:rPr>
      </w:pPr>
    </w:p>
    <w:p>
      <w:pPr>
        <w:jc w:val="both"/>
        <w:ind w:firstLine="509"/>
        <w:spacing w:after="0" w:line="276" w:lineRule="auto"/>
        <w:tabs>
          <w:tab w:leader="none" w:pos="96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30" w:lineRule="exact"/>
        <w:rPr>
          <w:rFonts w:ascii="Arial" w:cs="Arial" w:eastAsia="Arial" w:hAnsi="Arial"/>
          <w:sz w:val="15"/>
          <w:szCs w:val="15"/>
          <w:color w:val="auto"/>
        </w:rPr>
      </w:pPr>
    </w:p>
    <w:p>
      <w:pPr>
        <w:jc w:val="both"/>
        <w:ind w:firstLine="509"/>
        <w:spacing w:after="0" w:line="266" w:lineRule="auto"/>
        <w:tabs>
          <w:tab w:leader="none" w:pos="959"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The Company maintains disclosure controls and procedures (as such term is defined in Rule 13a-15(e) under the Exchange Act) that comply with the applicable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39" w:lineRule="exact"/>
        <w:rPr>
          <w:rFonts w:ascii="Arial" w:cs="Arial" w:eastAsia="Arial" w:hAnsi="Arial"/>
          <w:sz w:val="15"/>
          <w:szCs w:val="15"/>
          <w:color w:val="auto"/>
        </w:rPr>
      </w:pPr>
    </w:p>
    <w:p>
      <w:pPr>
        <w:ind w:left="960" w:hanging="451"/>
        <w:spacing w:after="0"/>
        <w:tabs>
          <w:tab w:leader="none" w:pos="9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This Agreement has been duly authorized, executed and delivered by the Company;</w:t>
      </w:r>
    </w:p>
    <w:p>
      <w:pPr>
        <w:spacing w:after="0" w:line="184" w:lineRule="exact"/>
        <w:rPr>
          <w:rFonts w:ascii="Arial" w:cs="Arial" w:eastAsia="Arial" w:hAnsi="Arial"/>
          <w:sz w:val="15"/>
          <w:szCs w:val="15"/>
          <w:color w:val="auto"/>
        </w:rPr>
      </w:pPr>
    </w:p>
    <w:p>
      <w:pPr>
        <w:jc w:val="both"/>
        <w:ind w:firstLine="509"/>
        <w:spacing w:after="0" w:line="266" w:lineRule="auto"/>
        <w:tabs>
          <w:tab w:leader="none" w:pos="101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 that have not been waived or complied with in connection with the issuance and sale of the Shares contemplated hereby or that has not been described in each of the Registration Statement, the Pricing Prospectus and the Prospectus;</w:t>
      </w:r>
    </w:p>
    <w:p>
      <w:pPr>
        <w:spacing w:after="0" w:line="139" w:lineRule="exact"/>
        <w:rPr>
          <w:rFonts w:ascii="Arial" w:cs="Arial" w:eastAsia="Arial" w:hAnsi="Arial"/>
          <w:sz w:val="15"/>
          <w:szCs w:val="15"/>
          <w:color w:val="auto"/>
        </w:rPr>
      </w:pPr>
    </w:p>
    <w:p>
      <w:pPr>
        <w:jc w:val="both"/>
        <w:ind w:firstLine="509"/>
        <w:spacing w:after="0" w:line="262" w:lineRule="auto"/>
        <w:tabs>
          <w:tab w:leader="none" w:pos="1136" w:val="left"/>
        </w:tabs>
        <w:numPr>
          <w:ilvl w:val="0"/>
          <w:numId w:val="186"/>
        </w:numPr>
        <w:rPr>
          <w:rFonts w:ascii="Arial" w:cs="Arial" w:eastAsia="Arial" w:hAnsi="Arial"/>
          <w:sz w:val="15"/>
          <w:szCs w:val="15"/>
          <w:color w:val="auto"/>
        </w:rPr>
      </w:pPr>
      <w:r>
        <w:rPr>
          <w:rFonts w:ascii="Arial" w:cs="Arial" w:eastAsia="Arial" w:hAnsi="Arial"/>
          <w:sz w:val="15"/>
          <w:szCs w:val="15"/>
          <w:color w:val="auto"/>
        </w:rPr>
        <w:t>Neither the Company nor any of its subsidiaries or controlled affiliates, nor any director or officer of the Company or any of its subsidiaries or controlled affiliates nor, to the knowledge of the Company, any employee of or agent, representative or other person associated with or acting on behalf of the Company or any of its subsidiaries or controlled affiliates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each of its subsidiaries and controlled affiliates have conducted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32" w:right="319" w:bottom="1440" w:gutter="0" w:footer="0" w:header="0"/>
        </w:sectPr>
      </w:pPr>
    </w:p>
    <w:bookmarkStart w:id="343" w:name="page344"/>
    <w:bookmarkEnd w:id="343"/>
    <w:p>
      <w:pPr>
        <w:jc w:val="both"/>
        <w:spacing w:after="0" w:line="271" w:lineRule="auto"/>
        <w:rPr>
          <w:sz w:val="20"/>
          <w:szCs w:val="20"/>
          <w:color w:val="auto"/>
        </w:rPr>
      </w:pPr>
      <w:r>
        <w:rPr>
          <w:rFonts w:ascii="Arial" w:cs="Arial" w:eastAsia="Arial" w:hAnsi="Arial"/>
          <w:sz w:val="15"/>
          <w:szCs w:val="15"/>
          <w:color w:val="auto"/>
        </w:rPr>
        <w:t>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w:t>
      </w:r>
    </w:p>
    <w:p>
      <w:pPr>
        <w:spacing w:after="0" w:line="125" w:lineRule="exact"/>
        <w:rPr>
          <w:sz w:val="20"/>
          <w:szCs w:val="20"/>
          <w:color w:val="auto"/>
        </w:rPr>
      </w:pPr>
    </w:p>
    <w:p>
      <w:pPr>
        <w:jc w:val="both"/>
        <w:ind w:firstLine="509"/>
        <w:spacing w:after="0" w:line="271" w:lineRule="auto"/>
        <w:tabs>
          <w:tab w:leader="none" w:pos="1058"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14" w:lineRule="exact"/>
        <w:rPr>
          <w:rFonts w:ascii="Arial" w:cs="Arial" w:eastAsia="Arial" w:hAnsi="Arial"/>
          <w:sz w:val="15"/>
          <w:szCs w:val="15"/>
          <w:color w:val="auto"/>
        </w:rPr>
      </w:pPr>
    </w:p>
    <w:p>
      <w:pPr>
        <w:jc w:val="both"/>
        <w:ind w:firstLine="509"/>
        <w:spacing w:after="0" w:line="260" w:lineRule="auto"/>
        <w:tabs>
          <w:tab w:leader="none" w:pos="1031" w:val="left"/>
        </w:tabs>
        <w:numPr>
          <w:ilvl w:val="0"/>
          <w:numId w:val="187"/>
        </w:numPr>
        <w:rPr>
          <w:rFonts w:ascii="Arial" w:cs="Arial" w:eastAsia="Arial" w:hAnsi="Arial"/>
          <w:sz w:val="15"/>
          <w:szCs w:val="15"/>
          <w:color w:val="auto"/>
        </w:rPr>
      </w:pPr>
      <w:r>
        <w:rPr>
          <w:rFonts w:ascii="Arial" w:cs="Arial" w:eastAsia="Arial" w:hAnsi="Arial"/>
          <w:sz w:val="15"/>
          <w:szCs w:val="15"/>
          <w:color w:val="auto"/>
        </w:rPr>
        <w:t>Neither the Company nor any of its subsidiaries, nor any director, officer or employee of the Company or any of its subsidiaries nor, to the knowledge of the Company, any agent, affiliate or other person acting on behalf of the Company or any of its subsidiaries is or is owned or controlled by one or more persons that are (i) currently the subject or the target of any applicable economic or financial sanctions imposed, administered or enforced by the U.S. Government (including, without limitation, the Office of Foreign Assets Control of the U.S. Department of the Treasury (“OFAC”), or the U.S. Department of State), the United Nations Security Council, the European Union, his Majesty’s Treasury of the United Kingdom or other applicable sanctions authority (collectively, “Sanctions”), (ii) located, legally organized or ordinarily resident in a country or territory that is itself the subject or target of comprehensive Sanctions (as of the date of this Agreement, Cuba, Iran, North Korea, the Crimea region of Ukraine, the so-called Donetsk People’s Republic, and the so-called Luhansk People’s Republic) (each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or facilitation, is the subject or the target of Sanctions and where such funding or facilitation is not authorized under applicable law, or (ii) in any other manner that will result in a violation by any person (including any person participating in the transaction, whether as underwriter, advisor, investor or otherwise) of Sanctions; neither the Company nor any of its subsidiaries is directly or knowingly indirectly engaged in, or has, at any time since April 24, 2019, directly or knowingly indirectly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reasonably designed to promote and achieve continued compliance with Sanctions;</w:t>
      </w:r>
    </w:p>
    <w:p>
      <w:pPr>
        <w:spacing w:after="0" w:line="140" w:lineRule="exact"/>
        <w:rPr>
          <w:rFonts w:ascii="Arial" w:cs="Arial" w:eastAsia="Arial" w:hAnsi="Arial"/>
          <w:sz w:val="15"/>
          <w:szCs w:val="15"/>
          <w:color w:val="auto"/>
        </w:rPr>
      </w:pPr>
    </w:p>
    <w:p>
      <w:pPr>
        <w:jc w:val="both"/>
        <w:ind w:firstLine="509"/>
        <w:spacing w:after="0" w:line="271" w:lineRule="auto"/>
        <w:tabs>
          <w:tab w:leader="none" w:pos="1066"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and, to the Company’s knowledge, the actions of their respective directors, officers, employees, agents and affiliates, are and have been conducted at all times, in all material respects, in compliance with the requirements of applicable Financial Regulatory Laws in each jurisdiction in which the Company or its subsidiaries conduct business. For purposes of this paragraph, the term “Financial Regulatory Laws” means: (i) all legal or regulatory requirements (including rules imposed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32" w:right="319" w:bottom="1440" w:gutter="0" w:footer="0" w:header="0"/>
        </w:sectPr>
      </w:pPr>
    </w:p>
    <w:bookmarkStart w:id="344" w:name="page345"/>
    <w:bookmarkEnd w:id="344"/>
    <w:p>
      <w:pPr>
        <w:jc w:val="both"/>
        <w:spacing w:after="0" w:line="265" w:lineRule="auto"/>
        <w:rPr>
          <w:sz w:val="20"/>
          <w:szCs w:val="20"/>
          <w:color w:val="auto"/>
        </w:rPr>
      </w:pPr>
      <w:r>
        <w:rPr>
          <w:rFonts w:ascii="Arial" w:cs="Arial" w:eastAsia="Arial" w:hAnsi="Arial"/>
          <w:sz w:val="15"/>
          <w:szCs w:val="15"/>
          <w:color w:val="auto"/>
        </w:rPr>
        <w:t>SEC, FINRA and all other applicable self-regulatory organizations) relating to the licensing, registration and/or operations of a person that provides services relating to dealing in, brokering, marketing or otherwise facilitating or enabling transactions in securities or other financial instruments; and (ii) all legal or regulatory requirements relating to the licensing, registration and/or operations of a person that engages in the origination, facilitation, underwriting, servicing, collection, or enforcement of loans or credit, including but not limited to, laws pertaining to consumer protection, fair lending, usury, credit reporting, debt collection and sales and any other laws applicable to the business of lending and credit. There are no current, pending or, to Company’s knowledge, threatened legal, regulatory or administrative proceedings, filings, orders or governmental investigations alleging any violations of the Financial Regulatory Laws by the Company, which would, if determined adversely to the Company, individually or in the aggregate reasonably be expected to have a Material Adverse Effect;</w:t>
      </w:r>
    </w:p>
    <w:p>
      <w:pPr>
        <w:spacing w:after="0" w:line="128" w:lineRule="exact"/>
        <w:rPr>
          <w:sz w:val="20"/>
          <w:szCs w:val="20"/>
          <w:color w:val="auto"/>
        </w:rPr>
      </w:pPr>
    </w:p>
    <w:p>
      <w:pPr>
        <w:jc w:val="both"/>
        <w:ind w:firstLine="509"/>
        <w:spacing w:after="0" w:line="262" w:lineRule="auto"/>
        <w:tabs>
          <w:tab w:leader="none" w:pos="1095"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and said financial statements have been prepared in conformity with GAAP applied on a consistent basis throughout the periods involved. The supporting schedules, if any, present fairly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135" w:lineRule="exact"/>
        <w:rPr>
          <w:rFonts w:ascii="Arial" w:cs="Arial" w:eastAsia="Arial" w:hAnsi="Arial"/>
          <w:sz w:val="15"/>
          <w:szCs w:val="15"/>
          <w:color w:val="auto"/>
        </w:rPr>
      </w:pPr>
    </w:p>
    <w:p>
      <w:pPr>
        <w:jc w:val="both"/>
        <w:ind w:firstLine="509"/>
        <w:spacing w:after="0" w:line="276" w:lineRule="auto"/>
        <w:tabs>
          <w:tab w:leader="none" w:pos="1136"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Company has not, directly or indirectly, including through any subsidiary, extended or maintained credit, or arranged for the extension of credit, or renewed any extension of credit, in the form of a personal loan to or for any of its directors or executive officers to the extent that such credit was outstanding at or after the time of the first filing of the Registration Statement with the Commission;</w:t>
      </w:r>
    </w:p>
    <w:p>
      <w:pPr>
        <w:spacing w:after="0" w:line="130" w:lineRule="exact"/>
        <w:rPr>
          <w:rFonts w:ascii="Arial" w:cs="Arial" w:eastAsia="Arial" w:hAnsi="Arial"/>
          <w:sz w:val="15"/>
          <w:szCs w:val="15"/>
          <w:color w:val="auto"/>
        </w:rPr>
      </w:pPr>
    </w:p>
    <w:p>
      <w:pPr>
        <w:jc w:val="both"/>
        <w:ind w:firstLine="509"/>
        <w:spacing w:after="0" w:line="275" w:lineRule="auto"/>
        <w:tabs>
          <w:tab w:leader="none" w:pos="111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Company has not sold or issued any shares of Stock during the six-month period preceding the date of the Prospectus, including any sales pursuant to Rule 144A or Regulation D of the Act, other than (i) shares issued pursuant to employee benefit plans, stock option plans or other employee compensation plans or pursuant to outstanding options, rights or warrants or (ii) as disclosed in the Registration Statement, the Pricing Prospectus and the Prospectus;</w:t>
      </w:r>
    </w:p>
    <w:p>
      <w:pPr>
        <w:spacing w:after="0" w:line="311" w:lineRule="exact"/>
        <w:rPr>
          <w:rFonts w:ascii="Arial" w:cs="Arial" w:eastAsia="Arial" w:hAnsi="Arial"/>
          <w:sz w:val="15"/>
          <w:szCs w:val="15"/>
          <w:color w:val="auto"/>
        </w:rPr>
      </w:pPr>
    </w:p>
    <w:p>
      <w:pPr>
        <w:jc w:val="both"/>
        <w:ind w:firstLine="509"/>
        <w:spacing w:after="0" w:line="276" w:lineRule="auto"/>
        <w:tabs>
          <w:tab w:leader="none" w:pos="1035"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Company and its subsidiaries have filed all U.S. federal, state, and local and all non-U.S. tax returns required to be filed through the date of this Agreement or have requested extensions thereof (except where the failure to file would not, singly or in the aggregate, reasonably be expected to have a Material Adverse Effect on the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32" w:right="319" w:bottom="1440" w:gutter="0" w:footer="0" w:header="0"/>
        </w:sectPr>
      </w:pPr>
    </w:p>
    <w:bookmarkStart w:id="345" w:name="page346"/>
    <w:bookmarkEnd w:id="345"/>
    <w:p>
      <w:pPr>
        <w:jc w:val="both"/>
        <w:spacing w:after="0" w:line="265" w:lineRule="auto"/>
        <w:rPr>
          <w:sz w:val="20"/>
          <w:szCs w:val="20"/>
          <w:color w:val="auto"/>
        </w:rPr>
      </w:pPr>
      <w:r>
        <w:rPr>
          <w:rFonts w:ascii="Arial" w:cs="Arial" w:eastAsia="Arial" w:hAnsi="Arial"/>
          <w:sz w:val="15"/>
          <w:szCs w:val="15"/>
          <w:color w:val="auto"/>
        </w:rPr>
        <w:t>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140" w:lineRule="exact"/>
        <w:rPr>
          <w:sz w:val="20"/>
          <w:szCs w:val="20"/>
          <w:color w:val="auto"/>
        </w:rPr>
      </w:pPr>
    </w:p>
    <w:p>
      <w:pPr>
        <w:jc w:val="both"/>
        <w:ind w:firstLine="509"/>
        <w:spacing w:after="0" w:line="259" w:lineRule="auto"/>
        <w:tabs>
          <w:tab w:leader="none" w:pos="1133" w:val="left"/>
        </w:tabs>
        <w:numPr>
          <w:ilvl w:val="0"/>
          <w:numId w:val="189"/>
        </w:numPr>
        <w:rPr>
          <w:rFonts w:ascii="Arial" w:cs="Arial" w:eastAsia="Arial" w:hAnsi="Arial"/>
          <w:sz w:val="15"/>
          <w:szCs w:val="15"/>
          <w:color w:val="auto"/>
        </w:rPr>
      </w:pPr>
      <w:r>
        <w:rPr>
          <w:rFonts w:ascii="Arial" w:cs="Arial" w:eastAsia="Arial" w:hAnsi="Arial"/>
          <w:sz w:val="15"/>
          <w:szCs w:val="15"/>
          <w:color w:val="auto"/>
        </w:rPr>
        <w:t>Except as would not reasonably be expected to, individually or in the aggregate, have a Material Adverse Effect, the Company and each of its subsidiaries (i) own or otherwise possess adequate rights to use all material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(collectively, “Intellectual Property Rights”) used in or necessary for the conduct of their respective businesses as currently conducted, (ii) do not, through the conduct of their respective businesses, infringe, misappropriate or otherwise violate or conflict with the Intellectual Property Rights of others, which infringement, misappropriation, violation or other conflict, individually or in the aggregate, would reasonably be expected to have a Material Adverse Effect; (iii) have not received any written notice of any claim of infringement, misappropriation, or other violation or conflict with, the Intellectual Property Rights of others; (iv) to the Company’s knowledge, no third party is infringing, misappropriating or otherwise violating, or has infringed, misappropriated or otherwise violated, any Intellectual Property Rights owned by the Company; (v)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 the Company and its subsidiaries have taken reasonable efforts to maintain the confidentiality of all Intellectual Property Rights of the Company or any of its subsidiaries deemed by the Company or its subsidiaries to be a trade secret. The Company and its subsidiaries use and have used any and all software and other materials distributed under a “free,” “open source” or similar licensing model (“Open Source Software”) in compliance with all license terms applicable to such Open Source Software; and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except in the case of (A) and (B) above, as would not reasonably be expected to have a Material Adverse Effect;</w:t>
      </w:r>
    </w:p>
    <w:p>
      <w:pPr>
        <w:spacing w:after="0" w:line="321" w:lineRule="exact"/>
        <w:rPr>
          <w:rFonts w:ascii="Arial" w:cs="Arial" w:eastAsia="Arial" w:hAnsi="Arial"/>
          <w:sz w:val="15"/>
          <w:szCs w:val="15"/>
          <w:color w:val="auto"/>
        </w:rPr>
      </w:pPr>
    </w:p>
    <w:p>
      <w:pPr>
        <w:jc w:val="both"/>
        <w:ind w:firstLine="509"/>
        <w:spacing w:after="0" w:line="283" w:lineRule="auto"/>
        <w:tabs>
          <w:tab w:leader="none" w:pos="1084"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information technology assets and equipment, computers, systems, networks, hardware, software, websites, applications and databases used or in the custody of the Company and its subsidiaries (collectively, “IT Systems”) are adequate for, and operate and perform in all material respects as required in connection with the operation of the business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132" w:right="319" w:bottom="1440" w:gutter="0" w:footer="0" w:header="0"/>
        </w:sectPr>
      </w:pPr>
    </w:p>
    <w:bookmarkStart w:id="346" w:name="page347"/>
    <w:bookmarkEnd w:id="346"/>
    <w:p>
      <w:pPr>
        <w:jc w:val="both"/>
        <w:spacing w:after="0" w:line="260" w:lineRule="auto"/>
        <w:rPr>
          <w:sz w:val="20"/>
          <w:szCs w:val="20"/>
          <w:color w:val="auto"/>
        </w:rPr>
      </w:pPr>
      <w:r>
        <w:rPr>
          <w:rFonts w:ascii="Arial" w:cs="Arial" w:eastAsia="Arial" w:hAnsi="Arial"/>
          <w:sz w:val="15"/>
          <w:szCs w:val="15"/>
          <w:color w:val="auto"/>
        </w:rPr>
        <w:t>the Company and its subsidiaries as currently conducted, free and clear of all material bugs, errors, defects, Trojan horses, time bombs, malware and other corruptants. Except as would not reasonably be expected to, individually or in the aggregate, have a Material Adverse Effect, the Company and its subsidiaries have implemented, maintained and complied with commercially reasonable technical, physical and organizational controls, policies, procedures and safeguards consistent with applicable regulatory requirements designed to maintain and protect their material confidential information and the security of all IT Systems and confidential data stored thereon (including all information that is considered “personally identifiable information,” “personal information,” “personal data,” “sensitive personal information,” “nonpublic personal information” or any similar term by any applicable Privacy Requirements (as defined below) (“Personal Data”)) used in connection with their businesses and, to the extent required by applicable Privacy Requirements, required all third parties acting on behalf of the Company or any of its subsidiaries that provide IT Systems to maintain and implement substantially similar security measures, and there have been no material breaches, outages or unlawful or unauthorized uses, losses, disclosures, compromises, exfiltration or accesses to the IT Systems that resulted in any compromise to confidential information or Personal Data, except for those that have been remedied without material cost or liability or required notification to any other third party, nor any material incidents under internal review or investigations relating to the same. Except as would not reasonably be expected to, individually or in the aggregate, have a Material Adverse Effect, the Company and its subsidiaries have complied and are presently in compliance with all applicable laws or statutes and all judgments, orders, rulings and regulations of any court or arbitrator or governmental or regulatory authority, industry standards with which the Company or its subsidiaries have chosen to comply, public policies, public notices and/or public statements and contractual obligations relating to the privacy and security of IT Systems and Personal Data (“Privacy Requirements”) and have not received any notice, inquiry, request, claim, complaint or correspondence from, or been the subject of any investigation or enforcement action by, any person or governmental authority in relation to any security incident or actual or alleged violation of a Privacy Requirement;</w:t>
      </w:r>
    </w:p>
    <w:p>
      <w:pPr>
        <w:spacing w:after="0" w:line="143" w:lineRule="exact"/>
        <w:rPr>
          <w:sz w:val="20"/>
          <w:szCs w:val="20"/>
          <w:color w:val="auto"/>
        </w:rPr>
      </w:pPr>
    </w:p>
    <w:p>
      <w:pPr>
        <w:jc w:val="both"/>
        <w:ind w:firstLine="509"/>
        <w:spacing w:after="0" w:line="276" w:lineRule="auto"/>
        <w:tabs>
          <w:tab w:leader="none" w:pos="1187" w:val="left"/>
        </w:tabs>
        <w:numPr>
          <w:ilvl w:val="0"/>
          <w:numId w:val="190"/>
        </w:numPr>
        <w:rPr>
          <w:rFonts w:ascii="Arial" w:cs="Arial" w:eastAsia="Arial" w:hAnsi="Arial"/>
          <w:sz w:val="15"/>
          <w:szCs w:val="15"/>
          <w:color w:val="auto"/>
        </w:rPr>
      </w:pPr>
      <w:r>
        <w:rPr>
          <w:rFonts w:ascii="Arial" w:cs="Arial" w:eastAsia="Arial" w:hAnsi="Arial"/>
          <w:sz w:val="15"/>
          <w:szCs w:val="15"/>
          <w:color w:val="auto"/>
        </w:rPr>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119" w:lineRule="exact"/>
        <w:rPr>
          <w:rFonts w:ascii="Arial" w:cs="Arial" w:eastAsia="Arial" w:hAnsi="Arial"/>
          <w:sz w:val="15"/>
          <w:szCs w:val="15"/>
          <w:color w:val="auto"/>
        </w:rPr>
      </w:pPr>
    </w:p>
    <w:p>
      <w:pPr>
        <w:jc w:val="both"/>
        <w:ind w:firstLine="509"/>
        <w:spacing w:after="0" w:line="288" w:lineRule="auto"/>
        <w:tabs>
          <w:tab w:leader="none" w:pos="1155" w:val="left"/>
        </w:tabs>
        <w:numPr>
          <w:ilvl w:val="0"/>
          <w:numId w:val="190"/>
        </w:numPr>
        <w:rPr>
          <w:rFonts w:ascii="Arial" w:cs="Arial" w:eastAsia="Arial" w:hAnsi="Arial"/>
          <w:sz w:val="15"/>
          <w:szCs w:val="15"/>
          <w:color w:val="auto"/>
        </w:rPr>
      </w:pPr>
      <w:r>
        <w:rPr>
          <w:rFonts w:ascii="Arial" w:cs="Arial" w:eastAsia="Arial" w:hAnsi="Arial"/>
          <w:sz w:val="15"/>
          <w:szCs w:val="15"/>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311" w:lineRule="exact"/>
        <w:rPr>
          <w:rFonts w:ascii="Arial" w:cs="Arial" w:eastAsia="Arial" w:hAnsi="Arial"/>
          <w:sz w:val="15"/>
          <w:szCs w:val="15"/>
          <w:color w:val="auto"/>
        </w:rPr>
      </w:pPr>
    </w:p>
    <w:p>
      <w:pPr>
        <w:ind w:firstLine="509"/>
        <w:spacing w:after="0" w:line="303" w:lineRule="auto"/>
        <w:tabs>
          <w:tab w:leader="none" w:pos="1096"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There is and has been no failure on the part of the Company or any of the Company’s directors or officers, in their capacities as such, to comply with any applicable provision of the Sarbanes-Oxley Act, including Section 402 related to loans;</w:t>
      </w:r>
    </w:p>
    <w:p>
      <w:pPr>
        <w:spacing w:after="0" w:line="100" w:lineRule="exact"/>
        <w:rPr>
          <w:rFonts w:ascii="Arial" w:cs="Arial" w:eastAsia="Arial" w:hAnsi="Arial"/>
          <w:sz w:val="15"/>
          <w:szCs w:val="15"/>
          <w:color w:val="auto"/>
        </w:rPr>
      </w:pPr>
    </w:p>
    <w:p>
      <w:pPr>
        <w:jc w:val="both"/>
        <w:ind w:firstLine="509"/>
        <w:spacing w:after="0" w:line="288" w:lineRule="auto"/>
        <w:tabs>
          <w:tab w:leader="none" w:pos="112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32" w:right="319" w:bottom="1440" w:gutter="0" w:footer="0" w:header="0"/>
        </w:sectPr>
      </w:pPr>
    </w:p>
    <w:bookmarkStart w:id="347" w:name="page348"/>
    <w:bookmarkEnd w:id="347"/>
    <w:p>
      <w:pPr>
        <w:jc w:val="both"/>
        <w:ind w:firstLine="509"/>
        <w:spacing w:after="0" w:line="262" w:lineRule="auto"/>
        <w:tabs>
          <w:tab w:leader="none" w:pos="1172"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reasonably be expected to have a Material Adverse Effect. Neither the Company nor any of its subsidiaries has received notice of any proceedings related to the revocation, suspension, cancellation, refusal to renew or modification of any such Permits that, individually or in the aggregate, if the subject of an unfavorable decision, ruling or finding, would reasonably be expected to have a Material Adverse Effect. Except as would not reasonably be expected to, individually or in the aggregate, have a Material Adverse Effect, no condition exists that, with notice or lapse of time or both, would constitute default under, or result in the revocation, suspension, withdrawal, cancellation, or termination of, any Permit and each Permit has been duly obtained, is valid, in good standing and in full force and effect; and the Company and its subsidiaries are in compliance with each such Permit;</w:t>
      </w:r>
    </w:p>
    <w:p>
      <w:pPr>
        <w:spacing w:after="0" w:line="134" w:lineRule="exact"/>
        <w:rPr>
          <w:rFonts w:ascii="Arial" w:cs="Arial" w:eastAsia="Arial" w:hAnsi="Arial"/>
          <w:sz w:val="15"/>
          <w:szCs w:val="15"/>
          <w:color w:val="auto"/>
        </w:rPr>
      </w:pPr>
    </w:p>
    <w:p>
      <w:pPr>
        <w:jc w:val="both"/>
        <w:ind w:firstLine="509"/>
        <w:spacing w:after="0" w:line="265" w:lineRule="auto"/>
        <w:tabs>
          <w:tab w:leader="none" w:pos="1073"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Company and its subsidiaries have not received notice of, and are not aware of, any violation of any law, rule, regulation, Order or other legal requirement, and are not in default in any material respect with respect to any Order of any court or other Governmental Entity that would, or would reasonably be expected to, (i) give rise to an affirmative answer to any of the questions in Item 11, Part 1 or Item 9, Part 2A of the Form ADV of either Wealthfront Advisers or Wealthfront Strategies, or (ii) constitute any event specified in Rule 506(d)(1) of the Act or any proceeding or event that could result in any such disqualifying event that would either require disclosure under the provisions of Rule 506(e) of the Act or result in disqualification under Rule 506(d)(1) of the use of the Rule 506 exemption, as applicable;</w:t>
      </w:r>
    </w:p>
    <w:p>
      <w:pPr>
        <w:spacing w:after="0" w:line="139" w:lineRule="exact"/>
        <w:rPr>
          <w:rFonts w:ascii="Arial" w:cs="Arial" w:eastAsia="Arial" w:hAnsi="Arial"/>
          <w:sz w:val="15"/>
          <w:szCs w:val="15"/>
          <w:color w:val="auto"/>
        </w:rPr>
      </w:pPr>
    </w:p>
    <w:p>
      <w:pPr>
        <w:ind w:left="1240" w:hanging="668"/>
        <w:spacing w:after="0"/>
        <w:tabs>
          <w:tab w:leader="none" w:pos="124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Wealthfront Advisers and Wealthfront Strategies have adopted (and have maintained at all times required by applicable law) (i) a written code of</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ethics, as required by Rule 204A-1 under the Advisers Act; (ii) a written policy regarding insider trading and the protection of material non-public information;</w:t>
      </w:r>
    </w:p>
    <w:p>
      <w:pPr>
        <w:spacing w:after="0" w:line="8" w:lineRule="exact"/>
        <w:rPr>
          <w:sz w:val="20"/>
          <w:szCs w:val="20"/>
          <w:color w:val="auto"/>
        </w:rPr>
      </w:pPr>
    </w:p>
    <w:p>
      <w:pPr>
        <w:jc w:val="both"/>
        <w:ind w:firstLine="4"/>
        <w:spacing w:after="0" w:line="259" w:lineRule="auto"/>
        <w:tabs>
          <w:tab w:leader="none" w:pos="268" w:val="left"/>
        </w:tabs>
        <w:numPr>
          <w:ilvl w:val="0"/>
          <w:numId w:val="192"/>
        </w:numPr>
        <w:rPr>
          <w:rFonts w:ascii="Arial" w:cs="Arial" w:eastAsia="Arial" w:hAnsi="Arial"/>
          <w:sz w:val="15"/>
          <w:szCs w:val="15"/>
          <w:color w:val="auto"/>
        </w:rPr>
      </w:pPr>
      <w:r>
        <w:rPr>
          <w:rFonts w:ascii="Arial" w:cs="Arial" w:eastAsia="Arial" w:hAnsi="Arial"/>
          <w:sz w:val="15"/>
          <w:szCs w:val="15"/>
          <w:color w:val="auto"/>
        </w:rPr>
        <w:t>policies and procedures with respect to the protection of non-public personal information about customers, clients and other third parties designed to assure compliance with applicable law; (iv) a proxy voting policy as required by Rule 206(4)-6 under the Advisers Act (v) policies and procedures for the allocation of investments purchased for their clients; (vi) policies and procedures with respect to custody of client assets; and (vii) all other policies and procedures mandated by Rule 206(4)-7 under the Advisers Act (all of the foregoing policies and procedures being referred to collectively as “Adviser Compliance Policies”), and have designated and approved a chief compliance officer; Wealthfront Advisers and Wealthfront Strategies have made available to the Underwriters prior to the date hereof reports of each annual review conducted by Wealthfront Advisers and Wealthfront Strategies pursuant to Rule 206(4)-7 under the Advisers Act for the five (5) calendar years preceding the date hereof; there have been no material violations or allegations of material violations of the Adviser Compliance Policies that Wealthfront Advisers and Wealthfront Strategies, except as described in the Pricing Prospectus and the Prospectus; true and correct copies of the Adviser Compliance Policies (including any reports or filings under such policies and procedures relating to compliance by Wealthfront Advisers and Wealthfront Strategies and all directors, officers, and/or employees subject thereto) have been delivered to the Underwriters prior to the date hereof; Wealthfront Advisers and Wealthfront Strategies are and have been at all times in compliance in all material respects with the Adviser Compliance Policies; Wealthfront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132" w:right="319" w:bottom="1440" w:gutter="0" w:footer="0" w:header="0"/>
        </w:sectPr>
      </w:pPr>
    </w:p>
    <w:bookmarkStart w:id="348" w:name="page349"/>
    <w:bookmarkEnd w:id="348"/>
    <w:p>
      <w:pPr>
        <w:jc w:val="both"/>
        <w:spacing w:after="0" w:line="265" w:lineRule="auto"/>
        <w:rPr>
          <w:sz w:val="20"/>
          <w:szCs w:val="20"/>
          <w:color w:val="auto"/>
        </w:rPr>
      </w:pPr>
      <w:r>
        <w:rPr>
          <w:rFonts w:ascii="Arial" w:cs="Arial" w:eastAsia="Arial" w:hAnsi="Arial"/>
          <w:sz w:val="15"/>
          <w:szCs w:val="15"/>
          <w:color w:val="auto"/>
        </w:rPr>
        <w:t>Advisers and Wealthfront Strategies are each subject to policies and procedures with respect to business continuity plans in the event of business disruptions and cybersecurity policies and procedures (together, the “BCP and Cybersecurity Policies”), in each case adopted and maintained by an affiliate of each of Wealthfront Advisers and Wealthfront Strategies; there have been no material violations or allegations of material violations of the BCP and Cybersecurity Policies by Wealthfront Advisers or Wealthfront Strategies, except as described in the Pricing Prospectus and the Prospectus; true and correct copies of the BCP and Cybersecurity Policies (including any reports or filings under such policies and procedures relating to compliance by Wealthfront Advisers and Wealthfront Strategies and all directors, officers, and/or employees subject thereto) have been delivered to the Underwriters prior to the date hereof; and Wealthfront Advisers and Wealthfront Strategies are and have been at all times in compliance in all material respects with the BCP and Cybersecurity Policies;</w:t>
      </w:r>
    </w:p>
    <w:p>
      <w:pPr>
        <w:spacing w:after="0" w:line="128" w:lineRule="exact"/>
        <w:rPr>
          <w:sz w:val="20"/>
          <w:szCs w:val="20"/>
          <w:color w:val="auto"/>
        </w:rPr>
      </w:pPr>
    </w:p>
    <w:p>
      <w:pPr>
        <w:jc w:val="both"/>
        <w:ind w:firstLine="505"/>
        <w:spacing w:after="0" w:line="265" w:lineRule="auto"/>
        <w:rPr>
          <w:sz w:val="20"/>
          <w:szCs w:val="20"/>
          <w:color w:val="auto"/>
        </w:rPr>
      </w:pPr>
      <w:r>
        <w:rPr>
          <w:rFonts w:ascii="Arial" w:cs="Arial" w:eastAsia="Arial" w:hAnsi="Arial"/>
          <w:sz w:val="15"/>
          <w:szCs w:val="15"/>
          <w:color w:val="auto"/>
        </w:rPr>
        <w:t>(xl) Wealthfront Advisers and Wealthfront Strategies have in effect policies and procedures reasonably designed to ensure their compliance with Rule 206(4)-5 under the Advisers Act and applicable Commission guidance or Commission staff guidance related thereto; none of Wealthfront Advisers, Wealthfront Strategies or any of their respective “covered associates” (as defined in Rule 206(4)-5 under the Advisers Act), or, to the knowledge of Wealthfront Advisers and Wealthfront Strategies, any immediate family member of such “covered associates,” has violated such policies and procedures or has used any funds for or made any campaign or political contributions (whether directly or indirectly, and whether monetary, in-kind, or in any other form) in violation of Rule 206(4)-5 of the Advisers Act or any other applicable law or which could result in Wealthfront Advisers or Wealthfront Strategies being precluded from receiving any compensation, direct or indirect, in connection with investment advisory services provided to any investor that is a government entity as defined in Rule 206(4)-5;</w:t>
      </w:r>
    </w:p>
    <w:p>
      <w:pPr>
        <w:spacing w:after="0" w:line="128" w:lineRule="exact"/>
        <w:rPr>
          <w:sz w:val="20"/>
          <w:szCs w:val="20"/>
          <w:color w:val="auto"/>
        </w:rPr>
      </w:pPr>
    </w:p>
    <w:p>
      <w:pPr>
        <w:jc w:val="both"/>
        <w:ind w:firstLine="505"/>
        <w:spacing w:after="0" w:line="303" w:lineRule="auto"/>
        <w:rPr>
          <w:sz w:val="20"/>
          <w:szCs w:val="20"/>
          <w:color w:val="auto"/>
        </w:rPr>
      </w:pPr>
      <w:r>
        <w:rPr>
          <w:rFonts w:ascii="Arial" w:cs="Arial" w:eastAsia="Arial" w:hAnsi="Arial"/>
          <w:sz w:val="15"/>
          <w:szCs w:val="15"/>
          <w:color w:val="auto"/>
        </w:rPr>
        <w:t>(xli) Except as would not reasonably be expected, individually or in the aggregate, to have a Material Adverse Effect, Wealthfront Advisers and Wealthfront Strategies have been in compliance with Rule 206(4)-2 under the Advisers Act and any other applicable law with respect to the custody of client funds;</w:t>
      </w:r>
    </w:p>
    <w:p>
      <w:pPr>
        <w:spacing w:after="0" w:line="111" w:lineRule="exact"/>
        <w:rPr>
          <w:sz w:val="20"/>
          <w:szCs w:val="20"/>
          <w:color w:val="auto"/>
        </w:rPr>
      </w:pPr>
    </w:p>
    <w:p>
      <w:pPr>
        <w:jc w:val="both"/>
        <w:ind w:firstLine="505"/>
        <w:spacing w:after="0" w:line="288" w:lineRule="auto"/>
        <w:rPr>
          <w:sz w:val="20"/>
          <w:szCs w:val="20"/>
          <w:color w:val="auto"/>
        </w:rPr>
      </w:pPr>
      <w:r>
        <w:rPr>
          <w:rFonts w:ascii="Arial" w:cs="Arial" w:eastAsia="Arial" w:hAnsi="Arial"/>
          <w:sz w:val="15"/>
          <w:szCs w:val="15"/>
          <w:color w:val="auto"/>
        </w:rPr>
        <w:t>(xlii) The books and records of Wealthfront Advisers and Wealthfront Strategies are complete and correct in all material respects and have been maintained in all material respects in accordance with all applicable requirements of Rule 204-2 under the Advisers Act;</w:t>
      </w:r>
    </w:p>
    <w:p>
      <w:pPr>
        <w:spacing w:after="0" w:line="122"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5"/>
          <w:szCs w:val="15"/>
          <w:color w:val="auto"/>
        </w:rPr>
        <w:t>(xliii)</w:t>
        <w:tab/>
        <w:t>Each of Wealthfront Advisers and Wealthfront Strategies has made available to the Underwriters a copy (current as of the date of this Agreement) of its</w:t>
      </w:r>
    </w:p>
    <w:p>
      <w:pPr>
        <w:spacing w:after="0" w:line="2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Form ADV Parts 1, 2A and 2B, and any other regulatory filings as filed with the Commission or any other Governmental Entity or delivered to any client or investor, as applicable; as of the date of each filing, amendment or delivery, as applicable, each such regulatory filing was timely filed and, at the time it was filed, and during the period of its authorized use, complied in all material respects with applicable law, and was accurate and correct in all material respects and did not omit to state a fact necessary to make the statements therein not misleading in light of the circumstances on which they were made;</w:t>
      </w:r>
    </w:p>
    <w:p>
      <w:pPr>
        <w:spacing w:after="0" w:line="139" w:lineRule="exact"/>
        <w:rPr>
          <w:sz w:val="20"/>
          <w:szCs w:val="20"/>
          <w:color w:val="auto"/>
        </w:rPr>
      </w:pPr>
    </w:p>
    <w:p>
      <w:pPr>
        <w:jc w:val="both"/>
        <w:ind w:firstLine="505"/>
        <w:spacing w:after="0" w:line="288" w:lineRule="auto"/>
        <w:rPr>
          <w:sz w:val="20"/>
          <w:szCs w:val="20"/>
          <w:color w:val="auto"/>
        </w:rPr>
      </w:pPr>
      <w:r>
        <w:rPr>
          <w:rFonts w:ascii="Arial" w:cs="Arial" w:eastAsia="Arial" w:hAnsi="Arial"/>
          <w:sz w:val="15"/>
          <w:szCs w:val="15"/>
          <w:color w:val="auto"/>
        </w:rPr>
        <w:t>(xliv) Each of Wealthfront Advisers and Wealthfront Strategies has filed on its own behalf, on a timely basis, Form ADV and all other required regulatory reports, schedules, forms, registrations, notices and other documents, as applicable, together with any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80"/>
          </w:cols>
          <w:pgMar w:left="300" w:top="1132" w:right="319" w:bottom="1440" w:gutter="0" w:footer="0" w:header="0"/>
        </w:sectPr>
      </w:pPr>
    </w:p>
    <w:bookmarkStart w:id="349" w:name="page350"/>
    <w:bookmarkEnd w:id="349"/>
    <w:p>
      <w:pPr>
        <w:jc w:val="both"/>
        <w:spacing w:after="0" w:line="265" w:lineRule="auto"/>
        <w:rPr>
          <w:sz w:val="20"/>
          <w:szCs w:val="20"/>
          <w:color w:val="auto"/>
        </w:rPr>
      </w:pPr>
      <w:r>
        <w:rPr>
          <w:rFonts w:ascii="Arial" w:cs="Arial" w:eastAsia="Arial" w:hAnsi="Arial"/>
          <w:sz w:val="15"/>
          <w:szCs w:val="15"/>
          <w:color w:val="auto"/>
        </w:rPr>
        <w:t>required to be made with respect thereto (i) with the Commission, (ii) with any applicable domestic or foreign industry self-regulatory organization (“SRO”), (iii) with all other applicable federal, state or foreign governmental or regulatory agencies or authorities (collectively with the Commission and the SROs, “Regulatory Agencies”) and (iv) otherwise under any applicable law, and have paid all fees and assessments due and payable in connection therewith; no Regulatory Agency has initiated, or threatened to initiate, any material proceeding or, to the knowledge of either Wealthfront Advisers or Wealthfront Strategies, material investigation or inquiry into the business or operations of Wealthfront Advisers and Wealthfront Strategies; there is no unresolved violation, deficiency, criticism or exception by any Regulatory Agency with respect to any report or statement relating to any examinations of either Wealthfront Advisers and Wealthfront Strategies that would, individually or in the aggregate, reasonably be expected to result in a Material Adverse Effect;</w:t>
      </w:r>
    </w:p>
    <w:p>
      <w:pPr>
        <w:spacing w:after="0" w:line="128" w:lineRule="exact"/>
        <w:rPr>
          <w:sz w:val="20"/>
          <w:szCs w:val="20"/>
          <w:color w:val="auto"/>
        </w:rPr>
      </w:pPr>
    </w:p>
    <w:p>
      <w:pPr>
        <w:jc w:val="both"/>
        <w:ind w:firstLine="505"/>
        <w:spacing w:after="0" w:line="271" w:lineRule="auto"/>
        <w:rPr>
          <w:sz w:val="20"/>
          <w:szCs w:val="20"/>
          <w:color w:val="auto"/>
        </w:rPr>
      </w:pPr>
      <w:r>
        <w:rPr>
          <w:rFonts w:ascii="Arial" w:cs="Arial" w:eastAsia="Arial" w:hAnsi="Arial"/>
          <w:sz w:val="15"/>
          <w:szCs w:val="15"/>
          <w:color w:val="auto"/>
        </w:rPr>
        <w:t>(xlv) Each of Wealthfront Advisers and Wealthfront Strategies is duly registered with the Commission and all other applicable Governmental Entities as investment advisers, to the extent required by applicable law, and each such registration is in full force and effect; except for such registration, none of Wealthfront Advisers, Wealthfront Strategies or, to the knowledge of Wealthfront Advisers and Wealthfront Strategies, any of Wealthfront Advisers’ or Wealthfront Strategies’ officers, managers, directors or employees is, or is required to be, registered or appointed as an “investment adviser” or “investment adviser representative” under applicable law;</w:t>
      </w:r>
    </w:p>
    <w:p>
      <w:pPr>
        <w:spacing w:after="0" w:line="314" w:lineRule="exact"/>
        <w:rPr>
          <w:sz w:val="20"/>
          <w:szCs w:val="20"/>
          <w:color w:val="auto"/>
        </w:rPr>
      </w:pPr>
    </w:p>
    <w:p>
      <w:pPr>
        <w:jc w:val="both"/>
        <w:ind w:firstLine="505"/>
        <w:spacing w:after="0" w:line="303" w:lineRule="auto"/>
        <w:rPr>
          <w:sz w:val="20"/>
          <w:szCs w:val="20"/>
          <w:color w:val="auto"/>
        </w:rPr>
      </w:pPr>
      <w:r>
        <w:rPr>
          <w:rFonts w:ascii="Arial" w:cs="Arial" w:eastAsia="Arial" w:hAnsi="Arial"/>
          <w:sz w:val="15"/>
          <w:szCs w:val="15"/>
          <w:color w:val="auto"/>
        </w:rPr>
        <w:t>(xlvi) Each of Wealthfront Advisers and Wealthfront Strategies (i) is not and has not been a “broker-dealer” within the meaning of the Exchange Act and (ii) is not and has not been required to be registered, licensed or qualified as a broker-dealer under the Exchange Act or any other applicable law;</w:t>
      </w:r>
    </w:p>
    <w:p>
      <w:pPr>
        <w:spacing w:after="0" w:line="101"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5"/>
          <w:szCs w:val="15"/>
          <w:color w:val="auto"/>
        </w:rPr>
        <w:t>(xlvii) Neither Wealthfront Advisers nor Wealthfront Strategies nor, to the knowledge of Wealthfront Advisers and Wealthfront Strategies, any officer, manager, member, partner, director or employee thereof is, or has been, required to be registered with the Commodity Futures Trading Commission as a “commodity pool operator” (as defined in the Commodity Exchange Act (“CEA”)) or a “commodity trading advisor” (as defined in the CEA);</w:t>
      </w:r>
    </w:p>
    <w:p>
      <w:pPr>
        <w:spacing w:after="0" w:line="115" w:lineRule="exact"/>
        <w:rPr>
          <w:sz w:val="20"/>
          <w:szCs w:val="20"/>
          <w:color w:val="auto"/>
        </w:rPr>
      </w:pPr>
    </w:p>
    <w:p>
      <w:pPr>
        <w:jc w:val="both"/>
        <w:ind w:firstLine="505"/>
        <w:spacing w:after="0" w:line="276" w:lineRule="auto"/>
        <w:rPr>
          <w:sz w:val="20"/>
          <w:szCs w:val="20"/>
          <w:color w:val="auto"/>
        </w:rPr>
      </w:pPr>
      <w:r>
        <w:rPr>
          <w:rFonts w:ascii="Arial" w:cs="Arial" w:eastAsia="Arial" w:hAnsi="Arial"/>
          <w:sz w:val="15"/>
          <w:szCs w:val="15"/>
          <w:color w:val="auto"/>
        </w:rPr>
        <w:t>(xlviii) No exemptive orders, “no-action” letters or similar exemptions or regulatory relief have been obtained by either Wealthfront Advisers or Wealthfront Strategies as of the date hereof, nor are any requests by Wealthfront Advisers or Wealthfront Strategies pending therefor, or any officer, director, member, owner or employee of Wealthfront Advisers or Wealthfront Strategies;</w:t>
      </w:r>
    </w:p>
    <w:p>
      <w:pPr>
        <w:spacing w:after="0" w:line="130" w:lineRule="exact"/>
        <w:rPr>
          <w:sz w:val="20"/>
          <w:szCs w:val="20"/>
          <w:color w:val="auto"/>
        </w:rPr>
      </w:pPr>
    </w:p>
    <w:p>
      <w:pPr>
        <w:jc w:val="both"/>
        <w:ind w:firstLine="505"/>
        <w:spacing w:after="0" w:line="271" w:lineRule="auto"/>
        <w:rPr>
          <w:sz w:val="20"/>
          <w:szCs w:val="20"/>
          <w:color w:val="auto"/>
        </w:rPr>
      </w:pPr>
      <w:r>
        <w:rPr>
          <w:rFonts w:ascii="Arial" w:cs="Arial" w:eastAsia="Arial" w:hAnsi="Arial"/>
          <w:sz w:val="15"/>
          <w:szCs w:val="15"/>
          <w:color w:val="auto"/>
        </w:rPr>
        <w:t>(xlix) Neither Wealthfront Advisers nor Wealthfront Strategies at any time since their respective inceptions have been engaged in any business other than providing investment management services and related activities; with respect to each client or investor, each investment contract has been performed in accordance with its terms, the Advisers Act and all other applicable laws by Wealthfront Advisers and Wealthfront Strategies, in each case, except as would not reasonably be expected, individually or in the aggregate,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80"/>
          </w:cols>
          <w:pgMar w:left="300" w:top="1132" w:right="319" w:bottom="1440" w:gutter="0" w:footer="0" w:header="0"/>
        </w:sectPr>
      </w:pPr>
    </w:p>
    <w:bookmarkStart w:id="350" w:name="page351"/>
    <w:bookmarkEnd w:id="350"/>
    <w:p>
      <w:pPr>
        <w:ind w:firstLine="509"/>
        <w:spacing w:after="0" w:line="303" w:lineRule="auto"/>
        <w:tabs>
          <w:tab w:leader="none" w:pos="888" w:val="left"/>
        </w:tabs>
        <w:numPr>
          <w:ilvl w:val="0"/>
          <w:numId w:val="193"/>
        </w:numPr>
        <w:rPr>
          <w:rFonts w:ascii="Arial" w:cs="Arial" w:eastAsia="Arial" w:hAnsi="Arial"/>
          <w:sz w:val="15"/>
          <w:szCs w:val="15"/>
          <w:color w:val="auto"/>
        </w:rPr>
      </w:pPr>
      <w:r>
        <w:rPr>
          <w:rFonts w:ascii="Arial" w:cs="Arial" w:eastAsia="Arial" w:hAnsi="Arial"/>
          <w:sz w:val="15"/>
          <w:szCs w:val="15"/>
          <w:color w:val="auto"/>
        </w:rPr>
        <w:t>None of the Company or any of its subsidiaries is a “covered foreign person” within the meaning of the investment regulations of the United States Department of the Treasury as defined in 31 C.F.R Part 850.209.</w:t>
      </w:r>
    </w:p>
    <w:p>
      <w:pPr>
        <w:spacing w:after="0" w:line="101" w:lineRule="exact"/>
        <w:rPr>
          <w:sz w:val="20"/>
          <w:szCs w:val="20"/>
          <w:color w:val="auto"/>
        </w:rPr>
      </w:pPr>
    </w:p>
    <w:p>
      <w:pPr>
        <w:jc w:val="both"/>
        <w:ind w:firstLine="505"/>
        <w:spacing w:after="0" w:line="303" w:lineRule="auto"/>
        <w:rPr>
          <w:sz w:val="20"/>
          <w:szCs w:val="20"/>
          <w:color w:val="auto"/>
        </w:rPr>
      </w:pPr>
      <w:r>
        <w:rPr>
          <w:rFonts w:ascii="Arial" w:cs="Arial" w:eastAsia="Arial" w:hAnsi="Arial"/>
          <w:sz w:val="15"/>
          <w:szCs w:val="15"/>
          <w:color w:val="auto"/>
        </w:rPr>
        <w:t>(li) The Company and its subsidiaries, taken as a whole, are insured against such losses and risks and in such amounts as are, in the Company’s reasonable judgment, prudent and customary in the businesses in which they are engaged and as required by law;</w:t>
      </w:r>
    </w:p>
    <w:p>
      <w:pPr>
        <w:spacing w:after="0" w:line="101"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5"/>
          <w:szCs w:val="15"/>
          <w:color w:val="auto"/>
        </w:rPr>
        <w:t>(lii) From the time of initial confidential submission of a registration statement relating to the Shares with the Commission (or, if earlier, the first date on which a Testing-the-Waters Communication was made) through the date hereof, the Company has been and is an “emerging growth company” as defined in Section 2(a) (19) of the Act (an “Emerging Growth Company”);</w:t>
      </w:r>
    </w:p>
    <w:p>
      <w:pPr>
        <w:spacing w:after="0" w:line="115"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5"/>
          <w:szCs w:val="15"/>
          <w:color w:val="auto"/>
        </w:rPr>
        <w:t>(liii) (A) Each Plan (as defined below) has been sponsored, maintained and contributed to in compliance with its terms and the requirements of any applicable statutes, orders, rules and regulations, including but not limited to the Employee Retirement Income Security Act of 1974, as amended (“ERISA”) and the Internal Revenue Code of 1986, as amended (the “Code”), except for noncompliance that would not reasonably be expected to have a Material Adverse Effect; (B) no non-exempt prohibited transaction, within the meaning of Section 406 of ERISA or Section 4975 of the Code, has occurred with respect to any Plan; (C) for each Plan that is subject to the funding rules of Section 412 of the Code or Section 302 of ERISA,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notice is waived) has occurred or is reasonably expected to occur that either has, or would reasonable be expected to have, individually or in the aggregate, a Material Adverse Effect; (E) neither the Company nor any member of its “Controlled Group” (defined as any organization which is a member of a controlled group of corporations within the meaning of Section 414 of the Code) has incurred, nor is reasonably expected to incur, any material liability under Title IV of ERISA (other than contributions to any Plan or any Multiemployer Plan (as defined below) or premiums to the Pension Benefit Guaranty Corporation, in the ordinary course and without default) in respect of a Plan or a Multiemployer Plan; and (F) there is no pending audit or investigation by the U.S. Internal Revenue Service, the U.S. Department of Labor, the Pension Benefit Guaranty Corporation or any other governmental agency or any foreign regulatory agency with respect to any Plan that, individually or in the aggregate, would reasonably be expected to have a Material Adverse Effect. None of the following events has occurred or is reasonably likely to occur: (x) a material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or (y) a material increase in the Company and its subsidiaries’ “accumulated post-retirement benefit obligations” (within the meaning of FASB Accounting Standards Codification Topic 715) compared to the amount of such obligations in the Company and its subsidiaries’ most recently completed fiscal year. For purposes of this paragraph, (x) the term “Plan” means an employee benefit plan, within the meaning of Section 3(3) of ERISA, subject to Title IV of ERISA, but excluding any Multiemployer Plan, for which the Company or any member of its “Controlled Group” (defined as any organization which is a member of a controlled group of corporations within the meaning of Section 414(b), (c), (m) or (o)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80"/>
          </w:cols>
          <w:pgMar w:left="300" w:top="1132" w:right="319" w:bottom="1440" w:gutter="0" w:footer="0" w:header="0"/>
        </w:sectPr>
      </w:pPr>
    </w:p>
    <w:bookmarkStart w:id="351" w:name="page352"/>
    <w:bookmarkEnd w:id="351"/>
    <w:p>
      <w:pPr>
        <w:spacing w:after="0"/>
        <w:rPr>
          <w:sz w:val="20"/>
          <w:szCs w:val="20"/>
          <w:color w:val="auto"/>
        </w:rPr>
      </w:pPr>
      <w:r>
        <w:rPr>
          <w:rFonts w:ascii="Arial" w:cs="Arial" w:eastAsia="Arial" w:hAnsi="Arial"/>
          <w:sz w:val="15"/>
          <w:szCs w:val="15"/>
          <w:color w:val="auto"/>
        </w:rPr>
        <w:t>Code) has any liability and (y) the term “Multiemployer Plan” means a multiemployer plan within the meaning of Section 4001(a)(3) of ERISA;</w:t>
      </w:r>
    </w:p>
    <w:p>
      <w:pPr>
        <w:spacing w:after="0" w:line="185" w:lineRule="exact"/>
        <w:rPr>
          <w:sz w:val="20"/>
          <w:szCs w:val="20"/>
          <w:color w:val="auto"/>
        </w:rPr>
      </w:pPr>
    </w:p>
    <w:p>
      <w:pPr>
        <w:jc w:val="both"/>
        <w:ind w:firstLine="505"/>
        <w:spacing w:after="0" w:line="270" w:lineRule="auto"/>
        <w:rPr>
          <w:sz w:val="20"/>
          <w:szCs w:val="20"/>
          <w:color w:val="auto"/>
        </w:rPr>
      </w:pPr>
      <w:r>
        <w:rPr>
          <w:rFonts w:ascii="Arial" w:cs="Arial" w:eastAsia="Arial" w:hAnsi="Arial"/>
          <w:sz w:val="15"/>
          <w:szCs w:val="15"/>
          <w:color w:val="auto"/>
        </w:rPr>
        <w:t>(liv) No material labor dispute with or disturbance by the employees of the Company or any of its subsidiaries exists or, to the knowledge of the Company, is threatened, and neither the Company nor any of its subsidiaries has received notice of any pending or threatened activities or proceedings by any labor union or similar entity to organize any employees of the Company or its subsidiaries that, individually or in the aggregate, could reasonably be expected to have a Material Adverse Effect;</w:t>
      </w:r>
    </w:p>
    <w:p>
      <w:pPr>
        <w:spacing w:after="0" w:line="322" w:lineRule="exact"/>
        <w:rPr>
          <w:sz w:val="20"/>
          <w:szCs w:val="20"/>
          <w:color w:val="auto"/>
        </w:rPr>
      </w:pPr>
    </w:p>
    <w:p>
      <w:pPr>
        <w:jc w:val="both"/>
        <w:ind w:firstLine="505"/>
        <w:spacing w:after="0" w:line="276" w:lineRule="auto"/>
        <w:rPr>
          <w:sz w:val="20"/>
          <w:szCs w:val="20"/>
          <w:color w:val="auto"/>
        </w:rPr>
      </w:pPr>
      <w:r>
        <w:rPr>
          <w:rFonts w:ascii="Arial" w:cs="Arial" w:eastAsia="Arial" w:hAnsi="Arial"/>
          <w:sz w:val="15"/>
          <w:szCs w:val="15"/>
          <w:color w:val="auto"/>
        </w:rPr>
        <w:t>(lv) Except as described in the Pricing Prospectus and the Prospectus, there are no contracts, agreements or understandings between the Company and any person that would give rise to a valid claim against the Company or any Underwriter for a brokerage commission, finder’s fee or other like payment in connection with the offering of the Shares;</w:t>
      </w:r>
    </w:p>
    <w:p>
      <w:pPr>
        <w:spacing w:after="0" w:line="130" w:lineRule="exact"/>
        <w:rPr>
          <w:sz w:val="20"/>
          <w:szCs w:val="20"/>
          <w:color w:val="auto"/>
        </w:rPr>
      </w:pPr>
    </w:p>
    <w:p>
      <w:pPr>
        <w:jc w:val="both"/>
        <w:ind w:firstLine="505"/>
        <w:spacing w:after="0" w:line="289" w:lineRule="auto"/>
        <w:rPr>
          <w:sz w:val="20"/>
          <w:szCs w:val="20"/>
          <w:color w:val="auto"/>
        </w:rPr>
      </w:pPr>
      <w:r>
        <w:rPr>
          <w:rFonts w:ascii="Arial" w:cs="Arial" w:eastAsia="Arial" w:hAnsi="Arial"/>
          <w:sz w:val="15"/>
          <w:szCs w:val="15"/>
          <w:color w:val="auto"/>
        </w:rPr>
        <w:t>(lvi) There are no debt securities or preferred stock issued, or guaranteed, by the Company that are rated by a “nationally recognized statistical rating organization,” as such term is defined in Section 3(a)(62) of the Exchange Act;</w:t>
      </w:r>
    </w:p>
    <w:p>
      <w:pPr>
        <w:spacing w:after="0" w:line="12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color w:val="auto"/>
        </w:rPr>
        <w:t>(lvii)</w:t>
        <w:tab/>
        <w:t>The Company has taken all necessary actions to ensure that, upon the effectiveness of the Registration Statement (or earlier, if required by applicable</w:t>
      </w:r>
    </w:p>
    <w:p>
      <w:pPr>
        <w:spacing w:after="0" w:line="2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provisions), it will be in compliance with all provisions of the Sarbanes-Oxley Act that are then in effect and with which the Company is required to comply as of the effectiveness of the Registration Statement; and</w:t>
      </w:r>
    </w:p>
    <w:p>
      <w:pPr>
        <w:spacing w:after="0" w:line="134" w:lineRule="exact"/>
        <w:rPr>
          <w:sz w:val="20"/>
          <w:szCs w:val="20"/>
          <w:color w:val="auto"/>
        </w:rPr>
      </w:pPr>
    </w:p>
    <w:p>
      <w:pPr>
        <w:jc w:val="both"/>
        <w:ind w:firstLine="505"/>
        <w:spacing w:after="0" w:line="262" w:lineRule="auto"/>
        <w:rPr>
          <w:sz w:val="20"/>
          <w:szCs w:val="20"/>
          <w:color w:val="auto"/>
        </w:rPr>
      </w:pPr>
      <w:r>
        <w:rPr>
          <w:rFonts w:ascii="Arial" w:cs="Arial" w:eastAsia="Arial" w:hAnsi="Arial"/>
          <w:sz w:val="15"/>
          <w:szCs w:val="15"/>
          <w:color w:val="auto"/>
        </w:rPr>
        <w:t>(lviii) The holders of shares of Stock or securities convertible into or exercisable or exchangeable for Stock that have not delivered executed lock-up agreements (as described in Section 8(m) of this Agreement) to the Representatives as of the date hereof are bound by market stand-off provisions with the Company pursuant to which such holders have agreed not to sell, make any short sale of, loan, pledge, grant any option for the purchase of, or otherwise transfer or dispose of such holder’s securities of the Company during the Company Lock-Up Period (as defined below) without the consent of the Company (“Market Stand-off Provisions”) that are enforceable by the Company. Each such Market Stand-off Provision is in full force and effect as of the date hereof and shall remain in full force and effect during the Company Lock-Up Period, except that this provision shall not prevent the Company from effecting such a waiver or amendment to permit a transfer of securities which would be permissible if such securities were subject to the terms of the lock-up agreement in the form attached as Annex II hereto.</w:t>
      </w:r>
    </w:p>
    <w:p>
      <w:pPr>
        <w:spacing w:after="0" w:line="143" w:lineRule="exact"/>
        <w:rPr>
          <w:sz w:val="20"/>
          <w:szCs w:val="20"/>
          <w:color w:val="auto"/>
        </w:rPr>
      </w:pPr>
    </w:p>
    <w:p>
      <w:pPr>
        <w:ind w:left="360" w:hanging="356"/>
        <w:spacing w:after="0"/>
        <w:tabs>
          <w:tab w:leader="none" w:pos="3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Each of the Selling Stockholders severally, and not jointly, represents and warrants to, and agrees with, each of the Underwriters and the Company that:</w:t>
      </w:r>
    </w:p>
    <w:p>
      <w:pPr>
        <w:spacing w:after="0" w:line="174" w:lineRule="exact"/>
        <w:rPr>
          <w:rFonts w:ascii="Arial" w:cs="Arial" w:eastAsia="Arial" w:hAnsi="Arial"/>
          <w:sz w:val="15"/>
          <w:szCs w:val="15"/>
          <w:color w:val="auto"/>
        </w:rPr>
      </w:pPr>
    </w:p>
    <w:p>
      <w:pPr>
        <w:jc w:val="both"/>
        <w:ind w:firstLine="509"/>
        <w:spacing w:after="0" w:line="269" w:lineRule="auto"/>
        <w:tabs>
          <w:tab w:leader="none" w:pos="811" w:val="left"/>
        </w:tabs>
        <w:numPr>
          <w:ilvl w:val="1"/>
          <w:numId w:val="194"/>
        </w:numPr>
        <w:rPr>
          <w:rFonts w:ascii="Arial" w:cs="Arial" w:eastAsia="Arial" w:hAnsi="Arial"/>
          <w:sz w:val="15"/>
          <w:szCs w:val="15"/>
          <w:color w:val="auto"/>
        </w:rPr>
      </w:pPr>
      <w:r>
        <w:rPr>
          <w:rFonts w:ascii="Arial" w:cs="Arial" w:eastAsia="Arial" w:hAnsi="Arial"/>
          <w:sz w:val="15"/>
          <w:szCs w:val="15"/>
          <w:color w:val="auto"/>
        </w:rPr>
        <w:t>All consents, approvals, authorizations and orders necessary for the execution and delivery by such Selling Stockholder of this Agreement and the Power of Attorney and the Custody Agreement (as each is defined below), and for the sale and delivery of the Shares to be sold by such Selling Stockholder hereunder, have been obtained, except for the registration under the Act of the Shares and such consents, approvals, authorizations and orders as may be required under state or non-US securities or blue sky laws, the rules and regulations of FINRA or the approval for listing on the Exchange or such other approvals as have been or will be made or obtained on or prior to the First Time of Delivery; and such Selling Stockholder has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80"/>
          </w:cols>
          <w:pgMar w:left="300" w:top="1132" w:right="319" w:bottom="1440" w:gutter="0" w:footer="0" w:header="0"/>
        </w:sectPr>
      </w:pPr>
    </w:p>
    <w:bookmarkStart w:id="352" w:name="page353"/>
    <w:bookmarkEnd w:id="352"/>
    <w:p>
      <w:pPr>
        <w:spacing w:after="0" w:line="303" w:lineRule="auto"/>
        <w:rPr>
          <w:sz w:val="20"/>
          <w:szCs w:val="20"/>
          <w:color w:val="auto"/>
        </w:rPr>
      </w:pPr>
      <w:r>
        <w:rPr>
          <w:rFonts w:ascii="Arial" w:cs="Arial" w:eastAsia="Arial" w:hAnsi="Arial"/>
          <w:sz w:val="15"/>
          <w:szCs w:val="15"/>
          <w:color w:val="auto"/>
        </w:rPr>
        <w:t>right, power and authority to enter into this Agreement, the Power of Attorney and the Custody Agreement and to sell, assign, transfer and deliver the Shares to be sold by such Selling Stockholder hereunder;</w:t>
      </w:r>
    </w:p>
    <w:p>
      <w:pPr>
        <w:spacing w:after="0" w:line="17" w:lineRule="exact"/>
        <w:rPr>
          <w:sz w:val="20"/>
          <w:szCs w:val="20"/>
          <w:color w:val="auto"/>
        </w:rPr>
      </w:pPr>
    </w:p>
    <w:p>
      <w:pPr>
        <w:jc w:val="both"/>
        <w:ind w:firstLine="509"/>
        <w:spacing w:after="0" w:line="260" w:lineRule="auto"/>
        <w:tabs>
          <w:tab w:leader="none" w:pos="84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sale of the Shares to be sold by such Selling Stockholder hereunder and the compliance by such Selling Stockholder with this Agreement, the Power of Attorney and the Custody Agreement and the consummation of the transactions herein and therein contemplated will not (A) conflict with or result in a breach or violation of any of the terms or provisions of, or constitute a default under, any statute, indenture, mortgage, deed of trust, loan agreement, lease or other agreement or instrument to which such Selling Stockholder is a party or by which such Selling Stockholder is bound or to which any of the property or assets of such Selling Stockholder is subject, (B) result in any violation of (i) the provisions of the Certificate of Incorporation or By-laws of such Selling Stockholder if such Selling Stockholder is a corporation or the Partnership Agreement of such Selling Stockholder if such Selling Stockholder is a partnership (or similar applicable organizational document) or (ii) any statute or any judgment, order, rule or regulation of any court or governmental agency or body having jurisdiction over such Selling Stockholder or any of its subsidiaries or any property or assets of such Selling Stockholder, except, in the case of clauses (A) and (B)(ii), for such conflicts, defaults, breaches or violations that would not reasonably be expected to materially impact the ability of such Selling Stockholder to consummate the transactions contemplated by this Agreement and the Custody Agreement and perform its obligations under the Power of Attorney; and no consent, approval, authorization, order, registration or qualification of or with any such court or governmental body or agency is required for the performance by such Selling Stockholder of its obligations under this Agreement, the Power of Attorney and the Custody Agreement and the consummation by such Selling Stockholder of the transactions contemplated by this Agreement, the Power of Attorney and the Custody Agreement in connection with the Shares to be sold by such Selling Stockholder hereunder, except the registration under the Act of the Shares and such consents, approvals, authorizations, orders, registrations or qualifications as may be required under state securities or Blue Sky laws or non-U.S. laws, the rules and regulations of FINRA or the listing on the Exchange in connection with the purchase and distribution of the Shares by the Underwriters and such consents, approvals, authorizations, orders, registrations or qualifications that have already been obtained, made or waived in connection with the purchase and distribution of the Shares by the Underwriters;</w:t>
      </w:r>
    </w:p>
    <w:p>
      <w:pPr>
        <w:spacing w:after="0" w:line="237" w:lineRule="exact"/>
        <w:rPr>
          <w:rFonts w:ascii="Arial" w:cs="Arial" w:eastAsia="Arial" w:hAnsi="Arial"/>
          <w:sz w:val="15"/>
          <w:szCs w:val="15"/>
          <w:color w:val="auto"/>
        </w:rPr>
      </w:pPr>
    </w:p>
    <w:p>
      <w:pPr>
        <w:jc w:val="both"/>
        <w:ind w:firstLine="509"/>
        <w:spacing w:after="0" w:line="271" w:lineRule="auto"/>
        <w:tabs>
          <w:tab w:leader="none" w:pos="936" w:val="left"/>
        </w:tabs>
        <w:numPr>
          <w:ilvl w:val="0"/>
          <w:numId w:val="195"/>
        </w:numPr>
        <w:rPr>
          <w:rFonts w:ascii="Arial" w:cs="Arial" w:eastAsia="Arial" w:hAnsi="Arial"/>
          <w:sz w:val="15"/>
          <w:szCs w:val="15"/>
          <w:color w:val="auto"/>
        </w:rPr>
      </w:pPr>
      <w:r>
        <w:rPr>
          <w:rFonts w:ascii="Arial" w:cs="Arial" w:eastAsia="Arial" w:hAnsi="Arial"/>
          <w:sz w:val="15"/>
          <w:szCs w:val="15"/>
          <w:color w:val="auto"/>
        </w:rPr>
        <w:t>Such Selling Stockholder has, and immediately prior to each Time of Delivery (as defined in Section 4(a) hereof) such Selling Stockholder will have, good and valid title to, or a valid “security entitlement” within the meaning of Section 8-501 of the New York Uniform Commercial Code in respect of, the Shares to be sold by such Selling Stockholder hereunder at such Time of Delivery, free and clear of all liens, encumbrances, equities or claims; and, upon delivery of such Shares and payment therefor pursuant hereto, good and valid title to such Shares, free and clear of all liens, encumbrances, equities or claims, will pass to the several Underwriters;</w:t>
      </w:r>
    </w:p>
    <w:p>
      <w:pPr>
        <w:spacing w:after="0" w:line="230" w:lineRule="exact"/>
        <w:rPr>
          <w:rFonts w:ascii="Arial" w:cs="Arial" w:eastAsia="Arial" w:hAnsi="Arial"/>
          <w:sz w:val="15"/>
          <w:szCs w:val="15"/>
          <w:color w:val="auto"/>
        </w:rPr>
      </w:pPr>
    </w:p>
    <w:p>
      <w:pPr>
        <w:ind w:firstLine="509"/>
        <w:spacing w:after="0" w:line="303" w:lineRule="auto"/>
        <w:tabs>
          <w:tab w:leader="none" w:pos="89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On or prior to the date of the Pricing Prospectus, such Selling Stockholder has executed and delivered to the Underwriters an agreement substantially in the form of Annex II hereto;</w:t>
      </w:r>
    </w:p>
    <w:p>
      <w:pPr>
        <w:spacing w:after="0" w:line="16" w:lineRule="exact"/>
        <w:rPr>
          <w:rFonts w:ascii="Arial" w:cs="Arial" w:eastAsia="Arial" w:hAnsi="Arial"/>
          <w:sz w:val="15"/>
          <w:szCs w:val="15"/>
          <w:color w:val="auto"/>
        </w:rPr>
      </w:pPr>
    </w:p>
    <w:p>
      <w:pPr>
        <w:ind w:firstLine="509"/>
        <w:spacing w:after="0" w:line="303" w:lineRule="auto"/>
        <w:tabs>
          <w:tab w:leader="none" w:pos="877" w:val="left"/>
        </w:tabs>
        <w:numPr>
          <w:ilvl w:val="0"/>
          <w:numId w:val="195"/>
        </w:numPr>
        <w:rPr>
          <w:rFonts w:ascii="Arial" w:cs="Arial" w:eastAsia="Arial" w:hAnsi="Arial"/>
          <w:sz w:val="15"/>
          <w:szCs w:val="15"/>
          <w:color w:val="auto"/>
        </w:rPr>
      </w:pPr>
      <w:r>
        <w:rPr>
          <w:rFonts w:ascii="Arial" w:cs="Arial" w:eastAsia="Arial" w:hAnsi="Arial"/>
          <w:sz w:val="15"/>
          <w:szCs w:val="15"/>
          <w:color w:val="auto"/>
        </w:rPr>
        <w:t>Such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80"/>
          </w:cols>
          <w:pgMar w:left="300" w:top="1131" w:right="319" w:bottom="1440" w:gutter="0" w:footer="0" w:header="0"/>
        </w:sectPr>
      </w:pPr>
    </w:p>
    <w:bookmarkStart w:id="353" w:name="page354"/>
    <w:bookmarkEnd w:id="353"/>
    <w:p>
      <w:pPr>
        <w:jc w:val="both"/>
        <w:ind w:firstLine="509"/>
        <w:spacing w:after="0" w:line="262" w:lineRule="auto"/>
        <w:tabs>
          <w:tab w:leader="none" w:pos="914"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To the extent that any statements or omissions made in the Registration Statement, any Preliminary Prospectus, the Prospectus or any amendment or supplement thereto are made in reliance upon and in conformity with written information furnished to the Company by such Selling Stockholder pursuant to Items 7 and 11(m) of Form S-1 expressly for use therein, it being understood and agreed that the only information furnished by such Selling Stockholder consists of the name of such Selling Stockholder, the number of offered shares and the address and other information of such Selling Stockholder which appear in the Pricing Prospectus or any Prospectus in the table (and corresponding footnotes) under the caption “Principal and Selling Stockholders” (with respect to each such Selling Stockholder, the “Selling Stockholder Information”), such Registration Statement and Preliminary Prospectus did, and the Prospectus and any further amendments or supplements to the Registration Statement and the Prospectus will, when they become effective or are filed with the Commission, as the case may be, not contain any untrue statement of a material fact or omit to state any material fact required to be stated therein or necessary to make the statements therein not misleading;</w:t>
      </w:r>
    </w:p>
    <w:p>
      <w:pPr>
        <w:spacing w:after="0" w:line="59" w:lineRule="exact"/>
        <w:rPr>
          <w:rFonts w:ascii="Arial" w:cs="Arial" w:eastAsia="Arial" w:hAnsi="Arial"/>
          <w:sz w:val="15"/>
          <w:szCs w:val="15"/>
          <w:color w:val="auto"/>
        </w:rPr>
      </w:pPr>
    </w:p>
    <w:p>
      <w:pPr>
        <w:jc w:val="both"/>
        <w:ind w:firstLine="509"/>
        <w:spacing w:after="0" w:line="275" w:lineRule="auto"/>
        <w:tabs>
          <w:tab w:leader="none" w:pos="937" w:val="left"/>
        </w:tabs>
        <w:numPr>
          <w:ilvl w:val="0"/>
          <w:numId w:val="196"/>
        </w:numPr>
        <w:rPr>
          <w:rFonts w:ascii="Arial" w:cs="Arial" w:eastAsia="Arial" w:hAnsi="Arial"/>
          <w:sz w:val="15"/>
          <w:szCs w:val="15"/>
          <w:color w:val="auto"/>
        </w:rPr>
      </w:pPr>
      <w:r>
        <w:rPr>
          <w:rFonts w:ascii="Arial" w:cs="Arial" w:eastAsia="Arial" w:hAnsi="Arial"/>
          <w:sz w:val="15"/>
          <w:szCs w:val="15"/>
          <w:color w:val="auto"/>
        </w:rPr>
        <w:t>In order to document the Underwriters’ compliance with the reporting and withholding provisions of the Tax Equity and Fiscal Responsibility Act of 1982 with respect to the transactions herein contemplated, such Selling Stockholder will deliver to the Representatives prior to or at the First Time of Delivery a properly completed and executed United States Treasury Department Form W-9 (or other applicable form or statement specified by Treasury Department regulations in lieu thereof);</w:t>
      </w:r>
    </w:p>
    <w:p>
      <w:pPr>
        <w:spacing w:after="0" w:line="227" w:lineRule="exact"/>
        <w:rPr>
          <w:rFonts w:ascii="Arial" w:cs="Arial" w:eastAsia="Arial" w:hAnsi="Arial"/>
          <w:sz w:val="15"/>
          <w:szCs w:val="15"/>
          <w:color w:val="auto"/>
        </w:rPr>
      </w:pPr>
    </w:p>
    <w:p>
      <w:pPr>
        <w:jc w:val="both"/>
        <w:ind w:firstLine="509"/>
        <w:spacing w:after="0" w:line="262" w:lineRule="auto"/>
        <w:tabs>
          <w:tab w:leader="none" w:pos="1011" w:val="left"/>
        </w:tabs>
        <w:numPr>
          <w:ilvl w:val="0"/>
          <w:numId w:val="196"/>
        </w:numPr>
        <w:rPr>
          <w:rFonts w:ascii="Arial" w:cs="Arial" w:eastAsia="Arial" w:hAnsi="Arial"/>
          <w:sz w:val="15"/>
          <w:szCs w:val="15"/>
          <w:color w:val="auto"/>
        </w:rPr>
      </w:pPr>
      <w:r>
        <w:rPr>
          <w:rFonts w:ascii="Arial" w:cs="Arial" w:eastAsia="Arial" w:hAnsi="Arial"/>
          <w:sz w:val="15"/>
          <w:szCs w:val="15"/>
          <w:color w:val="auto"/>
        </w:rPr>
        <w:t>Certificates in negotiable form or book-entry securities entitlements representing all of the Shares to be sold by such Selling Stockholder hereunder have been placed in custody under a Custody Agreement, in the form heretofore furnished to the Representatives (the “Custody Agreement”), duly executed and delivered by such Selling Stockholder to Equiniti Trust Company, LLC, as custodian (the “Custodian”), and such Selling Stockholder has duly executed and delivered a Power of Attorney, in the form heretofore furnished to the Representatives (the “Power of Attorney”), appointing the persons indicated in Schedule II hereto,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w:t>
      </w:r>
    </w:p>
    <w:p>
      <w:pPr>
        <w:spacing w:after="0" w:line="59" w:lineRule="exact"/>
        <w:rPr>
          <w:rFonts w:ascii="Arial" w:cs="Arial" w:eastAsia="Arial" w:hAnsi="Arial"/>
          <w:sz w:val="15"/>
          <w:szCs w:val="15"/>
          <w:color w:val="auto"/>
        </w:rPr>
      </w:pPr>
    </w:p>
    <w:p>
      <w:pPr>
        <w:jc w:val="both"/>
        <w:ind w:firstLine="509"/>
        <w:spacing w:after="0" w:line="263" w:lineRule="auto"/>
        <w:tabs>
          <w:tab w:leader="none" w:pos="923"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Shares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or corporation, by the dissolution of such partnership, limited liability company or corporation, or by the occurrence of any other event; if any individual Selling Stockholder or any such executor or trustee should die or become incapacitated, or if any such estate or trust should be terminated, or if any such partnership, limited liability company or corporation should be dissolved, or if any other such event should occur, before the delivery of the Shares to be sold by such Selling Stockholder hereunder, certificates representing the Shares to be sold by such Selling Stockholder hereunder shall be delivered by or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80"/>
          </w:cols>
          <w:pgMar w:left="300" w:top="1132" w:right="319" w:bottom="1440" w:gutter="0" w:footer="0" w:header="0"/>
        </w:sectPr>
      </w:pPr>
    </w:p>
    <w:bookmarkStart w:id="354" w:name="page355"/>
    <w:bookmarkEnd w:id="354"/>
    <w:p>
      <w:pPr>
        <w:jc w:val="both"/>
        <w:spacing w:after="0" w:line="276" w:lineRule="auto"/>
        <w:rPr>
          <w:sz w:val="20"/>
          <w:szCs w:val="20"/>
          <w:color w:val="auto"/>
        </w:rPr>
      </w:pPr>
      <w:r>
        <w:rPr>
          <w:rFonts w:ascii="Arial" w:cs="Arial" w:eastAsia="Arial" w:hAnsi="Arial"/>
          <w:sz w:val="15"/>
          <w:szCs w:val="15"/>
          <w:color w:val="auto"/>
        </w:rPr>
        <w:t>the Selling Stockholders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46" w:lineRule="exact"/>
        <w:rPr>
          <w:sz w:val="20"/>
          <w:szCs w:val="20"/>
          <w:color w:val="auto"/>
        </w:rPr>
      </w:pPr>
    </w:p>
    <w:p>
      <w:pPr>
        <w:jc w:val="both"/>
        <w:ind w:firstLine="509"/>
        <w:spacing w:after="0" w:line="265" w:lineRule="auto"/>
        <w:tabs>
          <w:tab w:leader="none" w:pos="901" w:val="left"/>
        </w:tabs>
        <w:numPr>
          <w:ilvl w:val="0"/>
          <w:numId w:val="197"/>
        </w:numPr>
        <w:rPr>
          <w:rFonts w:ascii="Arial" w:cs="Arial" w:eastAsia="Arial" w:hAnsi="Arial"/>
          <w:sz w:val="15"/>
          <w:szCs w:val="15"/>
          <w:color w:val="auto"/>
        </w:rPr>
      </w:pPr>
      <w:r>
        <w:rPr>
          <w:rFonts w:ascii="Arial" w:cs="Arial" w:eastAsia="Arial" w:hAnsi="Arial"/>
          <w:sz w:val="15"/>
          <w:szCs w:val="15"/>
          <w:color w:val="auto"/>
        </w:rPr>
        <w:t>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with any Sanctioned Jurisdiction, or in any other manner that will result in a violation by any person (including any person participating in the transaction, whether as underwriter, advisor, investor or otherwise) of Sanctions, or (ii) in furtherance of an offer, payment, promise to pay, or authorization of the payment or giving of money, or anything else of value, to any person in violation of any Money Laundering Laws or any Anti-Corruption Laws; and</w:t>
      </w:r>
    </w:p>
    <w:p>
      <w:pPr>
        <w:spacing w:after="0" w:line="45" w:lineRule="exact"/>
        <w:rPr>
          <w:rFonts w:ascii="Arial" w:cs="Arial" w:eastAsia="Arial" w:hAnsi="Arial"/>
          <w:sz w:val="15"/>
          <w:szCs w:val="15"/>
          <w:color w:val="auto"/>
        </w:rPr>
      </w:pPr>
    </w:p>
    <w:p>
      <w:pPr>
        <w:ind w:firstLine="509"/>
        <w:spacing w:after="0" w:line="303" w:lineRule="auto"/>
        <w:tabs>
          <w:tab w:leader="none" w:pos="951" w:val="left"/>
        </w:tabs>
        <w:numPr>
          <w:ilvl w:val="0"/>
          <w:numId w:val="197"/>
        </w:numPr>
        <w:rPr>
          <w:rFonts w:ascii="Arial" w:cs="Arial" w:eastAsia="Arial" w:hAnsi="Arial"/>
          <w:sz w:val="15"/>
          <w:szCs w:val="15"/>
          <w:color w:val="auto"/>
        </w:rPr>
      </w:pPr>
      <w:r>
        <w:rPr>
          <w:rFonts w:ascii="Arial" w:cs="Arial" w:eastAsia="Arial" w:hAnsi="Arial"/>
          <w:sz w:val="15"/>
          <w:szCs w:val="15"/>
          <w:color w:val="auto"/>
        </w:rPr>
        <w:t>Such Selling Stockholder is not prompted by any material information concerning the Company or any of its subsidiaries that is not disclosed in the Pricing Prospectus to sell its Shares pursuant to this Agreement.</w:t>
      </w:r>
    </w:p>
    <w:p>
      <w:pPr>
        <w:spacing w:after="0" w:line="111" w:lineRule="exact"/>
        <w:rPr>
          <w:sz w:val="20"/>
          <w:szCs w:val="20"/>
          <w:color w:val="auto"/>
        </w:rPr>
      </w:pPr>
    </w:p>
    <w:p>
      <w:pPr>
        <w:jc w:val="both"/>
        <w:ind w:firstLine="509"/>
        <w:spacing w:after="0" w:line="259" w:lineRule="auto"/>
        <w:tabs>
          <w:tab w:leader="none" w:pos="813" w:val="left"/>
        </w:tabs>
        <w:numPr>
          <w:ilvl w:val="0"/>
          <w:numId w:val="198"/>
        </w:numPr>
        <w:rPr>
          <w:rFonts w:ascii="Arial" w:cs="Arial" w:eastAsia="Arial" w:hAnsi="Arial"/>
          <w:sz w:val="15"/>
          <w:szCs w:val="15"/>
          <w:color w:val="auto"/>
        </w:rPr>
      </w:pPr>
      <w:r>
        <w:rPr>
          <w:rFonts w:ascii="Arial" w:cs="Arial" w:eastAsia="Arial" w:hAnsi="Arial"/>
          <w:sz w:val="15"/>
          <w:szCs w:val="15"/>
          <w:color w:val="auto"/>
        </w:rPr>
        <w:t>Subject to the terms and conditions herein set forth, (a) the Company and each of the Selling Stockholders agree, severally and not jointly, to sell to each of the Underwriters, and each of the Underwriters agrees, severally and not jointly, to purchase from the Company and each of the Selling Stockholders, at a purchase price per share of $[ • ], the number of Firm Shares (to be adjusted by the Representatives so as to eliminate fractional shares) determined by multiplying the aggregate number of Firm Shares to be sold by the Company and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and all of the Selling Stockholders hereunder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48" w:lineRule="exact"/>
        <w:rPr>
          <w:sz w:val="20"/>
          <w:szCs w:val="20"/>
          <w:color w:val="auto"/>
        </w:rPr>
      </w:pPr>
    </w:p>
    <w:p>
      <w:pPr>
        <w:jc w:val="both"/>
        <w:ind w:firstLine="505"/>
        <w:spacing w:after="0" w:line="276" w:lineRule="auto"/>
        <w:rPr>
          <w:sz w:val="20"/>
          <w:szCs w:val="20"/>
          <w:color w:val="auto"/>
        </w:rPr>
      </w:pPr>
      <w:r>
        <w:rPr>
          <w:rFonts w:ascii="Arial" w:cs="Arial" w:eastAsia="Arial" w:hAnsi="Arial"/>
          <w:sz w:val="15"/>
          <w:szCs w:val="15"/>
          <w:color w:val="auto"/>
        </w:rPr>
        <w:t>The Company hereby grants to the Underwriters the right to purchase at their election up to [ • ] Optional Shares, at the purchase price per share set forth in the paragraph above, provided that the purchase price per Optional Share shall be reduced by an amount per share equal to any dividends or distributions declared by the Company and payable on the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80"/>
          </w:cols>
          <w:pgMar w:left="300" w:top="1132" w:right="319" w:bottom="1440" w:gutter="0" w:footer="0" w:header="0"/>
        </w:sectPr>
      </w:pPr>
    </w:p>
    <w:bookmarkStart w:id="355" w:name="page356"/>
    <w:bookmarkEnd w:id="355"/>
    <w:p>
      <w:pPr>
        <w:jc w:val="both"/>
        <w:spacing w:after="0" w:line="267" w:lineRule="auto"/>
        <w:rPr>
          <w:sz w:val="20"/>
          <w:szCs w:val="20"/>
          <w:color w:val="auto"/>
        </w:rPr>
      </w:pPr>
      <w:r>
        <w:rPr>
          <w:rFonts w:ascii="Arial" w:cs="Arial" w:eastAsia="Arial" w:hAnsi="Arial"/>
          <w:sz w:val="15"/>
          <w:szCs w:val="15"/>
          <w:color w:val="auto"/>
        </w:rPr>
        <w:t>Shares but not payable on the Optional Shares. Any such election to purchase Optional Shares may be exercised only by written notice from the 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4(a) hereof) or, unless the Representatives and the Company otherwise agree in writing, earlier than one or later than ten business days after the date of such notice.</w:t>
      </w:r>
    </w:p>
    <w:p>
      <w:pPr>
        <w:spacing w:after="0" w:line="326" w:lineRule="exact"/>
        <w:rPr>
          <w:sz w:val="20"/>
          <w:szCs w:val="20"/>
          <w:color w:val="auto"/>
        </w:rPr>
      </w:pPr>
    </w:p>
    <w:p>
      <w:pPr>
        <w:ind w:firstLine="509"/>
        <w:spacing w:after="0" w:line="303" w:lineRule="auto"/>
        <w:tabs>
          <w:tab w:leader="none" w:pos="851" w:val="left"/>
        </w:tabs>
        <w:numPr>
          <w:ilvl w:val="0"/>
          <w:numId w:val="199"/>
        </w:numPr>
        <w:rPr>
          <w:rFonts w:ascii="Arial" w:cs="Arial" w:eastAsia="Arial" w:hAnsi="Arial"/>
          <w:sz w:val="15"/>
          <w:szCs w:val="15"/>
          <w:color w:val="auto"/>
        </w:rPr>
      </w:pPr>
      <w:r>
        <w:rPr>
          <w:rFonts w:ascii="Arial" w:cs="Arial" w:eastAsia="Arial" w:hAnsi="Arial"/>
          <w:sz w:val="15"/>
          <w:szCs w:val="15"/>
          <w:color w:val="auto"/>
        </w:rPr>
        <w:t>Upon the authorization by the Representatives of the release of the Shares, the Underwriters propose to offer the Shares for sale upon the terms and conditions set forth in the Pricing Disclosure Package and the Prospectus.</w:t>
      </w:r>
    </w:p>
    <w:p>
      <w:pPr>
        <w:spacing w:after="0" w:line="100" w:lineRule="exact"/>
        <w:rPr>
          <w:rFonts w:ascii="Arial" w:cs="Arial" w:eastAsia="Arial" w:hAnsi="Arial"/>
          <w:sz w:val="15"/>
          <w:szCs w:val="15"/>
          <w:color w:val="auto"/>
        </w:rPr>
      </w:pPr>
    </w:p>
    <w:p>
      <w:pPr>
        <w:jc w:val="both"/>
        <w:ind w:firstLine="509"/>
        <w:spacing w:after="0" w:line="260" w:lineRule="auto"/>
        <w:tabs>
          <w:tab w:leader="none" w:pos="825"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 The Shares to be purchased by each Underwriter hereunder, in definitive or book-entry form, and in such authorized denominations and registered in such names as the Representatives may request upon at least twenty-four hours’ prior notice to the Company and the Selling Stockholders shall be delivered by or on behalf of the Company and the Selling Stockholders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(with regard to payment to the Company) and the account specified by the Selling Stockholders (with regard to payment to the Selling Stockholders) to the Representatives at least twenty-four hours in advance. The Company and the Selling Stockholders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 ], or such other time and date as the Representatives, the Company, and the Attorneys-in-Fact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46" w:lineRule="exact"/>
        <w:rPr>
          <w:sz w:val="20"/>
          <w:szCs w:val="20"/>
          <w:color w:val="auto"/>
        </w:rPr>
      </w:pPr>
    </w:p>
    <w:p>
      <w:pPr>
        <w:jc w:val="both"/>
        <w:ind w:firstLine="509"/>
        <w:spacing w:after="0" w:line="262" w:lineRule="auto"/>
        <w:tabs>
          <w:tab w:leader="none" w:pos="866"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documents to be delivered at each Time of Delivery by or on behalf of the parties hereto pursuant to Section 8 hereof, including the cross receipt for the Shares and any additional documents requested by the Underwriters pursuant to Section 8(o) hereof, will be delivered at the offices of Latham &amp; Watkins LLP, 140 Scott Drive, Menlo Park, California 94025 (the “Closing Location”), and the Shares will be delivered at the Designated Office, all at such Time of Delivery. A meeting may be held at the Closing Location no later than 5:00 p.m., New York City time, or such other time and place as may be agreed upon by the Representatives and the Company and their respective counsel, on the New York Business Day immediately preceding such Time of Delivery, at which meeting the final drafts of the documents to be delivered pursuant to the preceding sentence will be available for review by the parties hereto. For the purposes of this Section 4, “New York Business Day” shall mean each Monday,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80"/>
          </w:cols>
          <w:pgMar w:left="300" w:top="1132" w:right="319" w:bottom="1440" w:gutter="0" w:footer="0" w:header="0"/>
        </w:sectPr>
      </w:pPr>
    </w:p>
    <w:bookmarkStart w:id="356" w:name="page357"/>
    <w:bookmarkEnd w:id="356"/>
    <w:p>
      <w:pPr>
        <w:spacing w:after="0" w:line="303" w:lineRule="auto"/>
        <w:rPr>
          <w:sz w:val="20"/>
          <w:szCs w:val="20"/>
          <w:color w:val="auto"/>
        </w:rPr>
      </w:pPr>
      <w:r>
        <w:rPr>
          <w:rFonts w:ascii="Arial" w:cs="Arial" w:eastAsia="Arial" w:hAnsi="Arial"/>
          <w:sz w:val="15"/>
          <w:szCs w:val="15"/>
          <w:color w:val="auto"/>
        </w:rPr>
        <w:t>Tuesday, Wednesday, Thursday and Friday which is not a day on which banking institutions in New York City are generally authorized or obligated by law or executive order to close.</w:t>
      </w:r>
    </w:p>
    <w:p>
      <w:pPr>
        <w:spacing w:after="0" w:line="101" w:lineRule="exact"/>
        <w:rPr>
          <w:sz w:val="20"/>
          <w:szCs w:val="20"/>
          <w:color w:val="auto"/>
        </w:rPr>
      </w:pPr>
    </w:p>
    <w:p>
      <w:pPr>
        <w:ind w:left="800" w:hanging="291"/>
        <w:spacing w:after="0"/>
        <w:tabs>
          <w:tab w:leader="none" w:pos="8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Company agrees with each of the Underwriters:</w:t>
      </w:r>
    </w:p>
    <w:p>
      <w:pPr>
        <w:spacing w:after="0" w:line="185" w:lineRule="exact"/>
        <w:rPr>
          <w:sz w:val="20"/>
          <w:szCs w:val="20"/>
          <w:color w:val="auto"/>
        </w:rPr>
      </w:pPr>
    </w:p>
    <w:p>
      <w:pPr>
        <w:jc w:val="both"/>
        <w:ind w:firstLine="509"/>
        <w:spacing w:after="0" w:line="260" w:lineRule="auto"/>
        <w:tabs>
          <w:tab w:leader="none" w:pos="91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To prepare the Prospectus in a form approved by the Representatives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to the Company’s knowledge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44" w:lineRule="exact"/>
        <w:rPr>
          <w:rFonts w:ascii="Arial" w:cs="Arial" w:eastAsia="Arial" w:hAnsi="Arial"/>
          <w:sz w:val="15"/>
          <w:szCs w:val="15"/>
          <w:color w:val="auto"/>
        </w:rPr>
      </w:pPr>
    </w:p>
    <w:p>
      <w:pPr>
        <w:jc w:val="both"/>
        <w:ind w:firstLine="509"/>
        <w:spacing w:after="0" w:line="266" w:lineRule="auto"/>
        <w:tabs>
          <w:tab w:leader="none" w:pos="98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Promptly from time to time to take such action to qualify the Shares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 or to subject itself to taxation in respect of doing business in any jurisdiction;</w:t>
      </w:r>
    </w:p>
    <w:p>
      <w:pPr>
        <w:spacing w:after="0" w:line="137" w:lineRule="exact"/>
        <w:rPr>
          <w:rFonts w:ascii="Arial" w:cs="Arial" w:eastAsia="Arial" w:hAnsi="Arial"/>
          <w:sz w:val="15"/>
          <w:szCs w:val="15"/>
          <w:color w:val="auto"/>
        </w:rPr>
      </w:pPr>
    </w:p>
    <w:p>
      <w:pPr>
        <w:jc w:val="both"/>
        <w:ind w:firstLine="509"/>
        <w:spacing w:after="0" w:line="262" w:lineRule="auto"/>
        <w:tabs>
          <w:tab w:leader="none" w:pos="858" w:val="left"/>
        </w:tabs>
        <w:numPr>
          <w:ilvl w:val="0"/>
          <w:numId w:val="202"/>
        </w:numPr>
        <w:rPr>
          <w:rFonts w:ascii="Arial" w:cs="Arial" w:eastAsia="Arial" w:hAnsi="Arial"/>
          <w:sz w:val="15"/>
          <w:szCs w:val="15"/>
          <w:color w:val="auto"/>
        </w:rPr>
      </w:pPr>
      <w:r>
        <w:rPr>
          <w:rFonts w:ascii="Arial" w:cs="Arial" w:eastAsia="Arial" w:hAnsi="Arial"/>
          <w:sz w:val="15"/>
          <w:szCs w:val="15"/>
          <w:color w:val="auto"/>
        </w:rPr>
        <w:t>Prior to 10:00 a.m., New York City time, on the New York Business Day next succeeding the date of this Agreement (or such later time as may be agreed to by the Company and the Representatives)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80"/>
          </w:cols>
          <w:pgMar w:left="300" w:top="1132" w:right="319" w:bottom="1440" w:gutter="0" w:footer="0" w:header="0"/>
        </w:sectPr>
      </w:pPr>
    </w:p>
    <w:bookmarkStart w:id="357" w:name="page358"/>
    <w:bookmarkEnd w:id="357"/>
    <w:p>
      <w:pPr>
        <w:jc w:val="both"/>
        <w:spacing w:after="0" w:line="265" w:lineRule="auto"/>
        <w:rPr>
          <w:sz w:val="20"/>
          <w:szCs w:val="20"/>
          <w:color w:val="auto"/>
        </w:rPr>
      </w:pPr>
      <w:r>
        <w:rPr>
          <w:rFonts w:ascii="Arial" w:cs="Arial" w:eastAsia="Arial" w:hAnsi="Arial"/>
          <w:sz w:val="15"/>
          <w:szCs w:val="15"/>
          <w:color w:val="auto"/>
        </w:rPr>
        <w:t>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140" w:lineRule="exact"/>
        <w:rPr>
          <w:sz w:val="20"/>
          <w:szCs w:val="20"/>
          <w:color w:val="auto"/>
        </w:rPr>
      </w:pPr>
    </w:p>
    <w:p>
      <w:pPr>
        <w:jc w:val="both"/>
        <w:ind w:firstLine="509"/>
        <w:spacing w:after="0" w:line="266" w:lineRule="auto"/>
        <w:tabs>
          <w:tab w:leader="none" w:pos="91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Before amending or supplementing the Registration Statement, the Preliminary Prospectus or the Prospectus, to furnish the Underwriters with written and electronic copies of each such proposed amendment or supplement and not to file any such proposed amendment or supplement to which the Underwriters reasonably object, and to file with the Commission within the applicable period specified in Rule 424(b) under the Securities Act any prospectus required to be filed pursuant to such Rule;</w:t>
      </w:r>
    </w:p>
    <w:p>
      <w:pPr>
        <w:spacing w:after="0" w:line="139" w:lineRule="exact"/>
        <w:rPr>
          <w:rFonts w:ascii="Arial" w:cs="Arial" w:eastAsia="Arial" w:hAnsi="Arial"/>
          <w:sz w:val="15"/>
          <w:szCs w:val="15"/>
          <w:color w:val="auto"/>
        </w:rPr>
      </w:pPr>
    </w:p>
    <w:p>
      <w:pPr>
        <w:jc w:val="both"/>
        <w:ind w:firstLine="509"/>
        <w:spacing w:after="0" w:line="271" w:lineRule="auto"/>
        <w:tabs>
          <w:tab w:leader="none" w:pos="961"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and</w:t>
      </w:r>
    </w:p>
    <w:p>
      <w:pPr>
        <w:spacing w:after="0" w:line="125" w:lineRule="exact"/>
        <w:rPr>
          <w:rFonts w:ascii="Arial" w:cs="Arial" w:eastAsia="Arial" w:hAnsi="Arial"/>
          <w:sz w:val="15"/>
          <w:szCs w:val="15"/>
          <w:color w:val="auto"/>
        </w:rPr>
      </w:pPr>
    </w:p>
    <w:p>
      <w:pPr>
        <w:jc w:val="both"/>
        <w:ind w:firstLine="509"/>
        <w:spacing w:after="0" w:line="262" w:lineRule="auto"/>
        <w:tabs>
          <w:tab w:leader="none" w:pos="851" w:val="left"/>
        </w:tabs>
        <w:numPr>
          <w:ilvl w:val="0"/>
          <w:numId w:val="203"/>
        </w:numPr>
        <w:rPr>
          <w:rFonts w:ascii="Arial" w:cs="Arial" w:eastAsia="Arial" w:hAnsi="Arial"/>
          <w:sz w:val="15"/>
          <w:szCs w:val="15"/>
          <w:color w:val="auto"/>
        </w:rPr>
      </w:pPr>
      <w:r>
        <w:rPr>
          <w:rFonts w:ascii="Arial" w:cs="Arial" w:eastAsia="Arial" w:hAnsi="Arial"/>
          <w:sz w:val="15"/>
          <w:szCs w:val="15"/>
          <w:color w:val="auto"/>
        </w:rPr>
        <w:t>(1) During the period beginning from the date hereof and ending on the earlier of (A) the opening of trading on the second full trading day following the Company’s release of earnings (which for this purpose shall not include “flash” numbers or preliminary, partial earnings) for the fiscal quarterly period ending April 30, 2026 and (B) the end of the 180th day after the date of the Prospectus (the “Company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Representatives’ prior written consent.</w:t>
      </w:r>
    </w:p>
    <w:p>
      <w:pPr>
        <w:spacing w:after="0" w:line="145" w:lineRule="exact"/>
        <w:rPr>
          <w:sz w:val="20"/>
          <w:szCs w:val="20"/>
          <w:color w:val="auto"/>
        </w:rPr>
      </w:pPr>
    </w:p>
    <w:p>
      <w:pPr>
        <w:jc w:val="both"/>
        <w:ind w:firstLine="505"/>
        <w:spacing w:after="0" w:line="276" w:lineRule="auto"/>
        <w:rPr>
          <w:sz w:val="20"/>
          <w:szCs w:val="20"/>
          <w:color w:val="auto"/>
        </w:rPr>
      </w:pPr>
      <w:r>
        <w:rPr>
          <w:rFonts w:ascii="Arial" w:cs="Arial" w:eastAsia="Arial" w:hAnsi="Arial"/>
          <w:sz w:val="15"/>
          <w:szCs w:val="15"/>
          <w:color w:val="auto"/>
        </w:rPr>
        <w:t>The restrictions contained in the preceding paragraph shall not apply to (A) the Shares to be sold hereunder, (B) the issuance by the Company of shares of Stock upon the exercise of options or the settlement of restricted stock units (including any “net” or “cashless” exercises or settlements) outstanding as of, or issued after, the date hereof pursuant to the Company’s equity plans described in the Pricing Prospectus and the Prospectus or other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80"/>
          </w:cols>
          <w:pgMar w:left="300" w:top="1132" w:right="319" w:bottom="1440" w:gutter="0" w:footer="0" w:header="0"/>
        </w:sectPr>
      </w:pPr>
    </w:p>
    <w:bookmarkStart w:id="358" w:name="page359"/>
    <w:bookmarkEnd w:id="358"/>
    <w:p>
      <w:pPr>
        <w:jc w:val="both"/>
        <w:spacing w:after="0" w:line="259" w:lineRule="auto"/>
        <w:rPr>
          <w:sz w:val="20"/>
          <w:szCs w:val="20"/>
          <w:color w:val="auto"/>
        </w:rPr>
      </w:pPr>
      <w:r>
        <w:rPr>
          <w:rFonts w:ascii="Arial" w:cs="Arial" w:eastAsia="Arial" w:hAnsi="Arial"/>
          <w:sz w:val="15"/>
          <w:szCs w:val="15"/>
          <w:color w:val="auto"/>
        </w:rPr>
        <w:t>described in the Pricing Prospectus, (C) the issuance by the Company of shares of Stock upon the conversion or exchange of convertible or exchangeable securities outstanding as of the date hereof as described in the Pricing Prospectus and the Prospectus, (D) the issuance by the Company of shares of Stock or securities convertible into, exchangeable for or that represent the right to receive shares of Stock, in each case pursuant to the Company’s equity plans described in the Pricing Prospectus and the Prospectus, (E) the issuance by the Company of shares of Stock upon the exercise of warrants that are described in the Pricing Prospectus and the Prospectus, (F) the issuance by the Company of shares of Stock or securities convertible into, exchangeable for or that represent the right to receive shares of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or (y) the Company’s joint ventures, commercial relationships and other strategic relationships, or (G) the filing of any registration statement(s) on Form S-8 relating to the securities granted or to be granted pursuant to (i) the Company’s equity plans that are described in the Pricing Prospectus and the Prospectus or (ii) any assumed employee benefit plan contemplated by clause (F); provided, that the aggregate number of shares of Stock that the Company may sell or issue or agree to sell or issue pursuant to clause (F) shall not exceed 10% of the total number of shares of common stock of the Company outstanding immediately following the issuance of the Shares contemplated by this Agreement; provided further, that in the case of clauses (B), (C), (D), (E) and (F), the Company shall (x) cause each recipient of such securities to execute and deliver to the Representatives, on or prior to the issuance of such securities, a lock-up agreement in substantially the form attached as Annex II hereto, unless such recipient is already bound by a lock-up agreement or a market standoff provision that is enforceable by the Company pursuant to which such holders cannot or have agreed not to sell, contract to sell or otherwise transfer or dispose of such holder’s securities during the Company Lock-Up Period without the consent of the Company, which market standoff provision the Company agrees it will not waive or amend without the prior written consent of Goldman Sachs &amp; Co. LLC and J.P. Morgan Securities LLC, as Representatives, and (y) enter stop transfer instructions with the Company’s transfer agent and registrar on such securities, which the Company agrees it will not waive or amend without the prior written consent of Goldman Sachs &amp; Co. LLC and J.P. Morgan Securities LLC, as Representatives.</w:t>
      </w:r>
    </w:p>
    <w:p>
      <w:pPr>
        <w:spacing w:after="0" w:line="329" w:lineRule="exact"/>
        <w:rPr>
          <w:sz w:val="20"/>
          <w:szCs w:val="20"/>
          <w:color w:val="auto"/>
        </w:rPr>
      </w:pPr>
    </w:p>
    <w:p>
      <w:pPr>
        <w:jc w:val="both"/>
        <w:ind w:firstLine="505"/>
        <w:spacing w:after="0" w:line="265" w:lineRule="auto"/>
        <w:rPr>
          <w:sz w:val="20"/>
          <w:szCs w:val="20"/>
          <w:color w:val="auto"/>
        </w:rPr>
      </w:pPr>
      <w:r>
        <w:rPr>
          <w:rFonts w:ascii="Arial" w:cs="Arial" w:eastAsia="Arial" w:hAnsi="Arial"/>
          <w:sz w:val="15"/>
          <w:szCs w:val="15"/>
          <w:color w:val="auto"/>
        </w:rPr>
        <w:t>In addition, during the Company Lock-Up Period, the Company agrees to (a) enforce the Market Stand-off Provisions and any similar transfer restrictions contained in any agreement between the Company and any of its securityholders, including, without limitation, through the issuance of stop transfer instructions to the Company’s transfer agent and registrar with respect to any transaction that would constitute a breach of, or default under, the transfer restrictions, except that this provision shall not prevent the Company from effecting such a waiver or amendment to permit a transfer of securities that would be permissible under the terms of the lock-up agreement in the form attached as Annex II hereto, and (b) not amend or waive any such transfer restrictions with respect to any such holder without the prior written consent of Goldman Sachs &amp; Co. LLC and J.P. Morgan Securities LLC, as Representatives;</w:t>
      </w:r>
    </w:p>
    <w:p>
      <w:pPr>
        <w:spacing w:after="0" w:line="140" w:lineRule="exact"/>
        <w:rPr>
          <w:sz w:val="20"/>
          <w:szCs w:val="20"/>
          <w:color w:val="auto"/>
        </w:rPr>
      </w:pPr>
    </w:p>
    <w:p>
      <w:pPr>
        <w:jc w:val="both"/>
        <w:ind w:firstLine="703"/>
        <w:spacing w:after="0" w:line="276" w:lineRule="auto"/>
        <w:tabs>
          <w:tab w:leader="none" w:pos="1082" w:val="left"/>
        </w:tabs>
        <w:numPr>
          <w:ilvl w:val="0"/>
          <w:numId w:val="204"/>
        </w:numPr>
        <w:rPr>
          <w:rFonts w:ascii="Arial" w:cs="Arial" w:eastAsia="Arial" w:hAnsi="Arial"/>
          <w:sz w:val="15"/>
          <w:szCs w:val="15"/>
          <w:color w:val="auto"/>
        </w:rPr>
      </w:pPr>
      <w:r>
        <w:rPr>
          <w:rFonts w:ascii="Arial" w:cs="Arial" w:eastAsia="Arial" w:hAnsi="Arial"/>
          <w:sz w:val="15"/>
          <w:szCs w:val="15"/>
          <w:color w:val="auto"/>
        </w:rPr>
        <w:t>If Goldman Sachs &amp; Co. LLC and J.P. Morgan Securities LLC, in their sole discretion, agree to release or waive the restrictions set forth in a lock-up letter described in Section 8(m) hereof for an officer or director of the Company and provide the Company with notice of the impending release or waiver at least three business days before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80"/>
          </w:cols>
          <w:pgMar w:left="300" w:top="1132" w:right="319" w:bottom="1440" w:gutter="0" w:footer="0" w:header="0"/>
        </w:sectPr>
      </w:pPr>
    </w:p>
    <w:bookmarkStart w:id="359" w:name="page360"/>
    <w:bookmarkEnd w:id="359"/>
    <w:p>
      <w:pPr>
        <w:spacing w:after="0" w:line="303" w:lineRule="auto"/>
        <w:rPr>
          <w:sz w:val="20"/>
          <w:szCs w:val="20"/>
          <w:color w:val="auto"/>
        </w:rPr>
      </w:pPr>
      <w:r>
        <w:rPr>
          <w:rFonts w:ascii="Arial" w:cs="Arial" w:eastAsia="Arial" w:hAnsi="Arial"/>
          <w:sz w:val="15"/>
          <w:szCs w:val="15"/>
          <w:color w:val="auto"/>
        </w:rPr>
        <w:t>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101" w:lineRule="exact"/>
        <w:rPr>
          <w:sz w:val="20"/>
          <w:szCs w:val="20"/>
          <w:color w:val="auto"/>
        </w:rPr>
      </w:pPr>
    </w:p>
    <w:p>
      <w:pPr>
        <w:jc w:val="both"/>
        <w:ind w:firstLine="509"/>
        <w:spacing w:after="0" w:line="265" w:lineRule="auto"/>
        <w:tabs>
          <w:tab w:leader="none" w:pos="88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5(g) to the extent that they are available on EDGAR;</w:t>
      </w:r>
    </w:p>
    <w:p>
      <w:pPr>
        <w:spacing w:after="0" w:line="128" w:lineRule="exact"/>
        <w:rPr>
          <w:rFonts w:ascii="Arial" w:cs="Arial" w:eastAsia="Arial" w:hAnsi="Arial"/>
          <w:sz w:val="15"/>
          <w:szCs w:val="15"/>
          <w:color w:val="auto"/>
        </w:rPr>
      </w:pPr>
    </w:p>
    <w:p>
      <w:pPr>
        <w:jc w:val="both"/>
        <w:ind w:firstLine="509"/>
        <w:spacing w:after="0" w:line="264" w:lineRule="auto"/>
        <w:tabs>
          <w:tab w:leader="none" w:pos="88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the Representatives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5(h) to the extent that they are available on EDGAR or to the extent such provisions of such reports, documents or other information would require public disclosure by the Company under Regulation FD;</w:t>
      </w:r>
    </w:p>
    <w:p>
      <w:pPr>
        <w:spacing w:after="0" w:line="132" w:lineRule="exact"/>
        <w:rPr>
          <w:rFonts w:ascii="Arial" w:cs="Arial" w:eastAsia="Arial" w:hAnsi="Arial"/>
          <w:sz w:val="15"/>
          <w:szCs w:val="15"/>
          <w:color w:val="auto"/>
        </w:rPr>
      </w:pPr>
    </w:p>
    <w:p>
      <w:pPr>
        <w:ind w:firstLine="509"/>
        <w:spacing w:after="0" w:line="303" w:lineRule="auto"/>
        <w:tabs>
          <w:tab w:leader="none" w:pos="811"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To use the net proceeds received by it from the sale of the Shares pursuant to this Agreement in the manner specified in the Pricing Prospectus under the caption “Use of Proceeds”;</w:t>
      </w:r>
    </w:p>
    <w:p>
      <w:pPr>
        <w:spacing w:after="0" w:line="100" w:lineRule="exact"/>
        <w:rPr>
          <w:rFonts w:ascii="Arial" w:cs="Arial" w:eastAsia="Arial" w:hAnsi="Arial"/>
          <w:sz w:val="15"/>
          <w:szCs w:val="15"/>
          <w:color w:val="auto"/>
        </w:rPr>
      </w:pPr>
    </w:p>
    <w:p>
      <w:pPr>
        <w:ind w:left="820" w:hanging="311"/>
        <w:spacing w:after="0"/>
        <w:tabs>
          <w:tab w:leader="none" w:pos="82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To use its best efforts to list for quotation the Shares on the Exchange;</w:t>
      </w:r>
    </w:p>
    <w:p>
      <w:pPr>
        <w:spacing w:after="0" w:line="184" w:lineRule="exact"/>
        <w:rPr>
          <w:rFonts w:ascii="Arial" w:cs="Arial" w:eastAsia="Arial" w:hAnsi="Arial"/>
          <w:sz w:val="15"/>
          <w:szCs w:val="15"/>
          <w:color w:val="auto"/>
        </w:rPr>
      </w:pPr>
    </w:p>
    <w:p>
      <w:pPr>
        <w:ind w:left="860" w:hanging="351"/>
        <w:spacing w:after="0"/>
        <w:tabs>
          <w:tab w:leader="none" w:pos="8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To file with the Commission such information on Form 10-Q or Form 10-K as may be required by Rule 463 under the Act;</w:t>
      </w:r>
    </w:p>
    <w:p>
      <w:pPr>
        <w:spacing w:after="0" w:line="174" w:lineRule="exact"/>
        <w:rPr>
          <w:rFonts w:ascii="Arial" w:cs="Arial" w:eastAsia="Arial" w:hAnsi="Arial"/>
          <w:sz w:val="15"/>
          <w:szCs w:val="15"/>
          <w:color w:val="auto"/>
        </w:rPr>
      </w:pPr>
    </w:p>
    <w:p>
      <w:pPr>
        <w:jc w:val="both"/>
        <w:ind w:firstLine="509"/>
        <w:spacing w:after="0" w:line="283" w:lineRule="auto"/>
        <w:tabs>
          <w:tab w:leader="none" w:pos="861" w:val="left"/>
        </w:tabs>
        <w:numPr>
          <w:ilvl w:val="0"/>
          <w:numId w:val="205"/>
        </w:numPr>
        <w:rPr>
          <w:rFonts w:ascii="Arial" w:cs="Arial" w:eastAsia="Arial" w:hAnsi="Arial"/>
          <w:sz w:val="15"/>
          <w:szCs w:val="15"/>
          <w:color w:val="auto"/>
        </w:rPr>
      </w:pPr>
      <w:r>
        <w:rPr>
          <w:rFonts w:ascii="Arial" w:cs="Arial" w:eastAsia="Arial" w:hAnsi="Arial"/>
          <w:sz w:val="15"/>
          <w:szCs w:val="15"/>
          <w:color w:val="auto"/>
        </w:rPr>
        <w:t>If the Company elects to rely upon Rule 462(b), the Company shall file a Rule 462(b) Registration Statement with the Commission in compliance with Rule 462(b) by 10:00 p.m., New York City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15" w:lineRule="exact"/>
        <w:rPr>
          <w:rFonts w:ascii="Arial" w:cs="Arial" w:eastAsia="Arial" w:hAnsi="Arial"/>
          <w:sz w:val="15"/>
          <w:szCs w:val="15"/>
          <w:color w:val="auto"/>
        </w:rPr>
      </w:pPr>
    </w:p>
    <w:p>
      <w:pPr>
        <w:ind w:firstLine="509"/>
        <w:spacing w:after="0" w:line="303" w:lineRule="auto"/>
        <w:tabs>
          <w:tab w:leader="none" w:pos="1028" w:val="left"/>
        </w:tabs>
        <w:numPr>
          <w:ilvl w:val="0"/>
          <w:numId w:val="205"/>
        </w:numPr>
        <w:rPr>
          <w:rFonts w:ascii="Arial" w:cs="Arial" w:eastAsia="Arial" w:hAnsi="Arial"/>
          <w:sz w:val="15"/>
          <w:szCs w:val="15"/>
          <w:color w:val="auto"/>
        </w:rPr>
      </w:pPr>
      <w:r>
        <w:rPr>
          <w:rFonts w:ascii="Arial" w:cs="Arial" w:eastAsia="Arial" w:hAnsi="Arial"/>
          <w:sz w:val="15"/>
          <w:szCs w:val="15"/>
          <w:color w:val="auto"/>
        </w:rPr>
        <w:t>Upon request of any Underwriter to furnish, or cause to be furnished, to such Underwriter an electronic version of the Company’s trademarks, servicemarks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80"/>
          </w:cols>
          <w:pgMar w:left="300" w:top="1131" w:right="319" w:bottom="1440" w:gutter="0" w:footer="0" w:header="0"/>
        </w:sectPr>
      </w:pPr>
    </w:p>
    <w:bookmarkStart w:id="360" w:name="page361"/>
    <w:bookmarkEnd w:id="360"/>
    <w:p>
      <w:pPr>
        <w:jc w:val="both"/>
        <w:spacing w:after="0" w:line="276" w:lineRule="auto"/>
        <w:rPr>
          <w:sz w:val="20"/>
          <w:szCs w:val="20"/>
          <w:color w:val="auto"/>
        </w:rPr>
      </w:pPr>
      <w:r>
        <w:rPr>
          <w:rFonts w:ascii="Arial" w:cs="Arial" w:eastAsia="Arial" w:hAnsi="Arial"/>
          <w:sz w:val="15"/>
          <w:szCs w:val="15"/>
          <w:color w:val="auto"/>
        </w:rPr>
        <w:t>logo for use on the website, if any, operated by such Underwriter for the purpose of facilitating the on-line offering of the Shares (the “License”); provided, however, that the License shall be non-exclusive and used solely for the purpose described above, is granted without any fee and may not be assigned, sub-licensed or transferred and shall terminate at the later of (i) the completion of the distribution of the Shares within the meaning of the Act and (ii) the last Time of Delivery; and</w:t>
      </w:r>
    </w:p>
    <w:p>
      <w:pPr>
        <w:spacing w:after="0" w:line="130" w:lineRule="exact"/>
        <w:rPr>
          <w:sz w:val="20"/>
          <w:szCs w:val="20"/>
          <w:color w:val="auto"/>
        </w:rPr>
      </w:pPr>
    </w:p>
    <w:p>
      <w:pPr>
        <w:ind w:firstLine="509"/>
        <w:spacing w:after="0" w:line="289" w:lineRule="auto"/>
        <w:tabs>
          <w:tab w:leader="none" w:pos="882"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To promptly notify the Representatives if the Company ceases to be an Emerging Growth Company at any time prior to the later of (i) completion of the distribution of the Shares within the meaning of the Act and (ii) the last Time of Delivery.</w:t>
      </w:r>
    </w:p>
    <w:p>
      <w:pPr>
        <w:spacing w:after="0" w:line="121" w:lineRule="exact"/>
        <w:rPr>
          <w:sz w:val="20"/>
          <w:szCs w:val="20"/>
          <w:color w:val="auto"/>
        </w:rPr>
      </w:pPr>
    </w:p>
    <w:p>
      <w:pPr>
        <w:jc w:val="both"/>
        <w:ind w:firstLine="509"/>
        <w:spacing w:after="0" w:line="265" w:lineRule="auto"/>
        <w:tabs>
          <w:tab w:leader="none" w:pos="827" w:val="left"/>
        </w:tabs>
        <w:numPr>
          <w:ilvl w:val="0"/>
          <w:numId w:val="207"/>
        </w:numPr>
        <w:rPr>
          <w:rFonts w:ascii="Arial" w:cs="Arial" w:eastAsia="Arial" w:hAnsi="Arial"/>
          <w:sz w:val="15"/>
          <w:szCs w:val="15"/>
          <w:color w:val="auto"/>
        </w:rPr>
      </w:pPr>
      <w:r>
        <w:rPr>
          <w:rFonts w:ascii="Arial" w:cs="Arial" w:eastAsia="Arial" w:hAnsi="Arial"/>
          <w:sz w:val="15"/>
          <w:szCs w:val="15"/>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hereto;</w:t>
      </w:r>
    </w:p>
    <w:p>
      <w:pPr>
        <w:spacing w:after="0" w:line="140" w:lineRule="exact"/>
        <w:rPr>
          <w:sz w:val="20"/>
          <w:szCs w:val="20"/>
          <w:color w:val="auto"/>
        </w:rPr>
      </w:pPr>
    </w:p>
    <w:p>
      <w:pPr>
        <w:jc w:val="both"/>
        <w:ind w:firstLine="509"/>
        <w:spacing w:after="0" w:line="276" w:lineRule="auto"/>
        <w:tabs>
          <w:tab w:leader="none" w:pos="869"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19" w:lineRule="exact"/>
        <w:rPr>
          <w:rFonts w:ascii="Arial" w:cs="Arial" w:eastAsia="Arial" w:hAnsi="Arial"/>
          <w:sz w:val="15"/>
          <w:szCs w:val="15"/>
          <w:color w:val="auto"/>
        </w:rPr>
      </w:pPr>
    </w:p>
    <w:p>
      <w:pPr>
        <w:jc w:val="both"/>
        <w:ind w:firstLine="509"/>
        <w:spacing w:after="0" w:line="265" w:lineRule="auto"/>
        <w:tabs>
          <w:tab w:leader="none" w:pos="858"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139" w:lineRule="exact"/>
        <w:rPr>
          <w:rFonts w:ascii="Arial" w:cs="Arial" w:eastAsia="Arial" w:hAnsi="Arial"/>
          <w:sz w:val="15"/>
          <w:szCs w:val="15"/>
          <w:color w:val="auto"/>
        </w:rPr>
      </w:pPr>
    </w:p>
    <w:p>
      <w:pPr>
        <w:jc w:val="both"/>
        <w:ind w:firstLine="509"/>
        <w:spacing w:after="0" w:line="265" w:lineRule="auto"/>
        <w:tabs>
          <w:tab w:leader="none" w:pos="1048"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80"/>
          </w:cols>
          <w:pgMar w:left="300" w:top="1132" w:right="319" w:bottom="1440" w:gutter="0" w:footer="0" w:header="0"/>
        </w:sectPr>
      </w:pPr>
    </w:p>
    <w:bookmarkStart w:id="361" w:name="page362"/>
    <w:bookmarkEnd w:id="361"/>
    <w:p>
      <w:pPr>
        <w:jc w:val="both"/>
        <w:ind w:firstLine="509"/>
        <w:spacing w:after="0" w:line="276" w:lineRule="auto"/>
        <w:tabs>
          <w:tab w:leader="none" w:pos="988" w:val="left"/>
        </w:tabs>
        <w:numPr>
          <w:ilvl w:val="0"/>
          <w:numId w:val="209"/>
        </w:numPr>
        <w:rPr>
          <w:rFonts w:ascii="Arial" w:cs="Arial" w:eastAsia="Arial" w:hAnsi="Arial"/>
          <w:sz w:val="15"/>
          <w:szCs w:val="15"/>
          <w:color w:val="auto"/>
        </w:rPr>
      </w:pPr>
      <w:r>
        <w:rPr>
          <w:rFonts w:ascii="Arial" w:cs="Arial" w:eastAsia="Arial" w:hAnsi="Arial"/>
          <w:sz w:val="15"/>
          <w:szCs w:val="15"/>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30" w:lineRule="exact"/>
        <w:rPr>
          <w:sz w:val="20"/>
          <w:szCs w:val="20"/>
          <w:color w:val="auto"/>
        </w:rPr>
      </w:pPr>
    </w:p>
    <w:p>
      <w:pPr>
        <w:jc w:val="both"/>
        <w:ind w:firstLine="509"/>
        <w:spacing w:after="0" w:line="258" w:lineRule="auto"/>
        <w:tabs>
          <w:tab w:leader="none" w:pos="803" w:val="left"/>
        </w:tabs>
        <w:numPr>
          <w:ilvl w:val="1"/>
          <w:numId w:val="210"/>
        </w:numPr>
        <w:rPr>
          <w:rFonts w:ascii="Arial" w:cs="Arial" w:eastAsia="Arial" w:hAnsi="Arial"/>
          <w:sz w:val="15"/>
          <w:szCs w:val="15"/>
          <w:color w:val="auto"/>
        </w:rPr>
      </w:pPr>
      <w:r>
        <w:rPr>
          <w:rFonts w:ascii="Arial" w:cs="Arial" w:eastAsia="Arial" w:hAnsi="Arial"/>
          <w:sz w:val="15"/>
          <w:szCs w:val="15"/>
          <w:color w:val="auto"/>
        </w:rPr>
        <w:t>The Company and each of the Selling Stockholders covenant and agree with one another and with the several Underwriters that (a)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subject to clause (v) below, the reasonable and documented fees and disbursements of counsel for the Underwriters in connection with such qualification and in connection with the Blue Sky survey; (iv) all fees and expenses in connection with listing the Shares on the Exchange; (v) the filing fees incident to, and the reasonable and documented fees and disbursements of counsel for the Underwriters in connection with, any required review by FINRA of the terms of the sale of the Shares (including the fees and expenses of counsel incurred on behalf of the QIU); provided, however, that the reasonable and documented fees and disbursements of counsel for the Underwriters related to clauses (iii) and (v) shall not exceed $60,000 in the aggregate; (vi) the cost of preparing stock certificates;</w:t>
      </w:r>
    </w:p>
    <w:p>
      <w:pPr>
        <w:spacing w:after="0" w:line="5" w:lineRule="exact"/>
        <w:rPr>
          <w:rFonts w:ascii="Arial" w:cs="Arial" w:eastAsia="Arial" w:hAnsi="Arial"/>
          <w:sz w:val="15"/>
          <w:szCs w:val="15"/>
          <w:color w:val="auto"/>
        </w:rPr>
      </w:pPr>
    </w:p>
    <w:p>
      <w:pPr>
        <w:jc w:val="both"/>
        <w:ind w:firstLine="4"/>
        <w:spacing w:after="0" w:line="259" w:lineRule="auto"/>
        <w:tabs>
          <w:tab w:leader="none" w:pos="296"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cost and charges of any transfer agent or registrar; and (viii) all other costs and expenses incident to the performance of its obligations hereunder which are not otherwise specifically provided for in this Section and (b) each Selling Stockholder will pay or cause to be paid all costs and expenses incident to the performance of such Selling Stockholder’s obligations hereunder with respect to (i) all underwriting commissions and discounts attributable to such Selling Stockholder’s sale of the Shares, (ii) any fees and expenses of counsel or other financial advisors for such Selling Stockholder that are not otherwise paid for by the Company and (iii) all out-of-pocket expenses and any stamp or other issuance or transfer taxes incident to the sale and delivery of the Shares to be sold by such Selling Stockholder to the Underwriters hereunder.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 and the Underwriters will be responsible for 50% of the cost of any chartered plane, jet, private aircraft or other transportation provided that such transportation is chartered to transport representatives from both the Company and the Underwriters in connection with any roadshow presentation to investors undertaken in connection with the offering of the Shares hereunder (it being understood that the use of any chartered plane, jet or private aircraft shall expressly be approved by the Company and the Representatives).</w:t>
      </w:r>
    </w:p>
    <w:p>
      <w:pPr>
        <w:spacing w:after="0" w:line="137" w:lineRule="exact"/>
        <w:rPr>
          <w:rFonts w:ascii="Arial" w:cs="Arial" w:eastAsia="Arial" w:hAnsi="Arial"/>
          <w:sz w:val="15"/>
          <w:szCs w:val="15"/>
          <w:color w:val="auto"/>
        </w:rPr>
      </w:pPr>
    </w:p>
    <w:p>
      <w:pPr>
        <w:jc w:val="both"/>
        <w:ind w:firstLine="509"/>
        <w:spacing w:after="0" w:line="283" w:lineRule="auto"/>
        <w:tabs>
          <w:tab w:leader="none" w:pos="874" w:val="left"/>
        </w:tabs>
        <w:numPr>
          <w:ilvl w:val="1"/>
          <w:numId w:val="211"/>
        </w:numPr>
        <w:rPr>
          <w:rFonts w:ascii="Arial" w:cs="Arial" w:eastAsia="Arial" w:hAnsi="Arial"/>
          <w:sz w:val="15"/>
          <w:szCs w:val="15"/>
          <w:color w:val="auto"/>
        </w:rPr>
      </w:pPr>
      <w:r>
        <w:rPr>
          <w:rFonts w:ascii="Arial" w:cs="Arial" w:eastAsia="Arial" w:hAnsi="Arial"/>
          <w:sz w:val="15"/>
          <w:szCs w:val="15"/>
          <w:color w:val="auto"/>
        </w:rPr>
        <w:t>The obligations of the Underwriters hereunder, as to the Shares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80"/>
          </w:cols>
          <w:pgMar w:left="300" w:top="1132" w:right="319" w:bottom="1440" w:gutter="0" w:footer="0" w:header="0"/>
        </w:sectPr>
      </w:pPr>
    </w:p>
    <w:bookmarkStart w:id="362" w:name="page363"/>
    <w:bookmarkEnd w:id="362"/>
    <w:p>
      <w:pPr>
        <w:spacing w:after="0" w:line="303" w:lineRule="auto"/>
        <w:rPr>
          <w:sz w:val="20"/>
          <w:szCs w:val="20"/>
          <w:color w:val="auto"/>
        </w:rPr>
      </w:pPr>
      <w:r>
        <w:rPr>
          <w:rFonts w:ascii="Arial" w:cs="Arial" w:eastAsia="Arial" w:hAnsi="Arial"/>
          <w:sz w:val="15"/>
          <w:szCs w:val="15"/>
          <w:color w:val="auto"/>
        </w:rPr>
        <w:t>correct, the condition that the Company and the Selling Stockholders shall have performed all of its and their obligations hereunder theretofore to be performed, and the following additional conditions:</w:t>
      </w:r>
    </w:p>
    <w:p>
      <w:pPr>
        <w:spacing w:after="0" w:line="101" w:lineRule="exact"/>
        <w:rPr>
          <w:sz w:val="20"/>
          <w:szCs w:val="20"/>
          <w:color w:val="auto"/>
        </w:rPr>
      </w:pPr>
    </w:p>
    <w:p>
      <w:pPr>
        <w:jc w:val="both"/>
        <w:ind w:firstLine="509"/>
        <w:spacing w:after="0" w:line="262" w:lineRule="auto"/>
        <w:tabs>
          <w:tab w:leader="none" w:pos="893"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New York City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44" w:lineRule="exact"/>
        <w:rPr>
          <w:rFonts w:ascii="Arial" w:cs="Arial" w:eastAsia="Arial" w:hAnsi="Arial"/>
          <w:sz w:val="15"/>
          <w:szCs w:val="15"/>
          <w:color w:val="auto"/>
        </w:rPr>
      </w:pPr>
    </w:p>
    <w:p>
      <w:pPr>
        <w:jc w:val="both"/>
        <w:ind w:firstLine="509"/>
        <w:spacing w:after="0" w:line="276" w:lineRule="auto"/>
        <w:tabs>
          <w:tab w:leader="none" w:pos="98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Latham &amp; Watkins LLP, counsel for the Underwriters, shall have furnished to the Representatives such written opinion or opinions and negative assurance letter, dated such Time of Delivery, in form and substance reasonably satisfactory to the Representatives, and such counsel shall have received such papers and information as they may reasonably request to enable them to pass upon such matters;</w:t>
      </w:r>
    </w:p>
    <w:p>
      <w:pPr>
        <w:spacing w:after="0" w:line="130" w:lineRule="exact"/>
        <w:rPr>
          <w:rFonts w:ascii="Arial" w:cs="Arial" w:eastAsia="Arial" w:hAnsi="Arial"/>
          <w:sz w:val="15"/>
          <w:szCs w:val="15"/>
          <w:color w:val="auto"/>
        </w:rPr>
      </w:pPr>
    </w:p>
    <w:p>
      <w:pPr>
        <w:ind w:firstLine="509"/>
        <w:spacing w:after="0" w:line="289" w:lineRule="auto"/>
        <w:tabs>
          <w:tab w:leader="none" w:pos="906" w:val="left"/>
        </w:tabs>
        <w:numPr>
          <w:ilvl w:val="0"/>
          <w:numId w:val="212"/>
        </w:numPr>
        <w:rPr>
          <w:rFonts w:ascii="Arial" w:cs="Arial" w:eastAsia="Arial" w:hAnsi="Arial"/>
          <w:sz w:val="15"/>
          <w:szCs w:val="15"/>
          <w:color w:val="auto"/>
        </w:rPr>
      </w:pPr>
      <w:r>
        <w:rPr>
          <w:rFonts w:ascii="Arial" w:cs="Arial" w:eastAsia="Arial" w:hAnsi="Arial"/>
          <w:sz w:val="15"/>
          <w:szCs w:val="15"/>
          <w:color w:val="auto"/>
        </w:rPr>
        <w:t>Fenwick &amp; West LLP, counsel for the Company, shall have furnished to the Representatives such written opinion or opinions and negative assurance letter, dated such Time of Delivery, in form and substance reasonably satisfactory to the Representatives;</w:t>
      </w:r>
    </w:p>
    <w:p>
      <w:pPr>
        <w:spacing w:after="0" w:line="120" w:lineRule="exact"/>
        <w:rPr>
          <w:rFonts w:ascii="Arial" w:cs="Arial" w:eastAsia="Arial" w:hAnsi="Arial"/>
          <w:sz w:val="15"/>
          <w:szCs w:val="15"/>
          <w:color w:val="auto"/>
        </w:rPr>
      </w:pPr>
    </w:p>
    <w:p>
      <w:pPr>
        <w:ind w:firstLine="509"/>
        <w:spacing w:after="0" w:line="303" w:lineRule="auto"/>
        <w:tabs>
          <w:tab w:leader="none" w:pos="903" w:val="left"/>
        </w:tabs>
        <w:numPr>
          <w:ilvl w:val="0"/>
          <w:numId w:val="212"/>
        </w:numPr>
        <w:rPr>
          <w:rFonts w:ascii="Arial" w:cs="Arial" w:eastAsia="Arial" w:hAnsi="Arial"/>
          <w:sz w:val="15"/>
          <w:szCs w:val="15"/>
          <w:color w:val="auto"/>
        </w:rPr>
      </w:pPr>
      <w:r>
        <w:rPr>
          <w:rFonts w:ascii="Arial" w:cs="Arial" w:eastAsia="Arial" w:hAnsi="Arial"/>
          <w:sz w:val="15"/>
          <w:szCs w:val="15"/>
          <w:color w:val="auto"/>
        </w:rPr>
        <w:t>Sidley Austin LLP, regulatory counsel for the Company, shall have furnished to the Representatives its written opinion, dated such Time of Delivery, in form and substance reasonably satisfactory to the Representatives;</w:t>
      </w:r>
    </w:p>
    <w:p>
      <w:pPr>
        <w:spacing w:after="0" w:line="100" w:lineRule="exact"/>
        <w:rPr>
          <w:rFonts w:ascii="Arial" w:cs="Arial" w:eastAsia="Arial" w:hAnsi="Arial"/>
          <w:sz w:val="15"/>
          <w:szCs w:val="15"/>
          <w:color w:val="auto"/>
        </w:rPr>
      </w:pPr>
    </w:p>
    <w:p>
      <w:pPr>
        <w:ind w:firstLine="509"/>
        <w:spacing w:after="0" w:line="303" w:lineRule="auto"/>
        <w:tabs>
          <w:tab w:leader="none" w:pos="87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Simpson Thacher &amp; Bartlett LLP, regulatory counsel for the Company, shall have furnished to the Representatives its written opinion, dated such Time of Delivery, in form and substance reasonably satisfactory to the Representatives;</w:t>
      </w:r>
    </w:p>
    <w:p>
      <w:pPr>
        <w:spacing w:after="0" w:line="100" w:lineRule="exact"/>
        <w:rPr>
          <w:rFonts w:ascii="Arial" w:cs="Arial" w:eastAsia="Arial" w:hAnsi="Arial"/>
          <w:sz w:val="15"/>
          <w:szCs w:val="15"/>
          <w:color w:val="auto"/>
        </w:rPr>
      </w:pPr>
    </w:p>
    <w:p>
      <w:pPr>
        <w:ind w:firstLine="509"/>
        <w:spacing w:after="0" w:line="303" w:lineRule="auto"/>
        <w:tabs>
          <w:tab w:leader="none" w:pos="865" w:val="left"/>
        </w:tabs>
        <w:numPr>
          <w:ilvl w:val="0"/>
          <w:numId w:val="212"/>
        </w:numPr>
        <w:rPr>
          <w:rFonts w:ascii="Arial" w:cs="Arial" w:eastAsia="Arial" w:hAnsi="Arial"/>
          <w:sz w:val="15"/>
          <w:szCs w:val="15"/>
          <w:color w:val="auto"/>
        </w:rPr>
      </w:pPr>
      <w:r>
        <w:rPr>
          <w:rFonts w:ascii="Arial" w:cs="Arial" w:eastAsia="Arial" w:hAnsi="Arial"/>
          <w:sz w:val="15"/>
          <w:szCs w:val="15"/>
          <w:color w:val="auto"/>
        </w:rPr>
        <w:t>Whalen LLP, counsel for each of the Selling Stockholders, shall have furnished to the Representatives their written opinion with respect to each of the Selling Stockholders for whom they are acting as counsel, dated the First Time of Delivery, in form and substance satisfactory to the Representatives;</w:t>
      </w:r>
    </w:p>
    <w:p>
      <w:pPr>
        <w:spacing w:after="0" w:line="100" w:lineRule="exact"/>
        <w:rPr>
          <w:rFonts w:ascii="Arial" w:cs="Arial" w:eastAsia="Arial" w:hAnsi="Arial"/>
          <w:sz w:val="15"/>
          <w:szCs w:val="15"/>
          <w:color w:val="auto"/>
        </w:rPr>
      </w:pPr>
    </w:p>
    <w:p>
      <w:pPr>
        <w:jc w:val="both"/>
        <w:ind w:firstLine="509"/>
        <w:spacing w:after="0" w:line="271" w:lineRule="auto"/>
        <w:tabs>
          <w:tab w:leader="none" w:pos="913" w:val="left"/>
        </w:tabs>
        <w:numPr>
          <w:ilvl w:val="0"/>
          <w:numId w:val="212"/>
        </w:numPr>
        <w:rPr>
          <w:rFonts w:ascii="Arial" w:cs="Arial" w:eastAsia="Arial" w:hAnsi="Arial"/>
          <w:sz w:val="15"/>
          <w:szCs w:val="15"/>
          <w:color w:val="auto"/>
        </w:rPr>
      </w:pPr>
      <w:r>
        <w:rPr>
          <w:rFonts w:ascii="Arial" w:cs="Arial" w:eastAsia="Arial" w:hAnsi="Arial"/>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the Representatives a letter or letters, dated the respective dates of delivery thereof, in form and substance satisfactory to the Representatives; provided, that the letter delivered on each respective date of delivery,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80"/>
          </w:cols>
          <w:pgMar w:left="300" w:top="1132" w:right="319" w:bottom="1440" w:gutter="0" w:footer="0" w:header="0"/>
        </w:sectPr>
      </w:pPr>
    </w:p>
    <w:bookmarkStart w:id="363" w:name="page364"/>
    <w:bookmarkEnd w:id="363"/>
    <w:p>
      <w:pPr>
        <w:spacing w:after="0"/>
        <w:rPr>
          <w:sz w:val="20"/>
          <w:szCs w:val="20"/>
          <w:color w:val="auto"/>
        </w:rPr>
      </w:pPr>
      <w:r>
        <w:rPr>
          <w:rFonts w:ascii="Arial" w:cs="Arial" w:eastAsia="Arial" w:hAnsi="Arial"/>
          <w:sz w:val="15"/>
          <w:szCs w:val="15"/>
          <w:color w:val="auto"/>
        </w:rPr>
        <w:t>case may be, shall use a “cut-off” date no more than three business days prior to such date of delivery;</w:t>
      </w:r>
    </w:p>
    <w:p>
      <w:pPr>
        <w:spacing w:after="0" w:line="185" w:lineRule="exact"/>
        <w:rPr>
          <w:sz w:val="20"/>
          <w:szCs w:val="20"/>
          <w:color w:val="auto"/>
        </w:rPr>
      </w:pPr>
    </w:p>
    <w:p>
      <w:pPr>
        <w:jc w:val="both"/>
        <w:ind w:firstLine="509"/>
        <w:spacing w:after="0" w:line="276" w:lineRule="auto"/>
        <w:tabs>
          <w:tab w:leader="none" w:pos="913" w:val="left"/>
        </w:tabs>
        <w:numPr>
          <w:ilvl w:val="1"/>
          <w:numId w:val="213"/>
        </w:numPr>
        <w:rPr>
          <w:rFonts w:ascii="Arial" w:cs="Arial" w:eastAsia="Arial" w:hAnsi="Arial"/>
          <w:sz w:val="15"/>
          <w:szCs w:val="15"/>
          <w:color w:val="auto"/>
        </w:rPr>
      </w:pPr>
      <w:r>
        <w:rPr>
          <w:rFonts w:ascii="Arial" w:cs="Arial" w:eastAsia="Arial" w:hAnsi="Arial"/>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the Company shall have furnished to the Representatives a certificate of the Chief Financial Officer of the Company in form and substance reasonably satisfactory to the Representatives;</w:t>
      </w:r>
    </w:p>
    <w:p>
      <w:pPr>
        <w:spacing w:after="0" w:line="119" w:lineRule="exact"/>
        <w:rPr>
          <w:rFonts w:ascii="Arial" w:cs="Arial" w:eastAsia="Arial" w:hAnsi="Arial"/>
          <w:sz w:val="15"/>
          <w:szCs w:val="15"/>
          <w:color w:val="auto"/>
        </w:rPr>
      </w:pPr>
    </w:p>
    <w:p>
      <w:pPr>
        <w:jc w:val="both"/>
        <w:ind w:firstLine="509"/>
        <w:spacing w:after="0" w:line="260" w:lineRule="auto"/>
        <w:tabs>
          <w:tab w:leader="none" w:pos="850" w:val="left"/>
        </w:tabs>
        <w:numPr>
          <w:ilvl w:val="1"/>
          <w:numId w:val="213"/>
        </w:numPr>
        <w:rPr>
          <w:rFonts w:ascii="Arial" w:cs="Arial" w:eastAsia="Arial" w:hAnsi="Arial"/>
          <w:sz w:val="15"/>
          <w:szCs w:val="15"/>
          <w:color w:val="auto"/>
        </w:rPr>
      </w:pPr>
      <w:r>
        <w:rPr>
          <w:rFonts w:ascii="Arial" w:cs="Arial" w:eastAsia="Arial" w:hAnsi="Arial"/>
          <w:sz w:val="15"/>
          <w:szCs w:val="15"/>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 than as set forth or contemplated in the Pricing Prospectus, and (ii) since the respective dates as of which information is given in the Pricing Prospectus, except as described in the Pricing Prospectus and the Prospectus, there shall not have been any change in the capital stock (other than as a result of (A) the exercise or settlement, if any, of stock options or restricted stock units (including any “net” or “cashless” exercises or settlements) or the award, if any, of stock options, restricted stock units, or other equity awards, in each case in the ordinary course of business pursuant to the Company’s equity plans that are described in the Pricing Prospectus and the Prospectus, (B) the repurchase or purchase of shares of capital stock upon or following termination of the holder’s employment or service with the Company pursuant to agreements providing for an option to repurchase or a right of first refusal on behalf of the Company, (C) the exercise, if any, of warrants that are described in the Pricing Prospectus and the Prospectus or (D) the issuance, if any, of shares of Stock upon the exercise or conversion of Company securities as described in the Pricing Prospectus and the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42" w:lineRule="exact"/>
        <w:rPr>
          <w:rFonts w:ascii="Arial" w:cs="Arial" w:eastAsia="Arial" w:hAnsi="Arial"/>
          <w:sz w:val="15"/>
          <w:szCs w:val="15"/>
          <w:color w:val="auto"/>
        </w:rPr>
      </w:pPr>
    </w:p>
    <w:p>
      <w:pPr>
        <w:jc w:val="both"/>
        <w:ind w:firstLine="509"/>
        <w:spacing w:after="0" w:line="264" w:lineRule="auto"/>
        <w:tabs>
          <w:tab w:leader="none" w:pos="904" w:val="left"/>
        </w:tabs>
        <w:numPr>
          <w:ilvl w:val="1"/>
          <w:numId w:val="213"/>
        </w:numPr>
        <w:rPr>
          <w:rFonts w:ascii="Arial" w:cs="Arial" w:eastAsia="Arial" w:hAnsi="Arial"/>
          <w:sz w:val="15"/>
          <w:szCs w:val="15"/>
          <w:color w:val="auto"/>
        </w:rPr>
      </w:pPr>
      <w:r>
        <w:rPr>
          <w:rFonts w:ascii="Arial" w:cs="Arial" w:eastAsia="Arial" w:hAnsi="Arial"/>
          <w:sz w:val="15"/>
          <w:szCs w:val="15"/>
          <w:color w:val="auto"/>
        </w:rPr>
        <w:t>On or after the Applicable Time and at each Time of Delivery, there shall be no debt securities, convertible securities or preferred stock issued or guaranteed by the Company or any of its subsidiaries that are rated by a “nationally recognized statistical rating organization”, as such term is defined in Section 3(a)</w:t>
      </w:r>
    </w:p>
    <w:p>
      <w:pPr>
        <w:ind w:left="320" w:hanging="316"/>
        <w:spacing w:after="0"/>
        <w:tabs>
          <w:tab w:leader="none" w:pos="3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under the Exchange Act;</w:t>
      </w:r>
    </w:p>
    <w:p>
      <w:pPr>
        <w:spacing w:after="0" w:line="172" w:lineRule="exact"/>
        <w:rPr>
          <w:rFonts w:ascii="Arial" w:cs="Arial" w:eastAsia="Arial" w:hAnsi="Arial"/>
          <w:sz w:val="15"/>
          <w:szCs w:val="15"/>
          <w:color w:val="auto"/>
        </w:rPr>
      </w:pPr>
    </w:p>
    <w:p>
      <w:pPr>
        <w:jc w:val="both"/>
        <w:ind w:firstLine="509"/>
        <w:spacing w:after="0" w:line="276" w:lineRule="auto"/>
        <w:tabs>
          <w:tab w:leader="none" w:pos="87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280"/>
          </w:cols>
          <w:pgMar w:left="300" w:top="1132" w:right="319" w:bottom="1440" w:gutter="0" w:footer="0" w:header="0"/>
        </w:sectPr>
      </w:pPr>
    </w:p>
    <w:bookmarkStart w:id="364" w:name="page365"/>
    <w:bookmarkEnd w:id="364"/>
    <w:p>
      <w:pPr>
        <w:jc w:val="both"/>
        <w:spacing w:after="0" w:line="271" w:lineRule="auto"/>
        <w:rPr>
          <w:sz w:val="20"/>
          <w:szCs w:val="20"/>
          <w:color w:val="auto"/>
        </w:rPr>
      </w:pPr>
      <w:r>
        <w:rPr>
          <w:rFonts w:ascii="Arial" w:cs="Arial" w:eastAsia="Arial" w:hAnsi="Arial"/>
          <w:sz w:val="15"/>
          <w:szCs w:val="15"/>
          <w:color w:val="auto"/>
        </w:rPr>
        <w:t>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25" w:lineRule="exact"/>
        <w:rPr>
          <w:sz w:val="20"/>
          <w:szCs w:val="20"/>
          <w:color w:val="auto"/>
        </w:rPr>
      </w:pPr>
    </w:p>
    <w:p>
      <w:pPr>
        <w:ind w:left="820" w:hanging="311"/>
        <w:spacing w:after="0"/>
        <w:tabs>
          <w:tab w:leader="none" w:pos="82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Shares to be sold at such Time of Delivery shall have been duly listed for quotation on the Exchange;</w:t>
      </w:r>
    </w:p>
    <w:p>
      <w:pPr>
        <w:spacing w:after="0" w:line="184" w:lineRule="exact"/>
        <w:rPr>
          <w:rFonts w:ascii="Arial" w:cs="Arial" w:eastAsia="Arial" w:hAnsi="Arial"/>
          <w:sz w:val="15"/>
          <w:szCs w:val="15"/>
          <w:color w:val="auto"/>
        </w:rPr>
      </w:pPr>
    </w:p>
    <w:p>
      <w:pPr>
        <w:ind w:firstLine="509"/>
        <w:spacing w:after="0" w:line="303" w:lineRule="auto"/>
        <w:tabs>
          <w:tab w:leader="none" w:pos="956"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Company shall have obtained and delivered to the Underwriters executed copies of a lock-up agreement from each officer, director, and certain stockholders of the Company, substantially in the form set forth in Annex II hereto;</w:t>
      </w:r>
    </w:p>
    <w:p>
      <w:pPr>
        <w:spacing w:after="0" w:line="100" w:lineRule="exact"/>
        <w:rPr>
          <w:rFonts w:ascii="Arial" w:cs="Arial" w:eastAsia="Arial" w:hAnsi="Arial"/>
          <w:sz w:val="15"/>
          <w:szCs w:val="15"/>
          <w:color w:val="auto"/>
        </w:rPr>
      </w:pPr>
    </w:p>
    <w:p>
      <w:pPr>
        <w:ind w:firstLine="509"/>
        <w:spacing w:after="0" w:line="303" w:lineRule="auto"/>
        <w:tabs>
          <w:tab w:leader="none" w:pos="899"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Company shall have complied with the provisions of Section 5(c) hereof with respect to the furnishing of prospectuses on the New York Business Day next succeeding the date of this Agreement; and</w:t>
      </w:r>
    </w:p>
    <w:p>
      <w:pPr>
        <w:spacing w:after="0" w:line="100" w:lineRule="exact"/>
        <w:rPr>
          <w:rFonts w:ascii="Arial" w:cs="Arial" w:eastAsia="Arial" w:hAnsi="Arial"/>
          <w:sz w:val="15"/>
          <w:szCs w:val="15"/>
          <w:color w:val="auto"/>
        </w:rPr>
      </w:pPr>
    </w:p>
    <w:p>
      <w:pPr>
        <w:jc w:val="both"/>
        <w:ind w:firstLine="509"/>
        <w:spacing w:after="0" w:line="269" w:lineRule="auto"/>
        <w:tabs>
          <w:tab w:leader="none" w:pos="866"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Company and the Selling Stockholders shall have furnished or caused to be furnished to the Representatives at such Time of Delivery certificates of officers of the Company and of an attorney-in-fact on behalf of the Selling Stockholders, respectively, satisfactory to the Representatives as to the accuracy of the representations and warranties of the Company and the Selling Stockholders, respectively, herein at and as of such Time of Delivery, as to the performance by the Company and the Selling Stockholders of all of their respective obligations hereunder to be performed at or prior to such Time of Delivery, as to the matters set forth in subsections (a) and (i) of this Section and as to such other matters as the Representatives may reasonably request.</w:t>
      </w:r>
    </w:p>
    <w:p>
      <w:pPr>
        <w:spacing w:after="0" w:line="127" w:lineRule="exact"/>
        <w:rPr>
          <w:sz w:val="20"/>
          <w:szCs w:val="20"/>
          <w:color w:val="auto"/>
        </w:rPr>
      </w:pPr>
    </w:p>
    <w:p>
      <w:pPr>
        <w:jc w:val="both"/>
        <w:ind w:firstLine="509"/>
        <w:spacing w:after="0" w:line="261" w:lineRule="auto"/>
        <w:tabs>
          <w:tab w:leader="none" w:pos="839" w:val="left"/>
        </w:tabs>
        <w:numPr>
          <w:ilvl w:val="0"/>
          <w:numId w:val="216"/>
        </w:numPr>
        <w:rPr>
          <w:rFonts w:ascii="Arial" w:cs="Arial" w:eastAsia="Arial" w:hAnsi="Arial"/>
          <w:sz w:val="15"/>
          <w:szCs w:val="15"/>
          <w:color w:val="auto"/>
        </w:rPr>
      </w:pPr>
      <w:r>
        <w:rPr>
          <w:rFonts w:ascii="Arial" w:cs="Arial" w:eastAsia="Arial" w:hAnsi="Arial"/>
          <w:sz w:val="15"/>
          <w:szCs w:val="15"/>
          <w:color w:val="auto"/>
        </w:rPr>
        <w:t xml:space="preserve">(a) The Company will indemnify and hold harmless each Underwriter and each Selling Stockholder against any losses, claims, damages or liabilities, joint or several, to which such Underwriter or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and Selling Stockholder for any legal or other expenses reasonably incurred by such Underwriter or Selling Stockholder in connection with investigating or defending any such action or claim as such expenses are incurred;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roadshow or any Testing-the-Waters Communication, in reliance upon and in conformity with the Underwriter Information or any Selling Stockholder Information. The Company will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280"/>
          </w:cols>
          <w:pgMar w:left="300" w:top="1132" w:right="319" w:bottom="1440" w:gutter="0" w:footer="0" w:header="0"/>
        </w:sectPr>
      </w:pPr>
    </w:p>
    <w:bookmarkStart w:id="365" w:name="page366"/>
    <w:bookmarkEnd w:id="365"/>
    <w:p>
      <w:pPr>
        <w:jc w:val="both"/>
        <w:spacing w:after="0" w:line="276" w:lineRule="auto"/>
        <w:rPr>
          <w:sz w:val="20"/>
          <w:szCs w:val="20"/>
          <w:color w:val="auto"/>
        </w:rPr>
      </w:pPr>
      <w:r>
        <w:rPr>
          <w:rFonts w:ascii="Arial" w:cs="Arial" w:eastAsia="Arial" w:hAnsi="Arial"/>
          <w:sz w:val="15"/>
          <w:szCs w:val="15"/>
          <w:color w:val="auto"/>
        </w:rPr>
        <w:t>indemnify and hold harmless the QIU against any losses, claims, damages or liabilities incurred as a result of the QIU’s participation as a “qualified independent underwriter” within the meaning of FINRA Rule 5121 in connection with the offering of the Shares, except for any losses, claims, damages, or liabilities resulting solely from the QIU’s willful misconduct.</w:t>
      </w:r>
    </w:p>
    <w:p>
      <w:pPr>
        <w:spacing w:after="0" w:line="130" w:lineRule="exact"/>
        <w:rPr>
          <w:sz w:val="20"/>
          <w:szCs w:val="20"/>
          <w:color w:val="auto"/>
        </w:rPr>
      </w:pPr>
    </w:p>
    <w:p>
      <w:pPr>
        <w:jc w:val="both"/>
        <w:ind w:firstLine="509"/>
        <w:spacing w:after="0" w:line="259" w:lineRule="auto"/>
        <w:tabs>
          <w:tab w:leader="none" w:pos="926" w:val="left"/>
        </w:tabs>
        <w:numPr>
          <w:ilvl w:val="0"/>
          <w:numId w:val="217"/>
        </w:numPr>
        <w:rPr>
          <w:rFonts w:ascii="Arial" w:cs="Arial" w:eastAsia="Arial" w:hAnsi="Arial"/>
          <w:sz w:val="15"/>
          <w:szCs w:val="15"/>
          <w:color w:val="auto"/>
        </w:rPr>
      </w:pPr>
      <w:r>
        <w:rPr>
          <w:rFonts w:ascii="Arial" w:cs="Arial" w:eastAsia="Arial" w:hAnsi="Arial"/>
          <w:sz w:val="15"/>
          <w:szCs w:val="15"/>
          <w:color w:val="auto"/>
        </w:rPr>
        <w:t>Each of the Selling Stockholders, severally and not jointly, will indemnify and hold harmless each Underwriter and the Company against any losses, claims, damages or liabilities, joint or several, to which such Underwriter or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Selling Stockholder Information of such Selling Stockholder; and will reimburse each Underwriter or the Company for any legal or other expenses reasonably incurred by such Underwriter or the Company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any roadshow or any Issuer Free Writing Prospectus in reliance upon and in conformity with the Underwriter Information; provided further the liability of each Selling Stockholder under the indemnity agreement contained in this paragraph shall be limited to an amount equal to the aggregate net proceeds (after deducting underwriting discounts and commissions but before deducting expenses) of the Shares sold by such Selling Stockholder under this Agreement (with respect to each Selling Stockholder, the “Selling Stockholder Proceeds”) less any amounts such Selling Stockholder actually pays pursuant to contribution provisions of Sections 9(e) and 9(f) below.</w:t>
      </w:r>
    </w:p>
    <w:p>
      <w:pPr>
        <w:spacing w:after="0" w:line="147" w:lineRule="exact"/>
        <w:rPr>
          <w:rFonts w:ascii="Arial" w:cs="Arial" w:eastAsia="Arial" w:hAnsi="Arial"/>
          <w:sz w:val="15"/>
          <w:szCs w:val="15"/>
          <w:color w:val="auto"/>
        </w:rPr>
      </w:pPr>
    </w:p>
    <w:p>
      <w:pPr>
        <w:jc w:val="both"/>
        <w:ind w:firstLine="509"/>
        <w:spacing w:after="0" w:line="262" w:lineRule="auto"/>
        <w:tabs>
          <w:tab w:leader="none" w:pos="92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Each Underwriter, severally and not jointly,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280"/>
          </w:cols>
          <w:pgMar w:left="300" w:top="1132" w:right="319" w:bottom="1440" w:gutter="0" w:footer="0" w:header="0"/>
        </w:sectPr>
      </w:pPr>
    </w:p>
    <w:bookmarkStart w:id="366" w:name="page367"/>
    <w:bookmarkEnd w:id="366"/>
    <w:p>
      <w:pPr>
        <w:jc w:val="both"/>
        <w:spacing w:after="0" w:line="262" w:lineRule="auto"/>
        <w:rPr>
          <w:sz w:val="20"/>
          <w:szCs w:val="20"/>
          <w:color w:val="auto"/>
        </w:rPr>
      </w:pPr>
      <w:r>
        <w:rPr>
          <w:rFonts w:ascii="Arial" w:cs="Arial" w:eastAsia="Arial" w:hAnsi="Arial"/>
          <w:sz w:val="15"/>
          <w:szCs w:val="15"/>
          <w:color w:val="auto"/>
        </w:rPr>
        <w:t>thereto, or any Issuer Free Writing Prospectus, or any roadshow or any Testing-the-Waters Communication, in reliance upon and in conformity with the Underwriter Information; and will reimburse the Company and each Selling Stockholder for any legal or other expenses reasonably incurred by the Company or such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the information contained in the thirteen and fourteenth paragraphs under the caption “Underwriting” and the information contained in the third sentence of the fifteenth paragraph under the caption “Underwriting.”</w:t>
      </w:r>
    </w:p>
    <w:p>
      <w:pPr>
        <w:spacing w:after="0" w:line="144" w:lineRule="exact"/>
        <w:rPr>
          <w:sz w:val="20"/>
          <w:szCs w:val="20"/>
          <w:color w:val="auto"/>
        </w:rPr>
      </w:pPr>
    </w:p>
    <w:p>
      <w:pPr>
        <w:jc w:val="both"/>
        <w:ind w:firstLine="509"/>
        <w:spacing w:after="0" w:line="259" w:lineRule="auto"/>
        <w:tabs>
          <w:tab w:leader="none" w:pos="920" w:val="left"/>
        </w:tabs>
        <w:numPr>
          <w:ilvl w:val="0"/>
          <w:numId w:val="218"/>
        </w:numPr>
        <w:rPr>
          <w:rFonts w:ascii="Arial" w:cs="Arial" w:eastAsia="Arial" w:hAnsi="Arial"/>
          <w:sz w:val="15"/>
          <w:szCs w:val="15"/>
          <w:color w:val="auto"/>
        </w:rPr>
      </w:pPr>
      <w:r>
        <w:rPr>
          <w:rFonts w:ascii="Arial" w:cs="Arial" w:eastAsia="Arial" w:hAnsi="Arial"/>
          <w:sz w:val="15"/>
          <w:szCs w:val="15"/>
          <w:color w:val="auto"/>
        </w:rPr>
        <w:t>Promptly after receipt by an indemnified party under subsection (a), (b) or (c)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and upon request of the indemnified party, retain counsel satisfactory to such indemnified party (who shall not, except with the consent of the indemnified party, be counsel to the indemnifying party), to represent the indemnified party and any others entitled to indemnification pursuant to this Section 9,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280"/>
          </w:cols>
          <w:pgMar w:left="300" w:top="1132" w:right="319" w:bottom="1440" w:gutter="0" w:footer="0" w:header="0"/>
        </w:sectPr>
      </w:pPr>
    </w:p>
    <w:bookmarkStart w:id="367" w:name="page368"/>
    <w:bookmarkEnd w:id="367"/>
    <w:p>
      <w:pPr>
        <w:jc w:val="both"/>
        <w:spacing w:after="0" w:line="265" w:lineRule="auto"/>
        <w:rPr>
          <w:sz w:val="20"/>
          <w:szCs w:val="20"/>
          <w:color w:val="auto"/>
        </w:rPr>
      </w:pPr>
      <w:r>
        <w:rPr>
          <w:rFonts w:ascii="Arial" w:cs="Arial" w:eastAsia="Arial" w:hAnsi="Arial"/>
          <w:sz w:val="15"/>
          <w:szCs w:val="15"/>
          <w:color w:val="auto"/>
        </w:rPr>
        <w:t>indemnified party (which consent shall not be unreasonably withheld),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Notwithstanding anything contained herein to the contrary, the indemnifying party shall be liable for the reasonable fees and expenses of one additional firm of counsel (in addition to any local counsel) for the QIU in its capacity as such and all persons, if any, who control such QIU within the meaning of either Section 15 of the Securities Act or Section 20 of the Exchange Act.</w:t>
      </w:r>
    </w:p>
    <w:p>
      <w:pPr>
        <w:spacing w:after="0" w:line="128" w:lineRule="exact"/>
        <w:rPr>
          <w:sz w:val="20"/>
          <w:szCs w:val="20"/>
          <w:color w:val="auto"/>
        </w:rPr>
      </w:pPr>
    </w:p>
    <w:p>
      <w:pPr>
        <w:jc w:val="both"/>
        <w:ind w:firstLine="509"/>
        <w:spacing w:after="0" w:line="259" w:lineRule="auto"/>
        <w:tabs>
          <w:tab w:leader="none" w:pos="929" w:val="left"/>
        </w:tabs>
        <w:numPr>
          <w:ilvl w:val="0"/>
          <w:numId w:val="219"/>
        </w:numPr>
        <w:rPr>
          <w:rFonts w:ascii="Arial" w:cs="Arial" w:eastAsia="Arial" w:hAnsi="Arial"/>
          <w:sz w:val="15"/>
          <w:szCs w:val="15"/>
          <w:color w:val="auto"/>
        </w:rPr>
      </w:pPr>
      <w:r>
        <w:rPr>
          <w:rFonts w:ascii="Arial" w:cs="Arial" w:eastAsia="Arial" w:hAnsi="Arial"/>
          <w:sz w:val="15"/>
          <w:szCs w:val="15"/>
          <w:color w:val="auto"/>
        </w:rPr>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(or the QIU in its capacity as such)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(or the QIU in its capacity as such)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in each case as set forth in the table on the cover page of the Prospectus. Benefits received by the QIU in its capacity as such shall be deemed to be equal to the compensation, if any, received by the QIU for acting in such capacity. The relative fault shall be determined by reference to, among other things, whether the untrue or alleged untrue statement of a material fact or the omission or alleged omission to state a material fact relates to information supplied by the Company or the Selling Stockholders on the one hand or the Underwriters (or the QIU in its capacity as such)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 subsection (e) were determined by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(i) no Underwriter shall be required to contribute any amount in excess of the amount by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280"/>
          </w:cols>
          <w:pgMar w:left="300" w:top="1132" w:right="319" w:bottom="1440" w:gutter="0" w:footer="0" w:header="0"/>
        </w:sectPr>
      </w:pPr>
    </w:p>
    <w:bookmarkStart w:id="368" w:name="page369"/>
    <w:bookmarkEnd w:id="368"/>
    <w:p>
      <w:pPr>
        <w:jc w:val="both"/>
        <w:spacing w:after="0" w:line="265" w:lineRule="auto"/>
        <w:rPr>
          <w:sz w:val="20"/>
          <w:szCs w:val="20"/>
          <w:color w:val="auto"/>
        </w:rPr>
      </w:pPr>
      <w:r>
        <w:rPr>
          <w:rFonts w:ascii="Arial" w:cs="Arial" w:eastAsia="Arial" w:hAnsi="Arial"/>
          <w:sz w:val="15"/>
          <w:szCs w:val="15"/>
          <w:color w:val="auto"/>
        </w:rPr>
        <w:t>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and (ii) the QIU, in its capacity as such, shall not be responsible for any amount in excess of the compensation, if any, received by the QIU for acting in such capacity.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liability of each Selling Stockholder under this Section 9(e) is several and not joint and shall be limited to an amount equal to its Selling Stockholder Proceeds less any amounts such Selling Stockholder is obligated to pay by reason of such untrue or alleged untrue statement or omission or alleged omission.</w:t>
      </w:r>
    </w:p>
    <w:p>
      <w:pPr>
        <w:spacing w:after="0" w:line="128" w:lineRule="exact"/>
        <w:rPr>
          <w:sz w:val="20"/>
          <w:szCs w:val="20"/>
          <w:color w:val="auto"/>
        </w:rPr>
      </w:pPr>
    </w:p>
    <w:p>
      <w:pPr>
        <w:jc w:val="both"/>
        <w:ind w:firstLine="509"/>
        <w:spacing w:after="0" w:line="265" w:lineRule="auto"/>
        <w:tabs>
          <w:tab w:leader="none" w:pos="837"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obligations of the Company and the Selling Stockholders under this Section 9 shall be in addition to any liability which the Company and the Selling Stockholders may otherwise have and shall extend, upon the same terms and conditions, to each employee, officer and director of each Underwriter (and the QIU in its capacity as such) and each person, if any, who controls any Underwriter (or the QIU) within the meaning of the Act and each broker-dealer or other affiliate of any Underwriter; and the obligations of the Underwriters under this Section 9 shall be in addition to any liability which the respective Underwriters (or the QIU)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Stockholder within the meaning of the Act.</w:t>
      </w:r>
    </w:p>
    <w:p>
      <w:pPr>
        <w:spacing w:after="0" w:line="128" w:lineRule="exact"/>
        <w:rPr>
          <w:sz w:val="20"/>
          <w:szCs w:val="20"/>
          <w:color w:val="auto"/>
        </w:rPr>
      </w:pPr>
    </w:p>
    <w:p>
      <w:pPr>
        <w:jc w:val="both"/>
        <w:ind w:firstLine="509"/>
        <w:spacing w:after="0" w:line="261" w:lineRule="auto"/>
        <w:tabs>
          <w:tab w:leader="none" w:pos="976"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 If any Underwriter shall default in its obligation to purchase the Shares that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and the Selling Stockholders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and the Selling Stockholders that the Representatives have so arranged for the purchase of such Shares, or the Company or a Selling Stockholder notifies the Representatives that it has so arranged for the purchase of such Shares, the Representatives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44" w:lineRule="exact"/>
        <w:rPr>
          <w:sz w:val="20"/>
          <w:szCs w:val="20"/>
          <w:color w:val="auto"/>
        </w:rPr>
      </w:pPr>
    </w:p>
    <w:p>
      <w:pPr>
        <w:jc w:val="both"/>
        <w:ind w:firstLine="509"/>
        <w:spacing w:after="0" w:line="276" w:lineRule="auto"/>
        <w:tabs>
          <w:tab w:leader="none" w:pos="961" w:val="left"/>
        </w:tabs>
        <w:numPr>
          <w:ilvl w:val="0"/>
          <w:numId w:val="222"/>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the Representatives, the Company and the Selling Stockholders as provided in subsection (a) above, the aggregate number of such Shares which remains unpurchased does not exceed one-eleventh of the aggregate number of all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280"/>
          </w:cols>
          <w:pgMar w:left="300" w:top="1132" w:right="319" w:bottom="1440" w:gutter="0" w:footer="0" w:header="0"/>
        </w:sectPr>
      </w:pPr>
    </w:p>
    <w:bookmarkStart w:id="369" w:name="page370"/>
    <w:bookmarkEnd w:id="369"/>
    <w:p>
      <w:pPr>
        <w:jc w:val="both"/>
        <w:spacing w:after="0" w:line="271" w:lineRule="auto"/>
        <w:rPr>
          <w:sz w:val="20"/>
          <w:szCs w:val="20"/>
          <w:color w:val="auto"/>
        </w:rPr>
      </w:pPr>
      <w:r>
        <w:rPr>
          <w:rFonts w:ascii="Arial" w:cs="Arial" w:eastAsia="Arial" w:hAnsi="Arial"/>
          <w:sz w:val="15"/>
          <w:szCs w:val="15"/>
          <w:color w:val="auto"/>
        </w:rPr>
        <w:t>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25" w:lineRule="exact"/>
        <w:rPr>
          <w:sz w:val="20"/>
          <w:szCs w:val="20"/>
          <w:color w:val="auto"/>
        </w:rPr>
      </w:pPr>
    </w:p>
    <w:p>
      <w:pPr>
        <w:jc w:val="both"/>
        <w:ind w:firstLine="509"/>
        <w:spacing w:after="0" w:line="264" w:lineRule="auto"/>
        <w:tabs>
          <w:tab w:leader="none" w:pos="954" w:val="left"/>
        </w:tabs>
        <w:numPr>
          <w:ilvl w:val="0"/>
          <w:numId w:val="223"/>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the Representatives, the Company and the Selling Stockholders as provided in subsection (a) above, the aggregate number of such Shares which remains unpurchased exceeds one-eleventh of the aggregate number of all the Shares to be purchased at such Time of Delivery, or if the Company and the Selling Stockholders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the Company, or the Selling Stockholders except for the expenses to be borne by the Company, the Selling Stockholders, and the Underwriters as provided in Section 7 hereof and the indemnity and contribution agreements in Section 9 hereof; but nothing herein shall relieve a defaulting Underwriter from liability for its default.</w:t>
      </w:r>
    </w:p>
    <w:p>
      <w:pPr>
        <w:spacing w:after="0" w:line="133" w:lineRule="exact"/>
        <w:rPr>
          <w:sz w:val="20"/>
          <w:szCs w:val="20"/>
          <w:color w:val="auto"/>
        </w:rPr>
      </w:pPr>
    </w:p>
    <w:p>
      <w:pPr>
        <w:jc w:val="both"/>
        <w:ind w:firstLine="509"/>
        <w:spacing w:after="0" w:line="269" w:lineRule="auto"/>
        <w:tabs>
          <w:tab w:leader="none" w:pos="1042"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respective indemnities, rights of contribution,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 the Selling Stockholders, or any officer or director or controlling person of the Company, or any controlling person of any Selling Stockholder, and shall survive delivery of and payment for the Shares.</w:t>
      </w:r>
    </w:p>
    <w:p>
      <w:pPr>
        <w:spacing w:after="0" w:line="126" w:lineRule="exact"/>
        <w:rPr>
          <w:rFonts w:ascii="Arial" w:cs="Arial" w:eastAsia="Arial" w:hAnsi="Arial"/>
          <w:sz w:val="15"/>
          <w:szCs w:val="15"/>
          <w:color w:val="auto"/>
        </w:rPr>
      </w:pPr>
    </w:p>
    <w:p>
      <w:pPr>
        <w:jc w:val="both"/>
        <w:ind w:firstLine="509"/>
        <w:spacing w:after="0" w:line="262" w:lineRule="auto"/>
        <w:tabs>
          <w:tab w:leader="none" w:pos="892" w:val="left"/>
        </w:tabs>
        <w:numPr>
          <w:ilvl w:val="0"/>
          <w:numId w:val="224"/>
        </w:numPr>
        <w:rPr>
          <w:rFonts w:ascii="Arial" w:cs="Arial" w:eastAsia="Arial" w:hAnsi="Arial"/>
          <w:sz w:val="15"/>
          <w:szCs w:val="15"/>
          <w:color w:val="auto"/>
        </w:rPr>
      </w:pPr>
      <w:r>
        <w:rPr>
          <w:rFonts w:ascii="Arial" w:cs="Arial" w:eastAsia="Arial" w:hAnsi="Arial"/>
          <w:sz w:val="15"/>
          <w:szCs w:val="15"/>
          <w:color w:val="auto"/>
        </w:rPr>
        <w:t>If this Agreement shall be terminated pursuant to Section 10 hereof, neither the Company nor the Selling Stockholders shall then be under any liability to any Underwriter except as provided in Sections 7 and 9 hereof; but, if for any other reason, any Shares are not delivered by or on behalf of the Company and the Selling Stockholders as provided herein or the Underwriters decline to purchase the Shares for any reason permitted under this Agreement, the Company will reimburse the Underwriters through the Representatives for all reasonable and documented out-of-pocket expenses, approved in writing by the Representatives, including fees and disbursements of counsel, reasonably incurred by the Underwriters in making preparations for the purchase, sale and delivery of the Shares not so delivered, but the Company and the Selling Stockholders shall then be under no further liability to any Underwriter except as provided in Sections 7 and 9 hereof. Notwithstanding the foregoing, the Company shall not be required to reimburse the Underwriters for expenses if the Underwriters do not purchase the Shares in connection with any failure of the conditions specified in Section 8(k)(i), (iii), (iv) and (v).</w:t>
      </w:r>
    </w:p>
    <w:p>
      <w:pPr>
        <w:spacing w:after="0" w:line="144" w:lineRule="exact"/>
        <w:rPr>
          <w:rFonts w:ascii="Arial" w:cs="Arial" w:eastAsia="Arial" w:hAnsi="Arial"/>
          <w:sz w:val="15"/>
          <w:szCs w:val="15"/>
          <w:color w:val="auto"/>
        </w:rPr>
      </w:pPr>
    </w:p>
    <w:p>
      <w:pPr>
        <w:ind w:firstLine="509"/>
        <w:spacing w:after="0" w:line="288" w:lineRule="auto"/>
        <w:tabs>
          <w:tab w:leader="none" w:pos="941" w:val="left"/>
        </w:tabs>
        <w:numPr>
          <w:ilvl w:val="0"/>
          <w:numId w:val="224"/>
        </w:numPr>
        <w:rPr>
          <w:rFonts w:ascii="Arial" w:cs="Arial" w:eastAsia="Arial" w:hAnsi="Arial"/>
          <w:sz w:val="15"/>
          <w:szCs w:val="15"/>
          <w:color w:val="auto"/>
        </w:rPr>
      </w:pPr>
      <w:r>
        <w:rPr>
          <w:rFonts w:ascii="Arial" w:cs="Arial" w:eastAsia="Arial" w:hAnsi="Arial"/>
          <w:sz w:val="15"/>
          <w:szCs w:val="15"/>
          <w:color w:val="auto"/>
        </w:rPr>
        <w:t>In all dealings hereunder, the Representatives shall act on behalf of each of the Underwriters, and the parties hereto shall be entitled to act and rely upon any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280"/>
          </w:cols>
          <w:pgMar w:left="300" w:top="1132" w:right="319" w:bottom="1440" w:gutter="0" w:footer="0" w:header="0"/>
        </w:sectPr>
      </w:pPr>
    </w:p>
    <w:bookmarkStart w:id="370" w:name="page371"/>
    <w:bookmarkEnd w:id="370"/>
    <w:p>
      <w:pPr>
        <w:jc w:val="both"/>
        <w:spacing w:after="0" w:line="276" w:lineRule="auto"/>
        <w:rPr>
          <w:sz w:val="20"/>
          <w:szCs w:val="20"/>
          <w:color w:val="auto"/>
        </w:rPr>
      </w:pPr>
      <w:r>
        <w:rPr>
          <w:rFonts w:ascii="Arial" w:cs="Arial" w:eastAsia="Arial" w:hAnsi="Arial"/>
          <w:sz w:val="15"/>
          <w:szCs w:val="15"/>
          <w:color w:val="auto"/>
        </w:rPr>
        <w:t>request, notice or agreement on behalf of any Underwriter made or given by the Representatives; and in all dealings with any Selling Stockholder hereunder, the Representatives and the Company shall be entitled to act and rely upon any statement, request, notice or agreement on behalf of such Selling Stockholder made or given by any or all of the Attorneys-in-Fact for such Selling Stockholder.</w:t>
      </w:r>
    </w:p>
    <w:p>
      <w:pPr>
        <w:spacing w:after="0" w:line="130" w:lineRule="exact"/>
        <w:rPr>
          <w:sz w:val="20"/>
          <w:szCs w:val="20"/>
          <w:color w:val="auto"/>
        </w:rPr>
      </w:pPr>
    </w:p>
    <w:p>
      <w:pPr>
        <w:jc w:val="both"/>
        <w:ind w:firstLine="505"/>
        <w:spacing w:after="0" w:line="260" w:lineRule="auto"/>
        <w:rPr>
          <w:sz w:val="20"/>
          <w:szCs w:val="20"/>
          <w:color w:val="auto"/>
        </w:rPr>
      </w:pPr>
      <w:r>
        <w:rPr>
          <w:rFonts w:ascii="Arial" w:cs="Arial" w:eastAsia="Arial" w:hAnsi="Arial"/>
          <w:sz w:val="15"/>
          <w:szCs w:val="15"/>
          <w:color w:val="auto"/>
        </w:rPr>
        <w:t>All statements, requests, notices and agreements hereunder shall be in writing, and if to the Underwriters shall be delivered or sent by mail, telex or facsimile transmission to the Representatives in care of Goldman Sachs &amp; Co. LLC, 200 West Street, New York, New York 10282-2198, Attention: Registration Department and J.P. Morgan Securities LLC, 383 Madison Avenue, New York, New York 10179, Attention: Equity Syndicate Desk, with a copy, which shall not constitute notice, to: Latham &amp; Watkins LLP, 140 Scott Drive, Menlo Park, California 94025, Attention: Richard A. Kline and Sarah B. Axtell; if to the Company shall be delivered or sent by mail, telex or facsimile transmission to the address of the Company set forth in the Registration Statement, Attention: Chief Legal Officer, with a copy, which shall not constitute notice, to: Fenwick &amp; West LLP, 730 Arizona Avenue, 1st Floor, Santa Monica, California 90401, Attention: Michael Brown, Ran Ben-Tzur and Chelsea Anderson; and if to the Selling Stockholders shall be delivered or sent to each of the Attorneys-in-Fact named in the Power of Attorney, c/o the Company at the address set forth on the cover of the Registration Statement, Attention: Chief Legal Officer, with a copy, which shall not constitute notice, to Whalen LLP, 4701 Von Karman Avenue, Suite 325, Newport Beach, California 92660; provided, however,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or the Selling Stockholders by the Representatives upon request; provided, however, that notices under subsection 5(f) shall be in writing, and if to the Underwriters, shall be delivered or sent by mail, telex or facsimile transmission to the Representatives at Goldman Sachs &amp; Co. LLC, 200 West Street, New York, New York 10282-2198, Attention: Control Room and J.P. Morgan Securities LLC, 383 Madison Avenue, New York, New York 10179, Attention: Equity Syndicate Desk. Any such statements, requests, notices or agreements shall take effect upon receipt thereof.</w:t>
      </w:r>
    </w:p>
    <w:p>
      <w:pPr>
        <w:spacing w:after="0" w:line="138" w:lineRule="exact"/>
        <w:rPr>
          <w:sz w:val="20"/>
          <w:szCs w:val="20"/>
          <w:color w:val="auto"/>
        </w:rPr>
      </w:pPr>
    </w:p>
    <w:p>
      <w:pPr>
        <w:jc w:val="both"/>
        <w:ind w:firstLine="505"/>
        <w:spacing w:after="0" w:line="276" w:lineRule="auto"/>
        <w:rPr>
          <w:sz w:val="20"/>
          <w:szCs w:val="20"/>
          <w:color w:val="auto"/>
        </w:rPr>
      </w:pPr>
      <w:r>
        <w:rPr>
          <w:rFonts w:ascii="Arial" w:cs="Arial" w:eastAsia="Arial" w:hAnsi="Arial"/>
          <w:sz w:val="15"/>
          <w:szCs w:val="15"/>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30" w:lineRule="exact"/>
        <w:rPr>
          <w:sz w:val="20"/>
          <w:szCs w:val="20"/>
          <w:color w:val="auto"/>
        </w:rPr>
      </w:pPr>
    </w:p>
    <w:p>
      <w:pPr>
        <w:jc w:val="both"/>
        <w:ind w:firstLine="509"/>
        <w:spacing w:after="0" w:line="266" w:lineRule="auto"/>
        <w:tabs>
          <w:tab w:leader="none" w:pos="899" w:val="left"/>
        </w:tabs>
        <w:numPr>
          <w:ilvl w:val="0"/>
          <w:numId w:val="225"/>
        </w:numPr>
        <w:rPr>
          <w:rFonts w:ascii="Arial" w:cs="Arial" w:eastAsia="Arial" w:hAnsi="Arial"/>
          <w:sz w:val="15"/>
          <w:szCs w:val="15"/>
          <w:color w:val="auto"/>
        </w:rPr>
      </w:pPr>
      <w:r>
        <w:rPr>
          <w:rFonts w:ascii="Arial" w:cs="Arial" w:eastAsia="Arial" w:hAnsi="Arial"/>
          <w:sz w:val="15"/>
          <w:szCs w:val="15"/>
          <w:color w:val="auto"/>
        </w:rPr>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80"/>
          </w:cols>
          <w:pgMar w:left="300" w:top="1132" w:right="319" w:bottom="1440" w:gutter="0" w:footer="0" w:header="0"/>
        </w:sectPr>
      </w:pPr>
    </w:p>
    <w:bookmarkStart w:id="371" w:name="page372"/>
    <w:bookmarkEnd w:id="371"/>
    <w:p>
      <w:pPr>
        <w:ind w:firstLine="509"/>
        <w:spacing w:after="0" w:line="303" w:lineRule="auto"/>
        <w:tabs>
          <w:tab w:leader="none" w:pos="997" w:val="left"/>
        </w:tabs>
        <w:numPr>
          <w:ilvl w:val="1"/>
          <w:numId w:val="226"/>
        </w:numPr>
        <w:rPr>
          <w:rFonts w:ascii="Arial" w:cs="Arial" w:eastAsia="Arial" w:hAnsi="Arial"/>
          <w:sz w:val="15"/>
          <w:szCs w:val="15"/>
          <w:color w:val="auto"/>
        </w:rPr>
      </w:pPr>
      <w:r>
        <w:rPr>
          <w:rFonts w:ascii="Arial" w:cs="Arial" w:eastAsia="Arial" w:hAnsi="Arial"/>
          <w:sz w:val="15"/>
          <w:szCs w:val="15"/>
          <w:color w:val="auto"/>
        </w:rPr>
        <w:t>Time shall be of the essence of this Agreement. As used herein, the term “business day” shall mean any day when the Commission’s office in Washington, D.C. is open for business.</w:t>
      </w:r>
    </w:p>
    <w:p>
      <w:pPr>
        <w:spacing w:after="0" w:line="100" w:lineRule="exact"/>
        <w:rPr>
          <w:rFonts w:ascii="Arial" w:cs="Arial" w:eastAsia="Arial" w:hAnsi="Arial"/>
          <w:sz w:val="15"/>
          <w:szCs w:val="15"/>
          <w:color w:val="auto"/>
        </w:rPr>
      </w:pPr>
    </w:p>
    <w:p>
      <w:pPr>
        <w:jc w:val="both"/>
        <w:ind w:firstLine="509"/>
        <w:spacing w:after="0" w:line="261" w:lineRule="auto"/>
        <w:tabs>
          <w:tab w:leader="none" w:pos="89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The Company and the Selling Stockholders acknowledge and agree that (i) the purchase and sale of the Shares pursuant to this Agreement is an arm’s-length commercial transaction between the Company and the Selling Stockholders, on the one hand, and the several Underwriters, on the other,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 Underwriter has advised or is currently advising the Company or any Selling Stockholder on other matters) or any other obligation to the Company or any Selling Stockholder except the obligations expressly set forth in this Agreement,</w:t>
      </w:r>
    </w:p>
    <w:p>
      <w:pPr>
        <w:spacing w:after="0" w:line="1" w:lineRule="exact"/>
        <w:rPr>
          <w:rFonts w:ascii="Arial" w:cs="Arial" w:eastAsia="Arial" w:hAnsi="Arial"/>
          <w:sz w:val="15"/>
          <w:szCs w:val="15"/>
          <w:color w:val="auto"/>
        </w:rPr>
      </w:pPr>
    </w:p>
    <w:p>
      <w:pPr>
        <w:jc w:val="both"/>
        <w:ind w:firstLine="4"/>
        <w:spacing w:after="0" w:line="261" w:lineRule="auto"/>
        <w:tabs>
          <w:tab w:leader="none" w:pos="258"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Company and each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and each Selling Stockholder agrees that it will not claim that the Underwriters, or any of them, has rendered advisory services of any nature or respect, or owes a fiduciary or similar duty to the Company or any Selling Stockholder, in connection with such transaction or the process leading thereto.</w:t>
      </w:r>
    </w:p>
    <w:p>
      <w:pPr>
        <w:spacing w:after="0" w:line="143" w:lineRule="exact"/>
        <w:rPr>
          <w:rFonts w:ascii="Arial" w:cs="Arial" w:eastAsia="Arial" w:hAnsi="Arial"/>
          <w:sz w:val="15"/>
          <w:szCs w:val="15"/>
          <w:color w:val="auto"/>
        </w:rPr>
      </w:pPr>
    </w:p>
    <w:p>
      <w:pPr>
        <w:ind w:firstLine="509"/>
        <w:spacing w:after="0" w:line="289" w:lineRule="auto"/>
        <w:tabs>
          <w:tab w:leader="none" w:pos="92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This Agreement supersedes all prior agreements and understandings (whether written or oral) among the Company, the Selling Stockholders, and the Underwriters, or any of them, with respect to the subject matter hereof.</w:t>
      </w:r>
    </w:p>
    <w:p>
      <w:pPr>
        <w:spacing w:after="0" w:line="120" w:lineRule="exact"/>
        <w:rPr>
          <w:rFonts w:ascii="Arial" w:cs="Arial" w:eastAsia="Arial" w:hAnsi="Arial"/>
          <w:sz w:val="15"/>
          <w:szCs w:val="15"/>
          <w:color w:val="auto"/>
        </w:rPr>
      </w:pPr>
    </w:p>
    <w:p>
      <w:pPr>
        <w:jc w:val="both"/>
        <w:ind w:firstLine="509"/>
        <w:spacing w:after="0" w:line="265" w:lineRule="auto"/>
        <w:tabs>
          <w:tab w:leader="none" w:pos="941" w:val="left"/>
        </w:tabs>
        <w:numPr>
          <w:ilvl w:val="1"/>
          <w:numId w:val="227"/>
        </w:numPr>
        <w:rPr>
          <w:rFonts w:ascii="Arial" w:cs="Arial" w:eastAsia="Arial" w:hAnsi="Arial"/>
          <w:sz w:val="15"/>
          <w:szCs w:val="15"/>
          <w:color w:val="auto"/>
        </w:rPr>
      </w:pPr>
      <w:r>
        <w:rPr>
          <w:rFonts w:ascii="Arial" w:cs="Arial" w:eastAsia="Arial" w:hAnsi="Arial"/>
          <w:sz w:val="15"/>
          <w:szCs w:val="15"/>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and each Selling Stockholder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each Selling Stockholder agrees to submit to the jurisdiction of, and to venue in, such courts.</w:t>
      </w:r>
    </w:p>
    <w:p>
      <w:pPr>
        <w:spacing w:after="0" w:line="129" w:lineRule="exact"/>
        <w:rPr>
          <w:rFonts w:ascii="Arial" w:cs="Arial" w:eastAsia="Arial" w:hAnsi="Arial"/>
          <w:sz w:val="15"/>
          <w:szCs w:val="15"/>
          <w:color w:val="auto"/>
        </w:rPr>
      </w:pPr>
    </w:p>
    <w:p>
      <w:pPr>
        <w:ind w:firstLine="509"/>
        <w:spacing w:after="0" w:line="303" w:lineRule="auto"/>
        <w:tabs>
          <w:tab w:leader="none" w:pos="914" w:val="left"/>
        </w:tabs>
        <w:numPr>
          <w:ilvl w:val="1"/>
          <w:numId w:val="227"/>
        </w:numPr>
        <w:rPr>
          <w:rFonts w:ascii="Arial" w:cs="Arial" w:eastAsia="Arial" w:hAnsi="Arial"/>
          <w:sz w:val="15"/>
          <w:szCs w:val="15"/>
          <w:color w:val="auto"/>
        </w:rPr>
      </w:pPr>
      <w:r>
        <w:rPr>
          <w:rFonts w:ascii="Arial" w:cs="Arial" w:eastAsia="Arial" w:hAnsi="Arial"/>
          <w:sz w:val="15"/>
          <w:szCs w:val="15"/>
          <w:color w:val="auto"/>
        </w:rPr>
        <w:t>The Company,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11" w:lineRule="exact"/>
        <w:rPr>
          <w:rFonts w:ascii="Arial" w:cs="Arial" w:eastAsia="Arial" w:hAnsi="Arial"/>
          <w:sz w:val="15"/>
          <w:szCs w:val="15"/>
          <w:color w:val="auto"/>
        </w:rPr>
      </w:pPr>
    </w:p>
    <w:p>
      <w:pPr>
        <w:jc w:val="both"/>
        <w:ind w:firstLine="509"/>
        <w:spacing w:after="0" w:line="266" w:lineRule="auto"/>
        <w:tabs>
          <w:tab w:leader="none" w:pos="94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80"/>
          </w:cols>
          <w:pgMar w:left="300" w:top="1132" w:right="319" w:bottom="1440" w:gutter="0" w:footer="0" w:header="0"/>
        </w:sectPr>
      </w:pPr>
    </w:p>
    <w:bookmarkStart w:id="372" w:name="page373"/>
    <w:bookmarkEnd w:id="372"/>
    <w:p>
      <w:pPr>
        <w:spacing w:after="0"/>
        <w:rPr>
          <w:sz w:val="20"/>
          <w:szCs w:val="20"/>
          <w:color w:val="auto"/>
        </w:rPr>
      </w:pPr>
      <w:r>
        <w:rPr>
          <w:rFonts w:ascii="Arial" w:cs="Arial" w:eastAsia="Arial" w:hAnsi="Arial"/>
          <w:sz w:val="15"/>
          <w:szCs w:val="15"/>
          <w:color w:val="auto"/>
        </w:rPr>
        <w:t>any counterpart so delivered shall be deemed to have been duly and validly delivered and be valid and effective for all purposes.</w:t>
      </w:r>
    </w:p>
    <w:p>
      <w:pPr>
        <w:spacing w:after="0" w:line="185" w:lineRule="exact"/>
        <w:rPr>
          <w:sz w:val="20"/>
          <w:szCs w:val="20"/>
          <w:color w:val="auto"/>
        </w:rPr>
      </w:pPr>
    </w:p>
    <w:p>
      <w:pPr>
        <w:jc w:val="both"/>
        <w:ind w:firstLine="509"/>
        <w:spacing w:after="0" w:line="266" w:lineRule="auto"/>
        <w:tabs>
          <w:tab w:leader="none" w:pos="924" w:val="left"/>
        </w:tabs>
        <w:numPr>
          <w:ilvl w:val="0"/>
          <w:numId w:val="228"/>
        </w:numPr>
        <w:rPr>
          <w:rFonts w:ascii="Arial" w:cs="Arial" w:eastAsia="Arial" w:hAnsi="Arial"/>
          <w:sz w:val="15"/>
          <w:szCs w:val="15"/>
          <w:color w:val="auto"/>
        </w:rPr>
      </w:pPr>
      <w:r>
        <w:rPr>
          <w:rFonts w:ascii="Arial" w:cs="Arial" w:eastAsia="Arial" w:hAnsi="Arial"/>
          <w:sz w:val="15"/>
          <w:szCs w:val="15"/>
          <w:color w:val="auto"/>
        </w:rPr>
        <w:t>Notwithstanding anything herein to the contrary, the Company and the Selling Stockholders are authorized to disclose to any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37" w:lineRule="exact"/>
        <w:rPr>
          <w:rFonts w:ascii="Arial" w:cs="Arial" w:eastAsia="Arial" w:hAnsi="Arial"/>
          <w:sz w:val="15"/>
          <w:szCs w:val="15"/>
          <w:color w:val="auto"/>
        </w:rPr>
      </w:pPr>
    </w:p>
    <w:p>
      <w:pPr>
        <w:ind w:left="900" w:hanging="391"/>
        <w:spacing w:after="0"/>
        <w:tabs>
          <w:tab w:leader="none" w:pos="90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Recognition of the U.S. Special Resolution Regimes.</w:t>
      </w:r>
    </w:p>
    <w:p>
      <w:pPr>
        <w:spacing w:after="0" w:line="174" w:lineRule="exact"/>
        <w:rPr>
          <w:sz w:val="20"/>
          <w:szCs w:val="20"/>
          <w:color w:val="auto"/>
        </w:rPr>
      </w:pPr>
    </w:p>
    <w:p>
      <w:pPr>
        <w:jc w:val="both"/>
        <w:ind w:firstLine="509"/>
        <w:spacing w:after="0" w:line="275" w:lineRule="auto"/>
        <w:tabs>
          <w:tab w:leader="none" w:pos="896" w:val="left"/>
        </w:tabs>
        <w:numPr>
          <w:ilvl w:val="0"/>
          <w:numId w:val="229"/>
        </w:numPr>
        <w:rPr>
          <w:rFonts w:ascii="Arial" w:cs="Arial" w:eastAsia="Arial" w:hAnsi="Arial"/>
          <w:sz w:val="15"/>
          <w:szCs w:val="15"/>
          <w:color w:val="auto"/>
        </w:rPr>
      </w:pPr>
      <w:r>
        <w:rPr>
          <w:rFonts w:ascii="Arial" w:cs="Arial" w:eastAsia="Arial" w:hAnsi="Arial"/>
          <w:sz w:val="15"/>
          <w:szCs w:val="15"/>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21" w:lineRule="exact"/>
        <w:rPr>
          <w:rFonts w:ascii="Arial" w:cs="Arial" w:eastAsia="Arial" w:hAnsi="Arial"/>
          <w:sz w:val="15"/>
          <w:szCs w:val="15"/>
          <w:color w:val="auto"/>
        </w:rPr>
      </w:pPr>
    </w:p>
    <w:p>
      <w:pPr>
        <w:jc w:val="both"/>
        <w:ind w:firstLine="509"/>
        <w:spacing w:after="0" w:line="266" w:lineRule="auto"/>
        <w:tabs>
          <w:tab w:leader="none" w:pos="926" w:val="left"/>
        </w:tabs>
        <w:numPr>
          <w:ilvl w:val="0"/>
          <w:numId w:val="229"/>
        </w:numPr>
        <w:rPr>
          <w:rFonts w:ascii="Arial" w:cs="Arial" w:eastAsia="Arial" w:hAnsi="Arial"/>
          <w:sz w:val="15"/>
          <w:szCs w:val="15"/>
          <w:color w:val="auto"/>
        </w:rPr>
      </w:pPr>
      <w:r>
        <w:rPr>
          <w:rFonts w:ascii="Arial" w:cs="Arial" w:eastAsia="Arial" w:hAnsi="Arial"/>
          <w:sz w:val="15"/>
          <w:szCs w:val="15"/>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39" w:lineRule="exact"/>
        <w:rPr>
          <w:rFonts w:ascii="Arial" w:cs="Arial" w:eastAsia="Arial" w:hAnsi="Arial"/>
          <w:sz w:val="15"/>
          <w:szCs w:val="15"/>
          <w:color w:val="auto"/>
        </w:rPr>
      </w:pPr>
    </w:p>
    <w:p>
      <w:pPr>
        <w:ind w:left="860" w:hanging="351"/>
        <w:spacing w:after="0"/>
        <w:tabs>
          <w:tab w:leader="none" w:pos="86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As used in this section: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“BHC Act Affiliate” has the meaning assigned to the term “affiliate” in, and shall be interpreted in accordance with, 12 U.S.C. § 1841(k).</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“Covered Entity” means any of the following:</w:t>
      </w:r>
    </w:p>
    <w:p>
      <w:pPr>
        <w:spacing w:after="0" w:line="185" w:lineRule="exact"/>
        <w:rPr>
          <w:sz w:val="20"/>
          <w:szCs w:val="20"/>
          <w:color w:val="auto"/>
        </w:rPr>
      </w:pPr>
    </w:p>
    <w:p>
      <w:pPr>
        <w:ind w:left="820" w:hanging="311"/>
        <w:spacing w:after="0"/>
        <w:tabs>
          <w:tab w:leader="none" w:pos="82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a “covered entity” as that term is defined in, and interpreted in accordance with, 12 C.F.R. § 252.82(b);</w:t>
      </w:r>
    </w:p>
    <w:p>
      <w:pPr>
        <w:spacing w:after="0" w:line="174" w:lineRule="exact"/>
        <w:rPr>
          <w:rFonts w:ascii="Arial" w:cs="Arial" w:eastAsia="Arial" w:hAnsi="Arial"/>
          <w:sz w:val="15"/>
          <w:szCs w:val="15"/>
          <w:color w:val="auto"/>
        </w:rPr>
      </w:pPr>
    </w:p>
    <w:p>
      <w:pPr>
        <w:ind w:left="860" w:hanging="351"/>
        <w:spacing w:after="0"/>
        <w:tabs>
          <w:tab w:leader="none" w:pos="86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a “covered bank” as that term is defined in, and interpreted in accordance with, 12 C.F.R. § 47.3(b); or</w:t>
      </w:r>
    </w:p>
    <w:p>
      <w:pPr>
        <w:spacing w:after="0" w:line="184" w:lineRule="exact"/>
        <w:rPr>
          <w:rFonts w:ascii="Arial" w:cs="Arial" w:eastAsia="Arial" w:hAnsi="Arial"/>
          <w:sz w:val="15"/>
          <w:szCs w:val="15"/>
          <w:color w:val="auto"/>
        </w:rPr>
      </w:pPr>
    </w:p>
    <w:p>
      <w:pPr>
        <w:ind w:left="880" w:hanging="371"/>
        <w:spacing w:after="0"/>
        <w:tabs>
          <w:tab w:leader="none" w:pos="88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a “covered FSI” as that term is defined in, and interpreted in accordance with, 12 C.F.R. § 382.2(b).</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“Default Right”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280"/>
          </w:cols>
          <w:pgMar w:left="300" w:top="1132" w:right="319" w:bottom="1440" w:gutter="0" w:footer="0" w:header="0"/>
        </w:sectPr>
      </w:pPr>
    </w:p>
    <w:bookmarkStart w:id="373" w:name="page374"/>
    <w:bookmarkEnd w:id="373"/>
    <w:p>
      <w:pPr>
        <w:ind w:left="60" w:firstLine="441"/>
        <w:spacing w:after="0" w:line="303" w:lineRule="auto"/>
        <w:rPr>
          <w:sz w:val="20"/>
          <w:szCs w:val="20"/>
          <w:color w:val="auto"/>
        </w:rPr>
      </w:pPr>
      <w:r>
        <w:rPr>
          <w:rFonts w:ascii="Arial" w:cs="Arial" w:eastAsia="Arial" w:hAnsi="Arial"/>
          <w:sz w:val="15"/>
          <w:szCs w:val="15"/>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01" w:lineRule="exact"/>
        <w:rPr>
          <w:sz w:val="20"/>
          <w:szCs w:val="20"/>
          <w:color w:val="auto"/>
        </w:rPr>
      </w:pPr>
    </w:p>
    <w:p>
      <w:pPr>
        <w:jc w:val="both"/>
        <w:ind w:firstLine="505"/>
        <w:spacing w:after="0" w:line="265" w:lineRule="auto"/>
        <w:rPr>
          <w:sz w:val="20"/>
          <w:szCs w:val="20"/>
          <w:color w:val="auto"/>
        </w:rPr>
      </w:pPr>
      <w:r>
        <w:rPr>
          <w:rFonts w:ascii="Arial" w:cs="Arial" w:eastAsia="Arial" w:hAnsi="Arial"/>
          <w:sz w:val="15"/>
          <w:szCs w:val="15"/>
          <w:color w:val="auto"/>
        </w:rPr>
        <w:t>If the foregoing is in accordance with the Representatives’ understanding, please sign and return to us one for the Company and each of the Representatives plus one for each counsel and the Custodian counterparts hereof, and upon the acceptance hereof by the Representatives, on behalf of each of the Underwriters, this letter and such acceptance hereof shall constitute a binding agreement among each of the Underwriters, the Company and each of the Selling Stockholders. It is understood that the Representatives’ acceptance of this letter on behalf of each of the Underwriters is pursuant to the authority set forth in a form of Agreement among Underwriters, the form of which shall be submitted to the Company and the Selling Stockholders for examination upon request, but without warranty on the Representatives’ part as to the authority of the signers thereof.</w:t>
      </w:r>
    </w:p>
    <w:p>
      <w:pPr>
        <w:spacing w:after="0" w:line="140" w:lineRule="exact"/>
        <w:rPr>
          <w:sz w:val="20"/>
          <w:szCs w:val="20"/>
          <w:color w:val="auto"/>
        </w:rPr>
      </w:pPr>
    </w:p>
    <w:p>
      <w:pPr>
        <w:jc w:val="both"/>
        <w:ind w:firstLine="505"/>
        <w:spacing w:after="0" w:line="288" w:lineRule="auto"/>
        <w:rPr>
          <w:sz w:val="20"/>
          <w:szCs w:val="20"/>
          <w:color w:val="auto"/>
        </w:rPr>
      </w:pPr>
      <w:r>
        <w:rPr>
          <w:rFonts w:ascii="Arial" w:cs="Arial" w:eastAsia="Arial" w:hAnsi="Arial"/>
          <w:sz w:val="15"/>
          <w:szCs w:val="15"/>
          <w:color w:val="auto"/>
        </w:rPr>
        <w:t>Any person executing and delivering this Agreement as Attorney-in-Fact for a Selling Stockholder represents by so doing that he has been duly appointed as Attorney-in-Fact by such Selling Stockholder pursuant to a validly existing and binding Power of Attorney that authorizes such Attorney-in-Fact to take such action.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280"/>
          </w:cols>
          <w:pgMar w:left="300" w:top="1132" w:right="319" w:bottom="1440" w:gutter="0" w:footer="0" w:header="0"/>
        </w:sectPr>
      </w:pPr>
    </w:p>
    <w:bookmarkStart w:id="374" w:name="page375"/>
    <w:bookmarkEnd w:id="374"/>
    <w:p>
      <w:pPr>
        <w:ind w:left="1900"/>
        <w:spacing w:after="0"/>
        <w:rPr>
          <w:sz w:val="20"/>
          <w:szCs w:val="20"/>
          <w:color w:val="auto"/>
        </w:rPr>
      </w:pPr>
      <w:r>
        <w:rPr>
          <w:rFonts w:ascii="Arial" w:cs="Arial" w:eastAsia="Arial" w:hAnsi="Arial"/>
          <w:sz w:val="15"/>
          <w:szCs w:val="15"/>
          <w:color w:val="auto"/>
        </w:rPr>
        <w:t>Very truly yours,</w:t>
      </w: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50"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21590</wp:posOffset>
            </wp:positionV>
            <wp:extent cx="25768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spacing w:after="0" w:line="18"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Name:</w:t>
      </w:r>
    </w:p>
    <w:p>
      <w:pPr>
        <w:spacing w:after="0" w:line="29"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44" w:lineRule="exact"/>
        <w:rPr>
          <w:sz w:val="20"/>
          <w:szCs w:val="20"/>
          <w:color w:val="auto"/>
        </w:rPr>
      </w:pPr>
    </w:p>
    <w:p>
      <w:pPr>
        <w:ind w:left="1900"/>
        <w:spacing w:after="0"/>
        <w:rPr>
          <w:sz w:val="20"/>
          <w:szCs w:val="20"/>
          <w:color w:val="auto"/>
        </w:rPr>
      </w:pPr>
      <w:r>
        <w:rPr>
          <w:rFonts w:ascii="Arial" w:cs="Arial" w:eastAsia="Arial" w:hAnsi="Arial"/>
          <w:sz w:val="15"/>
          <w:szCs w:val="15"/>
          <w:b w:val="1"/>
          <w:bCs w:val="1"/>
          <w:color w:val="auto"/>
        </w:rPr>
        <w:t>Selling Stockholders, acting severally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21590</wp:posOffset>
            </wp:positionV>
            <wp:extent cx="25768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spacing w:after="0" w:line="18"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Name:</w:t>
      </w:r>
    </w:p>
    <w:p>
      <w:pPr>
        <w:spacing w:after="0" w:line="29"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Title:</w:t>
      </w:r>
    </w:p>
    <w:p>
      <w:pPr>
        <w:spacing w:after="0" w:line="14"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As Attorney-in-Fact acting on behalf of each of the Selling</w:t>
      </w:r>
    </w:p>
    <w:p>
      <w:pPr>
        <w:ind w:left="2280"/>
        <w:spacing w:after="0"/>
        <w:rPr>
          <w:sz w:val="20"/>
          <w:szCs w:val="20"/>
          <w:color w:val="auto"/>
        </w:rPr>
      </w:pPr>
      <w:r>
        <w:rPr>
          <w:rFonts w:ascii="Arial" w:cs="Arial" w:eastAsia="Arial" w:hAnsi="Arial"/>
          <w:sz w:val="15"/>
          <w:szCs w:val="15"/>
          <w:color w:val="auto"/>
        </w:rPr>
        <w:t>Stockholders named in Schedule II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ectPr>
          <w:pgSz w:w="11900" w:h="16838" w:orient="portrait"/>
          <w:cols w:equalWidth="0" w:num="1">
            <w:col w:w="9019"/>
          </w:cols>
          <w:pgMar w:left="1440" w:top="1132" w:right="1440" w:bottom="1440" w:gutter="0" w:footer="0" w:header="0"/>
        </w:sectPr>
      </w:pPr>
    </w:p>
    <w:bookmarkStart w:id="375" w:name="page376"/>
    <w:bookmarkEnd w:id="375"/>
    <w:p>
      <w:pPr>
        <w:spacing w:after="0"/>
        <w:rPr>
          <w:sz w:val="20"/>
          <w:szCs w:val="20"/>
          <w:color w:val="auto"/>
        </w:rPr>
      </w:pPr>
      <w:r>
        <w:rPr>
          <w:rFonts w:ascii="Arial" w:cs="Arial" w:eastAsia="Arial" w:hAnsi="Arial"/>
          <w:sz w:val="15"/>
          <w:szCs w:val="15"/>
          <w:color w:val="auto"/>
        </w:rPr>
        <w:t>Accepted as of the date hereof:</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Goldman Sachs &amp; Co. LLC</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21590</wp:posOffset>
            </wp:positionV>
            <wp:extent cx="351790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3517900" cy="6985"/>
                    </a:xfrm>
                    <a:prstGeom prst="rect">
                      <a:avLst/>
                    </a:prstGeom>
                    <a:noFill/>
                  </pic:spPr>
                </pic:pic>
              </a:graphicData>
            </a:graphic>
          </wp:anchor>
        </w:drawing>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Name:</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J.P. Morgan Securities LLC</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21590</wp:posOffset>
            </wp:positionV>
            <wp:extent cx="351790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3517900" cy="6985"/>
                    </a:xfrm>
                    <a:prstGeom prst="rect">
                      <a:avLst/>
                    </a:prstGeom>
                    <a:noFill/>
                  </pic:spPr>
                </pic:pic>
              </a:graphicData>
            </a:graphic>
          </wp:anchor>
        </w:drawing>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Name:</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On behalf of each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299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ectPr>
          <w:pgSz w:w="11900" w:h="16838" w:orient="portrait"/>
          <w:cols w:equalWidth="0" w:num="1">
            <w:col w:w="10159"/>
          </w:cols>
          <w:pgMar w:left="300" w:top="1132" w:right="1440" w:bottom="1440" w:gutter="0" w:footer="0" w:header="0"/>
        </w:sectPr>
      </w:pPr>
    </w:p>
    <w:bookmarkStart w:id="376" w:name="page377"/>
    <w:bookmarkEnd w:id="376"/>
    <w:tbl>
      <w:tblPr>
        <w:tblLayout w:type="fixed"/>
        <w:tblInd w:w="40" w:type="dxa"/>
        <w:tblCellMar>
          <w:top w:w="0" w:type="dxa"/>
          <w:left w:w="0" w:type="dxa"/>
          <w:bottom w:w="0" w:type="dxa"/>
          <w:right w:w="0" w:type="dxa"/>
        </w:tblCellMar>
      </w:tblPr>
      <w:tr>
        <w:trPr>
          <w:trHeight w:val="211"/>
        </w:trPr>
        <w:tc>
          <w:tcPr>
            <w:tcW w:w="2980" w:type="dxa"/>
            <w:vAlign w:val="bottom"/>
          </w:tcPr>
          <w:p>
            <w:pPr>
              <w:spacing w:after="0"/>
              <w:rPr>
                <w:sz w:val="18"/>
                <w:szCs w:val="18"/>
                <w:color w:val="auto"/>
              </w:rPr>
            </w:pPr>
          </w:p>
        </w:tc>
        <w:tc>
          <w:tcPr>
            <w:tcW w:w="6180" w:type="dxa"/>
            <w:vAlign w:val="bottom"/>
          </w:tcPr>
          <w:p>
            <w:pPr>
              <w:ind w:left="2140"/>
              <w:spacing w:after="0"/>
              <w:rPr>
                <w:sz w:val="20"/>
                <w:szCs w:val="20"/>
                <w:color w:val="auto"/>
              </w:rPr>
            </w:pPr>
            <w:r>
              <w:rPr>
                <w:rFonts w:ascii="Arial" w:cs="Arial" w:eastAsia="Arial" w:hAnsi="Arial"/>
                <w:sz w:val="15"/>
                <w:szCs w:val="15"/>
                <w:b w:val="1"/>
                <w:bCs w:val="1"/>
                <w:color w:val="auto"/>
              </w:rPr>
              <w:t>SCHEDULE 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29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0" w:type="dxa"/>
            <w:vAlign w:val="bottom"/>
          </w:tcPr>
          <w:p>
            <w:pPr>
              <w:jc w:val="center"/>
              <w:ind w:left="43"/>
              <w:spacing w:after="0"/>
              <w:rPr>
                <w:sz w:val="20"/>
                <w:szCs w:val="20"/>
                <w:color w:val="auto"/>
              </w:rPr>
            </w:pPr>
            <w:r>
              <w:rPr>
                <w:rFonts w:ascii="Arial" w:cs="Arial" w:eastAsia="Arial" w:hAnsi="Arial"/>
                <w:sz w:val="15"/>
                <w:szCs w:val="15"/>
                <w:b w:val="1"/>
                <w:bCs w:val="1"/>
                <w:color w:val="auto"/>
              </w:rPr>
              <w:t>Number of Optional</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6180" w:type="dxa"/>
            <w:vAlign w:val="bottom"/>
            <w:vMerge w:val="restart"/>
          </w:tcPr>
          <w:p>
            <w:pPr>
              <w:jc w:val="center"/>
              <w:ind w:left="4123"/>
              <w:spacing w:after="0"/>
              <w:rPr>
                <w:sz w:val="20"/>
                <w:szCs w:val="20"/>
                <w:color w:val="auto"/>
              </w:rPr>
            </w:pPr>
            <w:r>
              <w:rPr>
                <w:rFonts w:ascii="Arial" w:cs="Arial" w:eastAsia="Arial" w:hAnsi="Arial"/>
                <w:sz w:val="15"/>
                <w:szCs w:val="15"/>
                <w:b w:val="1"/>
                <w:bCs w:val="1"/>
                <w:color w:val="auto"/>
              </w:rPr>
              <w:t>Total Number of Firm</w:t>
            </w:r>
          </w:p>
        </w:tc>
        <w:tc>
          <w:tcPr>
            <w:tcW w:w="2000" w:type="dxa"/>
            <w:vAlign w:val="bottom"/>
          </w:tcPr>
          <w:p>
            <w:pPr>
              <w:jc w:val="center"/>
              <w:ind w:left="43"/>
              <w:spacing w:after="0" w:line="149" w:lineRule="exact"/>
              <w:rPr>
                <w:sz w:val="20"/>
                <w:szCs w:val="20"/>
                <w:color w:val="auto"/>
              </w:rPr>
            </w:pPr>
            <w:r>
              <w:rPr>
                <w:rFonts w:ascii="Arial" w:cs="Arial" w:eastAsia="Arial" w:hAnsi="Arial"/>
                <w:sz w:val="15"/>
                <w:szCs w:val="15"/>
                <w:b w:val="1"/>
                <w:bCs w:val="1"/>
                <w:color w:val="auto"/>
              </w:rPr>
              <w:t>Shares to be Purchased if</w:t>
            </w:r>
          </w:p>
        </w:tc>
        <w:tc>
          <w:tcPr>
            <w:tcW w:w="0" w:type="dxa"/>
            <w:vAlign w:val="bottom"/>
          </w:tcPr>
          <w:p>
            <w:pPr>
              <w:spacing w:after="0"/>
              <w:rPr>
                <w:sz w:val="1"/>
                <w:szCs w:val="1"/>
                <w:color w:val="auto"/>
              </w:rPr>
            </w:pPr>
          </w:p>
        </w:tc>
      </w:tr>
      <w:tr>
        <w:trPr>
          <w:trHeight w:val="166"/>
        </w:trPr>
        <w:tc>
          <w:tcPr>
            <w:tcW w:w="2980" w:type="dxa"/>
            <w:vAlign w:val="bottom"/>
            <w:vMerge w:val="restart"/>
          </w:tcPr>
          <w:p>
            <w:pPr>
              <w:spacing w:after="0"/>
              <w:rPr>
                <w:sz w:val="20"/>
                <w:szCs w:val="20"/>
                <w:color w:val="auto"/>
              </w:rPr>
            </w:pPr>
            <w:r>
              <w:rPr>
                <w:rFonts w:ascii="Arial" w:cs="Arial" w:eastAsia="Arial" w:hAnsi="Arial"/>
                <w:sz w:val="15"/>
                <w:szCs w:val="15"/>
                <w:b w:val="1"/>
                <w:bCs w:val="1"/>
                <w:color w:val="auto"/>
              </w:rPr>
              <w:t>Underwriter</w:t>
            </w:r>
          </w:p>
        </w:tc>
        <w:tc>
          <w:tcPr>
            <w:tcW w:w="6180" w:type="dxa"/>
            <w:vAlign w:val="bottom"/>
            <w:vMerge w:val="continue"/>
          </w:tcPr>
          <w:p>
            <w:pPr>
              <w:spacing w:after="0"/>
              <w:rPr>
                <w:sz w:val="14"/>
                <w:szCs w:val="14"/>
                <w:color w:val="auto"/>
              </w:rPr>
            </w:pPr>
          </w:p>
        </w:tc>
        <w:tc>
          <w:tcPr>
            <w:tcW w:w="2000" w:type="dxa"/>
            <w:vAlign w:val="bottom"/>
          </w:tcPr>
          <w:p>
            <w:pPr>
              <w:jc w:val="center"/>
              <w:ind w:left="43"/>
              <w:spacing w:after="0" w:line="166" w:lineRule="exact"/>
              <w:rPr>
                <w:sz w:val="20"/>
                <w:szCs w:val="20"/>
                <w:color w:val="auto"/>
              </w:rPr>
            </w:pPr>
            <w:r>
              <w:rPr>
                <w:rFonts w:ascii="Arial" w:cs="Arial" w:eastAsia="Arial" w:hAnsi="Arial"/>
                <w:sz w:val="15"/>
                <w:szCs w:val="15"/>
                <w:b w:val="1"/>
                <w:bCs w:val="1"/>
                <w:color w:val="auto"/>
              </w:rPr>
              <w:t>Maximum Option</w:t>
            </w:r>
          </w:p>
        </w:tc>
        <w:tc>
          <w:tcPr>
            <w:tcW w:w="0" w:type="dxa"/>
            <w:vAlign w:val="bottom"/>
          </w:tcPr>
          <w:p>
            <w:pPr>
              <w:spacing w:after="0"/>
              <w:rPr>
                <w:sz w:val="1"/>
                <w:szCs w:val="1"/>
                <w:color w:val="auto"/>
              </w:rPr>
            </w:pPr>
          </w:p>
        </w:tc>
      </w:tr>
      <w:tr>
        <w:trPr>
          <w:trHeight w:val="211"/>
        </w:trPr>
        <w:tc>
          <w:tcPr>
            <w:tcW w:w="2980" w:type="dxa"/>
            <w:vAlign w:val="bottom"/>
            <w:vMerge w:val="continue"/>
          </w:tcPr>
          <w:p>
            <w:pPr>
              <w:spacing w:after="0"/>
              <w:rPr>
                <w:sz w:val="18"/>
                <w:szCs w:val="18"/>
                <w:color w:val="auto"/>
              </w:rPr>
            </w:pPr>
          </w:p>
        </w:tc>
        <w:tc>
          <w:tcPr>
            <w:tcW w:w="6180" w:type="dxa"/>
            <w:vAlign w:val="bottom"/>
          </w:tcPr>
          <w:p>
            <w:pPr>
              <w:jc w:val="center"/>
              <w:ind w:left="4123"/>
              <w:spacing w:after="0"/>
              <w:rPr>
                <w:sz w:val="20"/>
                <w:szCs w:val="20"/>
                <w:color w:val="auto"/>
              </w:rPr>
            </w:pPr>
            <w:r>
              <w:rPr>
                <w:rFonts w:ascii="Arial" w:cs="Arial" w:eastAsia="Arial" w:hAnsi="Arial"/>
                <w:sz w:val="15"/>
                <w:szCs w:val="15"/>
                <w:b w:val="1"/>
                <w:bCs w:val="1"/>
                <w:color w:val="auto"/>
              </w:rPr>
              <w:t>Shares to be Purchased</w:t>
            </w:r>
          </w:p>
        </w:tc>
        <w:tc>
          <w:tcPr>
            <w:tcW w:w="2000" w:type="dxa"/>
            <w:vAlign w:val="bottom"/>
          </w:tcPr>
          <w:p>
            <w:pPr>
              <w:jc w:val="center"/>
              <w:ind w:left="43"/>
              <w:spacing w:after="0"/>
              <w:rPr>
                <w:sz w:val="20"/>
                <w:szCs w:val="20"/>
                <w:color w:val="auto"/>
              </w:rPr>
            </w:pPr>
            <w:r>
              <w:rPr>
                <w:rFonts w:ascii="Arial" w:cs="Arial" w:eastAsia="Arial" w:hAnsi="Arial"/>
                <w:sz w:val="15"/>
                <w:szCs w:val="15"/>
                <w:b w:val="1"/>
                <w:bCs w:val="1"/>
                <w:color w:val="auto"/>
              </w:rPr>
              <w:t>Exercised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714946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4946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Goldman Sachs &amp; Co. LLC</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Citigroup Global Markets Inc.</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Wells Fargo Securities, LLC</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RBC Capital Markets, LLC</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Citizens JMP Securities, LLC</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Keefe, Bruyette &amp; Woods, Inc.</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34925</wp:posOffset>
            </wp:positionV>
            <wp:extent cx="255016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2550160" cy="6985"/>
                    </a:xfrm>
                    <a:prstGeom prst="rect">
                      <a:avLst/>
                    </a:prstGeom>
                    <a:noFill/>
                  </pic:spPr>
                </pic:pic>
              </a:graphicData>
            </a:graphic>
          </wp:anchor>
        </w:drawing>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34925</wp:posOffset>
            </wp:positionV>
            <wp:extent cx="25501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2550160" cy="698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377" w:name="page378"/>
    <w:bookmarkEnd w:id="377"/>
    <w:tbl>
      <w:tblPr>
        <w:tblLayout w:type="fixed"/>
        <w:tblInd w:w="13" w:type="dxa"/>
        <w:tblCellMar>
          <w:top w:w="0" w:type="dxa"/>
          <w:left w:w="0" w:type="dxa"/>
          <w:bottom w:w="0" w:type="dxa"/>
          <w:right w:w="0" w:type="dxa"/>
        </w:tblCellMar>
      </w:tblPr>
      <w:tr>
        <w:trPr>
          <w:trHeight w:val="211"/>
        </w:trPr>
        <w:tc>
          <w:tcPr>
            <w:tcW w:w="9160" w:type="dxa"/>
            <w:vAlign w:val="bottom"/>
            <w:gridSpan w:val="4"/>
          </w:tcPr>
          <w:p>
            <w:pPr>
              <w:ind w:left="5080"/>
              <w:spacing w:after="0"/>
              <w:rPr>
                <w:sz w:val="20"/>
                <w:szCs w:val="20"/>
                <w:color w:val="auto"/>
              </w:rPr>
            </w:pPr>
            <w:r>
              <w:rPr>
                <w:rFonts w:ascii="Arial" w:cs="Arial" w:eastAsia="Arial" w:hAnsi="Arial"/>
                <w:sz w:val="15"/>
                <w:szCs w:val="15"/>
                <w:b w:val="1"/>
                <w:bCs w:val="1"/>
                <w:color w:val="auto"/>
              </w:rPr>
              <w:t>SCHEDULE II</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7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rPr>
              <w:t>Number of Optional</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rPr>
              <w:t>Total Number of Firm</w:t>
            </w:r>
          </w:p>
        </w:tc>
        <w:tc>
          <w:tcPr>
            <w:tcW w:w="18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rPr>
              <w:t>Shares to be Sold if</w:t>
            </w:r>
          </w:p>
        </w:tc>
        <w:tc>
          <w:tcPr>
            <w:tcW w:w="0" w:type="dxa"/>
            <w:vAlign w:val="bottom"/>
          </w:tcPr>
          <w:p>
            <w:pPr>
              <w:spacing w:after="0"/>
              <w:rPr>
                <w:sz w:val="1"/>
                <w:szCs w:val="1"/>
                <w:color w:val="auto"/>
              </w:rPr>
            </w:pPr>
          </w:p>
        </w:tc>
      </w:tr>
      <w:tr>
        <w:trPr>
          <w:trHeight w:val="166"/>
        </w:trPr>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8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rPr>
              <w:t>Maximum Option</w:t>
            </w:r>
          </w:p>
        </w:tc>
        <w:tc>
          <w:tcPr>
            <w:tcW w:w="0" w:type="dxa"/>
            <w:vAlign w:val="bottom"/>
          </w:tcPr>
          <w:p>
            <w:pPr>
              <w:spacing w:after="0"/>
              <w:rPr>
                <w:sz w:val="1"/>
                <w:szCs w:val="1"/>
                <w:color w:val="auto"/>
              </w:rPr>
            </w:pPr>
          </w:p>
        </w:tc>
      </w:tr>
      <w:tr>
        <w:trPr>
          <w:trHeight w:val="200"/>
        </w:trPr>
        <w:tc>
          <w:tcPr>
            <w:tcW w:w="7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Shares to be Sold</w:t>
            </w:r>
          </w:p>
        </w:tc>
        <w:tc>
          <w:tcPr>
            <w:tcW w:w="10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Exercised</w:t>
            </w:r>
          </w:p>
        </w:tc>
        <w:tc>
          <w:tcPr>
            <w:tcW w:w="0" w:type="dxa"/>
            <w:vAlign w:val="bottom"/>
          </w:tcPr>
          <w:p>
            <w:pPr>
              <w:spacing w:after="0"/>
              <w:rPr>
                <w:sz w:val="1"/>
                <w:szCs w:val="1"/>
                <w:color w:val="auto"/>
              </w:rPr>
            </w:pPr>
          </w:p>
        </w:tc>
      </w:tr>
      <w:tr>
        <w:trPr>
          <w:trHeight w:val="196"/>
        </w:trPr>
        <w:tc>
          <w:tcPr>
            <w:tcW w:w="9160" w:type="dxa"/>
            <w:vAlign w:val="bottom"/>
            <w:gridSpan w:val="4"/>
          </w:tcPr>
          <w:p>
            <w:pPr>
              <w:ind w:left="60"/>
              <w:spacing w:after="0"/>
              <w:rPr>
                <w:sz w:val="20"/>
                <w:szCs w:val="20"/>
                <w:color w:val="auto"/>
              </w:rPr>
            </w:pPr>
            <w:r>
              <w:rPr>
                <w:rFonts w:ascii="Arial" w:cs="Arial" w:eastAsia="Arial" w:hAnsi="Arial"/>
                <w:sz w:val="15"/>
                <w:szCs w:val="15"/>
                <w:color w:val="auto"/>
              </w:rPr>
              <w:t>The Company</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160" w:type="dxa"/>
            <w:vAlign w:val="bottom"/>
            <w:gridSpan w:val="4"/>
          </w:tcPr>
          <w:p>
            <w:pPr>
              <w:ind w:left="60"/>
              <w:spacing w:after="0"/>
              <w:rPr>
                <w:sz w:val="20"/>
                <w:szCs w:val="20"/>
                <w:color w:val="auto"/>
              </w:rPr>
            </w:pPr>
            <w:r>
              <w:rPr>
                <w:rFonts w:ascii="Arial" w:cs="Arial" w:eastAsia="Arial" w:hAnsi="Arial"/>
                <w:sz w:val="15"/>
                <w:szCs w:val="15"/>
                <w:color w:val="auto"/>
              </w:rPr>
              <w:t>The Selling Stockholders</w:t>
            </w:r>
            <w:r>
              <w:rPr>
                <w:rFonts w:ascii="Arial" w:cs="Arial" w:eastAsia="Arial" w:hAnsi="Arial"/>
                <w:sz w:val="20"/>
                <w:szCs w:val="20"/>
                <w:color w:val="auto"/>
                <w:vertAlign w:val="superscript"/>
              </w:rPr>
              <w:t>(a)</w:t>
            </w:r>
            <w:r>
              <w:rPr>
                <w:rFonts w:ascii="Arial" w:cs="Arial" w:eastAsia="Arial" w:hAnsi="Arial"/>
                <w:sz w:val="15"/>
                <w:szCs w:val="15"/>
                <w:color w:val="auto"/>
              </w:rPr>
              <w:t>:</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91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91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91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91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91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91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91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91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188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718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53" w:hanging="353"/>
        <w:spacing w:after="0"/>
        <w:tabs>
          <w:tab w:leader="none" w:pos="353" w:val="left"/>
        </w:tabs>
        <w:numPr>
          <w:ilvl w:val="0"/>
          <w:numId w:val="231"/>
        </w:numPr>
        <w:rPr>
          <w:rFonts w:ascii="Arial" w:cs="Arial" w:eastAsia="Arial" w:hAnsi="Arial"/>
          <w:sz w:val="15"/>
          <w:szCs w:val="15"/>
          <w:color w:val="auto"/>
        </w:rPr>
      </w:pPr>
      <w:r>
        <w:rPr>
          <w:rFonts w:ascii="Arial" w:cs="Arial" w:eastAsia="Arial" w:hAnsi="Arial"/>
          <w:sz w:val="15"/>
          <w:szCs w:val="15"/>
          <w:color w:val="auto"/>
        </w:rPr>
        <w:t>Each Selling Stockholder is represented by [ • ] and has appointed [ • ], and each of them, as the Attorneys-in-Fact for such Selling Stockholder.</w:t>
      </w:r>
    </w:p>
    <w:p>
      <w:pPr>
        <w:sectPr>
          <w:pgSz w:w="11900" w:h="16838" w:orient="portrait"/>
          <w:cols w:equalWidth="0" w:num="1">
            <w:col w:w="11053"/>
          </w:cols>
          <w:pgMar w:left="367" w:top="1129" w:right="479" w:bottom="1440" w:gutter="0" w:footer="0" w:header="0"/>
        </w:sectPr>
      </w:pPr>
    </w:p>
    <w:bookmarkStart w:id="378" w:name="page379"/>
    <w:bookmarkEnd w:id="378"/>
    <w:p>
      <w:pPr>
        <w:ind w:left="5136"/>
        <w:spacing w:after="0"/>
        <w:rPr>
          <w:sz w:val="20"/>
          <w:szCs w:val="20"/>
          <w:color w:val="auto"/>
        </w:rPr>
      </w:pPr>
      <w:r>
        <w:rPr>
          <w:rFonts w:ascii="Arial" w:cs="Arial" w:eastAsia="Arial" w:hAnsi="Arial"/>
          <w:sz w:val="15"/>
          <w:szCs w:val="15"/>
          <w:b w:val="1"/>
          <w:bCs w:val="1"/>
          <w:color w:val="auto"/>
        </w:rPr>
        <w:t>SCHEDULE III</w:t>
      </w:r>
    </w:p>
    <w:p>
      <w:pPr>
        <w:spacing w:after="0" w:line="187" w:lineRule="exact"/>
        <w:rPr>
          <w:sz w:val="20"/>
          <w:szCs w:val="20"/>
          <w:color w:val="auto"/>
        </w:rPr>
      </w:pPr>
    </w:p>
    <w:p>
      <w:pPr>
        <w:ind w:left="1016" w:right="4259" w:hanging="1016"/>
        <w:spacing w:after="0" w:line="490" w:lineRule="auto"/>
        <w:tabs>
          <w:tab w:leader="none" w:pos="366"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Issuer Free Writing Prospectuses not included in the Pricing Disclosure Package: Electronic roadshow dated [ • ].</w:t>
      </w:r>
    </w:p>
    <w:p>
      <w:pPr>
        <w:ind w:left="356" w:hanging="356"/>
        <w:spacing w:after="0"/>
        <w:tabs>
          <w:tab w:leader="none" w:pos="356" w:val="left"/>
        </w:tabs>
        <w:numPr>
          <w:ilvl w:val="0"/>
          <w:numId w:val="232"/>
        </w:numPr>
        <w:rPr>
          <w:rFonts w:ascii="Arial" w:cs="Arial" w:eastAsia="Arial" w:hAnsi="Arial"/>
          <w:sz w:val="15"/>
          <w:szCs w:val="15"/>
          <w:color w:val="auto"/>
        </w:rPr>
      </w:pPr>
      <w:r>
        <w:rPr>
          <w:rFonts w:ascii="Arial" w:cs="Arial" w:eastAsia="Arial" w:hAnsi="Arial"/>
          <w:sz w:val="15"/>
          <w:szCs w:val="15"/>
          <w:color w:val="auto"/>
        </w:rPr>
        <w:t>Additional Documents Incorporated by Reference:</w:t>
      </w:r>
    </w:p>
    <w:p>
      <w:pPr>
        <w:spacing w:after="0" w:line="174" w:lineRule="exact"/>
        <w:rPr>
          <w:sz w:val="20"/>
          <w:szCs w:val="20"/>
          <w:color w:val="auto"/>
        </w:rPr>
      </w:pPr>
    </w:p>
    <w:p>
      <w:pPr>
        <w:ind w:left="1016"/>
        <w:spacing w:after="0"/>
        <w:rPr>
          <w:sz w:val="20"/>
          <w:szCs w:val="20"/>
          <w:color w:val="auto"/>
        </w:rPr>
      </w:pPr>
      <w:r>
        <w:rPr>
          <w:rFonts w:ascii="Arial" w:cs="Arial" w:eastAsia="Arial" w:hAnsi="Arial"/>
          <w:sz w:val="15"/>
          <w:szCs w:val="15"/>
          <w:color w:val="auto"/>
        </w:rPr>
        <w:t>[None.]</w:t>
      </w:r>
    </w:p>
    <w:p>
      <w:pPr>
        <w:spacing w:after="0" w:line="185" w:lineRule="exact"/>
        <w:rPr>
          <w:sz w:val="20"/>
          <w:szCs w:val="20"/>
          <w:color w:val="auto"/>
        </w:rPr>
      </w:pPr>
    </w:p>
    <w:p>
      <w:pPr>
        <w:ind w:left="1016" w:right="3519" w:hanging="1016"/>
        <w:spacing w:after="0" w:line="490" w:lineRule="auto"/>
        <w:tabs>
          <w:tab w:leader="none" w:pos="358" w:val="left"/>
        </w:tabs>
        <w:numPr>
          <w:ilvl w:val="0"/>
          <w:numId w:val="233"/>
        </w:numPr>
        <w:rPr>
          <w:rFonts w:ascii="Arial" w:cs="Arial" w:eastAsia="Arial" w:hAnsi="Arial"/>
          <w:sz w:val="15"/>
          <w:szCs w:val="15"/>
          <w:color w:val="auto"/>
        </w:rPr>
      </w:pPr>
      <w:r>
        <w:rPr>
          <w:rFonts w:ascii="Arial" w:cs="Arial" w:eastAsia="Arial" w:hAnsi="Arial"/>
          <w:sz w:val="15"/>
          <w:szCs w:val="15"/>
          <w:color w:val="auto"/>
        </w:rPr>
        <w:t>Information other than the Pricing Prospectus that comprise the Pricing Disclosure Package: The initial public offering price per share for the Shares is $[ • ].</w:t>
      </w:r>
    </w:p>
    <w:p>
      <w:pPr>
        <w:ind w:left="1016"/>
        <w:spacing w:after="0"/>
        <w:rPr>
          <w:rFonts w:ascii="Arial" w:cs="Arial" w:eastAsia="Arial" w:hAnsi="Arial"/>
          <w:sz w:val="15"/>
          <w:szCs w:val="15"/>
          <w:color w:val="auto"/>
        </w:rPr>
      </w:pPr>
      <w:r>
        <w:rPr>
          <w:rFonts w:ascii="Arial" w:cs="Arial" w:eastAsia="Arial" w:hAnsi="Arial"/>
          <w:sz w:val="15"/>
          <w:szCs w:val="15"/>
          <w:color w:val="auto"/>
        </w:rPr>
        <w:t>The number of Firm Shares purchased by the Underwriters is [ • ].</w:t>
      </w:r>
    </w:p>
    <w:p>
      <w:pPr>
        <w:spacing w:after="0" w:line="184" w:lineRule="exact"/>
        <w:rPr>
          <w:rFonts w:ascii="Arial" w:cs="Arial" w:eastAsia="Arial" w:hAnsi="Arial"/>
          <w:sz w:val="15"/>
          <w:szCs w:val="15"/>
          <w:color w:val="auto"/>
        </w:rPr>
      </w:pPr>
    </w:p>
    <w:p>
      <w:pPr>
        <w:ind w:left="356" w:hanging="356"/>
        <w:spacing w:after="0"/>
        <w:tabs>
          <w:tab w:leader="none" w:pos="356" w:val="left"/>
        </w:tabs>
        <w:numPr>
          <w:ilvl w:val="0"/>
          <w:numId w:val="233"/>
        </w:numPr>
        <w:rPr>
          <w:rFonts w:ascii="Arial" w:cs="Arial" w:eastAsia="Arial" w:hAnsi="Arial"/>
          <w:sz w:val="15"/>
          <w:szCs w:val="15"/>
          <w:color w:val="auto"/>
        </w:rPr>
      </w:pPr>
      <w:r>
        <w:rPr>
          <w:rFonts w:ascii="Arial" w:cs="Arial" w:eastAsia="Arial" w:hAnsi="Arial"/>
          <w:sz w:val="15"/>
          <w:szCs w:val="15"/>
          <w:color w:val="auto"/>
        </w:rPr>
        <w:t>Written Testing-the-Waters Communications:</w:t>
      </w:r>
    </w:p>
    <w:p>
      <w:pPr>
        <w:spacing w:after="0" w:line="174" w:lineRule="exact"/>
        <w:rPr>
          <w:sz w:val="20"/>
          <w:szCs w:val="20"/>
          <w:color w:val="auto"/>
        </w:rPr>
      </w:pPr>
    </w:p>
    <w:p>
      <w:pPr>
        <w:ind w:left="1016"/>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w:t>
      </w:r>
    </w:p>
    <w:p>
      <w:pPr>
        <w:sectPr>
          <w:pgSz w:w="11900" w:h="16838" w:orient="portrait"/>
          <w:cols w:equalWidth="0" w:num="1">
            <w:col w:w="10155"/>
          </w:cols>
          <w:pgMar w:left="304" w:top="1130" w:right="1440" w:bottom="1440" w:gutter="0" w:footer="0" w:header="0"/>
        </w:sectPr>
      </w:pPr>
    </w:p>
    <w:bookmarkStart w:id="379" w:name="page380"/>
    <w:bookmarkEnd w:id="379"/>
    <w:p>
      <w:pPr>
        <w:jc w:val="right"/>
        <w:spacing w:after="0"/>
        <w:rPr>
          <w:sz w:val="20"/>
          <w:szCs w:val="20"/>
          <w:color w:val="auto"/>
        </w:rPr>
      </w:pPr>
      <w:r>
        <w:rPr>
          <w:rFonts w:ascii="Arial" w:cs="Arial" w:eastAsia="Arial" w:hAnsi="Arial"/>
          <w:sz w:val="15"/>
          <w:szCs w:val="15"/>
          <w:b w:val="1"/>
          <w:bCs w:val="1"/>
          <w:color w:val="auto"/>
        </w:rPr>
        <w:t>ANNEX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Press Release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Wealthfront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Wealthfront Corporation (the “Company”) announced today that Goldman Sachs &amp; Co. LLC and J.P. Morgan Securities LLC, the lead book-running managers in the Company’s recent public sale of [ • ] shares of the Company’s common stock, are [waiving] [releasing] a lock-up restriction with respect to [ • ] shares of the Company’s common stock held by [certain officers or directors] [an officer or director] of the Company. The [waiver] [release] will take effect on [ • ], and the shares may be sold on or after such date.</w:t>
      </w:r>
    </w:p>
    <w:p>
      <w:pPr>
        <w:spacing w:after="0" w:line="13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280"/>
          </w:cols>
          <w:pgMar w:left="300" w:top="1130" w:right="319" w:bottom="1440" w:gutter="0" w:footer="0" w:header="0"/>
        </w:sectPr>
      </w:pPr>
    </w:p>
    <w:bookmarkStart w:id="380" w:name="page381"/>
    <w:bookmarkEnd w:id="380"/>
    <w:p>
      <w:pPr>
        <w:jc w:val="right"/>
        <w:spacing w:after="0"/>
        <w:rPr>
          <w:sz w:val="20"/>
          <w:szCs w:val="20"/>
          <w:color w:val="auto"/>
        </w:rPr>
      </w:pPr>
      <w:r>
        <w:rPr>
          <w:rFonts w:ascii="Arial" w:cs="Arial" w:eastAsia="Arial" w:hAnsi="Arial"/>
          <w:sz w:val="15"/>
          <w:szCs w:val="15"/>
          <w:b w:val="1"/>
          <w:bCs w:val="1"/>
          <w:color w:val="auto"/>
        </w:rPr>
        <w:t>ANNEX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Lock-up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 xml:space="preserve"> ], 2025</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Representatives of the several Underwriters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named in Schedule I to the Underwriting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rPr>
          <w:sz w:val="20"/>
          <w:szCs w:val="20"/>
          <w:color w:val="auto"/>
        </w:rPr>
      </w:pPr>
      <w:r>
        <w:rPr>
          <w:rFonts w:ascii="Arial" w:cs="Arial" w:eastAsia="Arial" w:hAnsi="Arial"/>
          <w:sz w:val="15"/>
          <w:szCs w:val="15"/>
          <w:color w:val="auto"/>
        </w:rPr>
        <w:t>New York, New York 10282-2198</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383 Madison Avenue</w:t>
      </w:r>
    </w:p>
    <w:p>
      <w:pPr>
        <w:spacing w:after="0"/>
        <w:rPr>
          <w:sz w:val="20"/>
          <w:szCs w:val="20"/>
          <w:color w:val="auto"/>
        </w:rPr>
      </w:pPr>
      <w:r>
        <w:rPr>
          <w:rFonts w:ascii="Arial" w:cs="Arial" w:eastAsia="Arial" w:hAnsi="Arial"/>
          <w:sz w:val="15"/>
          <w:szCs w:val="15"/>
          <w:color w:val="auto"/>
        </w:rPr>
        <w:t>New York, New York 10179</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 </w:t>
      </w:r>
      <w:r>
        <w:rPr>
          <w:rFonts w:ascii="Arial" w:cs="Arial" w:eastAsia="Arial" w:hAnsi="Arial"/>
          <w:sz w:val="15"/>
          <w:szCs w:val="15"/>
          <w:u w:val="single" w:color="auto"/>
          <w:color w:val="auto"/>
        </w:rPr>
        <w:t>Wealthfront Corporation – Lock-Up Agreement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5" w:lineRule="exact"/>
        <w:rPr>
          <w:sz w:val="20"/>
          <w:szCs w:val="20"/>
          <w:color w:val="auto"/>
        </w:rPr>
      </w:pPr>
    </w:p>
    <w:p>
      <w:pPr>
        <w:jc w:val="both"/>
        <w:ind w:firstLine="505"/>
        <w:spacing w:after="0" w:line="247" w:lineRule="auto"/>
        <w:rPr>
          <w:sz w:val="20"/>
          <w:szCs w:val="20"/>
          <w:color w:val="auto"/>
        </w:rPr>
      </w:pPr>
      <w:r>
        <w:rPr>
          <w:rFonts w:ascii="Arial" w:cs="Arial" w:eastAsia="Arial" w:hAnsi="Arial"/>
          <w:sz w:val="15"/>
          <w:szCs w:val="15"/>
          <w:color w:val="auto"/>
        </w:rPr>
        <w:t>The undersigned understands that Goldman Sachs &amp; Co. LLC and J.P. Morgan Securities LLC, as representatives (the “</w:t>
      </w:r>
      <w:r>
        <w:rPr>
          <w:rFonts w:ascii="Arial" w:cs="Arial" w:eastAsia="Arial" w:hAnsi="Arial"/>
          <w:sz w:val="15"/>
          <w:szCs w:val="15"/>
          <w:u w:val="single" w:color="auto"/>
          <w:color w:val="auto"/>
        </w:rPr>
        <w:t>Representatives</w:t>
      </w:r>
      <w:r>
        <w:rPr>
          <w:rFonts w:ascii="Arial" w:cs="Arial" w:eastAsia="Arial" w:hAnsi="Arial"/>
          <w:sz w:val="15"/>
          <w:szCs w:val="15"/>
          <w:color w:val="auto"/>
        </w:rPr>
        <w:t>”), propose to enter into an underwriting agreement (the “</w:t>
      </w:r>
      <w:r>
        <w:rPr>
          <w:rFonts w:ascii="Arial" w:cs="Arial" w:eastAsia="Arial" w:hAnsi="Arial"/>
          <w:sz w:val="15"/>
          <w:szCs w:val="15"/>
          <w:u w:val="single" w:color="auto"/>
          <w:color w:val="auto"/>
        </w:rPr>
        <w:t>Underwriting Agreement</w:t>
      </w:r>
      <w:r>
        <w:rPr>
          <w:rFonts w:ascii="Arial" w:cs="Arial" w:eastAsia="Arial" w:hAnsi="Arial"/>
          <w:sz w:val="15"/>
          <w:szCs w:val="15"/>
          <w:color w:val="auto"/>
        </w:rPr>
        <w:t>”) on behalf of the several Underwriters named in Schedule I to such agreement (collectively, the “</w:t>
      </w:r>
      <w:r>
        <w:rPr>
          <w:rFonts w:ascii="Arial" w:cs="Arial" w:eastAsia="Arial" w:hAnsi="Arial"/>
          <w:sz w:val="15"/>
          <w:szCs w:val="15"/>
          <w:u w:val="single" w:color="auto"/>
          <w:color w:val="auto"/>
        </w:rPr>
        <w:t>Underwriters</w:t>
      </w:r>
      <w:r>
        <w:rPr>
          <w:rFonts w:ascii="Arial" w:cs="Arial" w:eastAsia="Arial" w:hAnsi="Arial"/>
          <w:sz w:val="15"/>
          <w:szCs w:val="15"/>
          <w:color w:val="auto"/>
        </w:rPr>
        <w:t>”), with Wealthfront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the selling stockholders named in Schedule II to such agreement (the “</w:t>
      </w:r>
      <w:r>
        <w:rPr>
          <w:rFonts w:ascii="Arial" w:cs="Arial" w:eastAsia="Arial" w:hAnsi="Arial"/>
          <w:sz w:val="15"/>
          <w:szCs w:val="15"/>
          <w:u w:val="single" w:color="auto"/>
          <w:color w:val="auto"/>
        </w:rPr>
        <w:t>Selling Stockholders</w:t>
      </w:r>
      <w:r>
        <w:rPr>
          <w:rFonts w:ascii="Arial" w:cs="Arial" w:eastAsia="Arial" w:hAnsi="Arial"/>
          <w:sz w:val="15"/>
          <w:szCs w:val="15"/>
          <w:color w:val="auto"/>
        </w:rPr>
        <w:t>”), providing for a public offering (the “</w:t>
      </w:r>
      <w:r>
        <w:rPr>
          <w:rFonts w:ascii="Arial" w:cs="Arial" w:eastAsia="Arial" w:hAnsi="Arial"/>
          <w:sz w:val="15"/>
          <w:szCs w:val="15"/>
          <w:u w:val="single" w:color="auto"/>
          <w:color w:val="auto"/>
        </w:rPr>
        <w:t>Public Offering</w:t>
      </w:r>
      <w:r>
        <w:rPr>
          <w:rFonts w:ascii="Arial" w:cs="Arial" w:eastAsia="Arial" w:hAnsi="Arial"/>
          <w:sz w:val="15"/>
          <w:szCs w:val="15"/>
          <w:color w:val="auto"/>
        </w:rPr>
        <w:t>”) of shares (the “</w:t>
      </w:r>
      <w:r>
        <w:rPr>
          <w:rFonts w:ascii="Arial" w:cs="Arial" w:eastAsia="Arial" w:hAnsi="Arial"/>
          <w:sz w:val="15"/>
          <w:szCs w:val="15"/>
          <w:u w:val="single" w:color="auto"/>
          <w:color w:val="auto"/>
        </w:rPr>
        <w:t>Shares</w:t>
      </w:r>
      <w:r>
        <w:rPr>
          <w:rFonts w:ascii="Arial" w:cs="Arial" w:eastAsia="Arial" w:hAnsi="Arial"/>
          <w:sz w:val="15"/>
          <w:szCs w:val="15"/>
          <w:color w:val="auto"/>
        </w:rPr>
        <w:t>”) of common stock, $ 0.0001 par value per share (the “</w:t>
      </w:r>
      <w:r>
        <w:rPr>
          <w:rFonts w:ascii="Arial" w:cs="Arial" w:eastAsia="Arial" w:hAnsi="Arial"/>
          <w:sz w:val="15"/>
          <w:szCs w:val="15"/>
          <w:u w:val="single" w:color="auto"/>
          <w:color w:val="auto"/>
        </w:rPr>
        <w:t>Common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 of the Company pursuant to a Registration Statement on Form S-1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to be filed with the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Capitalized terms used herein and not otherwise defined shall have the meanings set forth in the Underwriting Agreement.</w:t>
      </w:r>
    </w:p>
    <w:p>
      <w:pPr>
        <w:spacing w:after="0" w:line="154" w:lineRule="exact"/>
        <w:rPr>
          <w:sz w:val="20"/>
          <w:szCs w:val="20"/>
          <w:color w:val="auto"/>
        </w:rPr>
      </w:pPr>
    </w:p>
    <w:p>
      <w:pPr>
        <w:jc w:val="both"/>
        <w:ind w:firstLine="505"/>
        <w:spacing w:after="0" w:line="246" w:lineRule="auto"/>
        <w:rPr>
          <w:sz w:val="20"/>
          <w:szCs w:val="20"/>
          <w:color w:val="auto"/>
        </w:rPr>
      </w:pPr>
      <w:r>
        <w:rPr>
          <w:rFonts w:ascii="Arial" w:cs="Arial" w:eastAsia="Arial" w:hAnsi="Arial"/>
          <w:sz w:val="15"/>
          <w:szCs w:val="15"/>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ending on the earlier of (a) the opening of trading on the second Trading Day following the date of the Second Earnings Release and (b) the end of the 180th day after the date of the final prospectus relating to the Public Offering (the “</w:t>
      </w:r>
      <w:r>
        <w:rPr>
          <w:rFonts w:ascii="Arial" w:cs="Arial" w:eastAsia="Arial" w:hAnsi="Arial"/>
          <w:sz w:val="15"/>
          <w:szCs w:val="15"/>
          <w:u w:val="single" w:color="auto"/>
          <w:color w:val="auto"/>
        </w:rPr>
        <w:t>Prospectus</w:t>
      </w:r>
      <w:r>
        <w:rPr>
          <w:rFonts w:ascii="Arial" w:cs="Arial" w:eastAsia="Arial" w:hAnsi="Arial"/>
          <w:sz w:val="15"/>
          <w:szCs w:val="15"/>
          <w:color w:val="auto"/>
        </w:rPr>
        <w:t>”) (such period, the “</w:t>
      </w:r>
      <w:r>
        <w:rPr>
          <w:rFonts w:ascii="Arial" w:cs="Arial" w:eastAsia="Arial" w:hAnsi="Arial"/>
          <w:sz w:val="15"/>
          <w:szCs w:val="15"/>
          <w:u w:val="single" w:color="auto"/>
          <w:color w:val="auto"/>
        </w:rPr>
        <w:t>Lock-Up Period</w:t>
      </w:r>
      <w:r>
        <w:rPr>
          <w:rFonts w:ascii="Arial" w:cs="Arial" w:eastAsia="Arial" w:hAnsi="Arial"/>
          <w:sz w:val="15"/>
          <w:szCs w:val="15"/>
          <w:color w:val="auto"/>
        </w:rPr>
        <w:t>”), the undersigned shall not, and shall not cause or direct any of his, her, its or their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the “</w:t>
      </w:r>
      <w:r>
        <w:rPr>
          <w:rFonts w:ascii="Arial" w:cs="Arial" w:eastAsia="Arial" w:hAnsi="Arial"/>
          <w:sz w:val="15"/>
          <w:szCs w:val="15"/>
          <w:u w:val="single" w:color="auto"/>
          <w:color w:val="auto"/>
        </w:rPr>
        <w:t>Lock-Up Securities</w:t>
      </w:r>
      <w:r>
        <w:rPr>
          <w:rFonts w:ascii="Arial" w:cs="Arial" w:eastAsia="Arial" w:hAnsi="Arial"/>
          <w:sz w:val="15"/>
          <w:szCs w:val="15"/>
          <w:color w:val="auto"/>
        </w:rPr>
        <w:t>”), including without limitation any such Lock-Up Securities now owned or hereafter acquired by the undersigned, (ii) engage in any hedging or other transaction or arrangement (including, without limitation, any short sale or the</w:t>
      </w:r>
    </w:p>
    <w:p>
      <w:pPr>
        <w:sectPr>
          <w:pgSz w:w="11900" w:h="16838" w:orient="portrait"/>
          <w:cols w:equalWidth="0" w:num="1">
            <w:col w:w="11280"/>
          </w:cols>
          <w:pgMar w:left="300" w:top="1130" w:right="319" w:bottom="1440" w:gutter="0" w:footer="0" w:header="0"/>
        </w:sectPr>
      </w:pPr>
    </w:p>
    <w:bookmarkStart w:id="381" w:name="page382"/>
    <w:bookmarkEnd w:id="381"/>
    <w:p>
      <w:pPr>
        <w:jc w:val="both"/>
        <w:spacing w:after="0" w:line="244" w:lineRule="auto"/>
        <w:rPr>
          <w:sz w:val="20"/>
          <w:szCs w:val="20"/>
          <w:color w:val="auto"/>
        </w:rPr>
      </w:pPr>
      <w:r>
        <w:rPr>
          <w:rFonts w:ascii="Arial" w:cs="Arial" w:eastAsia="Arial" w:hAnsi="Arial"/>
          <w:sz w:val="15"/>
          <w:szCs w:val="15"/>
          <w:color w:val="auto"/>
        </w:rPr>
        <w:t>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Arial" w:cs="Arial" w:eastAsia="Arial" w:hAnsi="Arial"/>
          <w:sz w:val="15"/>
          <w:szCs w:val="15"/>
          <w:u w:val="single" w:color="auto"/>
          <w:color w:val="auto"/>
        </w:rPr>
        <w:t>Transfer</w:t>
      </w:r>
      <w:r>
        <w:rPr>
          <w:rFonts w:ascii="Arial" w:cs="Arial" w:eastAsia="Arial" w:hAnsi="Arial"/>
          <w:sz w:val="15"/>
          <w:szCs w:val="15"/>
          <w:color w:val="auto"/>
        </w:rPr>
        <w:t>”),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his, her, its or their affiliates to be or become, currently a party to any agreement or arrangement that provides for, is designed to or reasonably could be expected to lead to or result in any Transfer during the Lock-Up Period.</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Notwithstanding the foregoing, the undersigned may:</w:t>
      </w:r>
    </w:p>
    <w:p>
      <w:pPr>
        <w:spacing w:after="0" w:line="185" w:lineRule="exact"/>
        <w:rPr>
          <w:sz w:val="20"/>
          <w:szCs w:val="20"/>
          <w:color w:val="auto"/>
        </w:rPr>
      </w:pPr>
    </w:p>
    <w:p>
      <w:pPr>
        <w:ind w:left="860" w:hanging="351"/>
        <w:spacing w:after="0"/>
        <w:tabs>
          <w:tab w:leader="none" w:pos="86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transfer the undersigned’s Lock-Up Securities:</w:t>
      </w:r>
    </w:p>
    <w:p>
      <w:pPr>
        <w:spacing w:after="0" w:line="195" w:lineRule="exact"/>
        <w:rPr>
          <w:rFonts w:ascii="Arial" w:cs="Arial" w:eastAsia="Arial" w:hAnsi="Arial"/>
          <w:sz w:val="15"/>
          <w:szCs w:val="15"/>
          <w:color w:val="auto"/>
        </w:rPr>
      </w:pPr>
    </w:p>
    <w:p>
      <w:pPr>
        <w:ind w:left="1320" w:hanging="307"/>
        <w:spacing w:after="0"/>
        <w:tabs>
          <w:tab w:leader="none" w:pos="1320" w:val="left"/>
        </w:tabs>
        <w:numPr>
          <w:ilvl w:val="1"/>
          <w:numId w:val="234"/>
        </w:numPr>
        <w:rPr>
          <w:rFonts w:ascii="Arial" w:cs="Arial" w:eastAsia="Arial" w:hAnsi="Arial"/>
          <w:sz w:val="15"/>
          <w:szCs w:val="15"/>
          <w:color w:val="auto"/>
        </w:rPr>
      </w:pPr>
      <w:r>
        <w:rPr>
          <w:rFonts w:ascii="Arial" w:cs="Arial" w:eastAsia="Arial" w:hAnsi="Arial"/>
          <w:sz w:val="15"/>
          <w:szCs w:val="15"/>
          <w:color w:val="auto"/>
        </w:rPr>
        <w:t xml:space="preserve">as one or more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gifts or charitable contributions, or for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estate planning purposes;</w:t>
      </w:r>
    </w:p>
    <w:p>
      <w:pPr>
        <w:spacing w:after="0" w:line="184" w:lineRule="exact"/>
        <w:rPr>
          <w:rFonts w:ascii="Arial" w:cs="Arial" w:eastAsia="Arial" w:hAnsi="Arial"/>
          <w:sz w:val="15"/>
          <w:szCs w:val="15"/>
          <w:color w:val="auto"/>
        </w:rPr>
      </w:pPr>
    </w:p>
    <w:p>
      <w:pPr>
        <w:ind w:left="1360" w:hanging="347"/>
        <w:spacing w:after="0"/>
        <w:tabs>
          <w:tab w:leader="none" w:pos="1360" w:val="left"/>
        </w:tabs>
        <w:numPr>
          <w:ilvl w:val="1"/>
          <w:numId w:val="234"/>
        </w:numPr>
        <w:rPr>
          <w:rFonts w:ascii="Arial" w:cs="Arial" w:eastAsia="Arial" w:hAnsi="Arial"/>
          <w:sz w:val="15"/>
          <w:szCs w:val="15"/>
          <w:color w:val="auto"/>
        </w:rPr>
      </w:pPr>
      <w:r>
        <w:rPr>
          <w:rFonts w:ascii="Arial" w:cs="Arial" w:eastAsia="Arial" w:hAnsi="Arial"/>
          <w:sz w:val="15"/>
          <w:szCs w:val="15"/>
          <w:color w:val="auto"/>
        </w:rPr>
        <w:t>upon death by will, testamentary document or the laws of intestate succession;</w:t>
      </w:r>
    </w:p>
    <w:p>
      <w:pPr>
        <w:spacing w:after="0" w:line="184" w:lineRule="exact"/>
        <w:rPr>
          <w:rFonts w:ascii="Arial" w:cs="Arial" w:eastAsia="Arial" w:hAnsi="Arial"/>
          <w:sz w:val="15"/>
          <w:szCs w:val="15"/>
          <w:color w:val="auto"/>
        </w:rPr>
      </w:pPr>
    </w:p>
    <w:p>
      <w:pPr>
        <w:jc w:val="both"/>
        <w:ind w:left="1520" w:hanging="507"/>
        <w:spacing w:after="0" w:line="257" w:lineRule="auto"/>
        <w:tabs>
          <w:tab w:leader="none" w:pos="1518" w:val="left"/>
        </w:tabs>
        <w:numPr>
          <w:ilvl w:val="1"/>
          <w:numId w:val="234"/>
        </w:numPr>
        <w:rPr>
          <w:rFonts w:ascii="Arial" w:cs="Arial" w:eastAsia="Arial" w:hAnsi="Arial"/>
          <w:sz w:val="15"/>
          <w:szCs w:val="15"/>
          <w:color w:val="auto"/>
        </w:rPr>
      </w:pPr>
      <w:r>
        <w:rPr>
          <w:rFonts w:ascii="Arial" w:cs="Arial" w:eastAsia="Arial" w:hAnsi="Arial"/>
          <w:sz w:val="15"/>
          <w:szCs w:val="15"/>
          <w:color w:val="auto"/>
        </w:rPr>
        <w:t>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w:t>
      </w:r>
    </w:p>
    <w:p>
      <w:pPr>
        <w:spacing w:after="0" w:line="144" w:lineRule="exact"/>
        <w:rPr>
          <w:rFonts w:ascii="Arial" w:cs="Arial" w:eastAsia="Arial" w:hAnsi="Arial"/>
          <w:sz w:val="15"/>
          <w:szCs w:val="15"/>
          <w:color w:val="auto"/>
        </w:rPr>
      </w:pPr>
    </w:p>
    <w:p>
      <w:pPr>
        <w:ind w:left="1520" w:hanging="507"/>
        <w:spacing w:after="0" w:line="288" w:lineRule="auto"/>
        <w:tabs>
          <w:tab w:leader="none" w:pos="1415" w:val="left"/>
        </w:tabs>
        <w:numPr>
          <w:ilvl w:val="1"/>
          <w:numId w:val="234"/>
        </w:numPr>
        <w:rPr>
          <w:rFonts w:ascii="Arial" w:cs="Arial" w:eastAsia="Arial" w:hAnsi="Arial"/>
          <w:sz w:val="15"/>
          <w:szCs w:val="15"/>
          <w:color w:val="auto"/>
        </w:rPr>
      </w:pPr>
      <w:r>
        <w:rPr>
          <w:rFonts w:ascii="Arial" w:cs="Arial" w:eastAsia="Arial" w:hAnsi="Arial"/>
          <w:sz w:val="15"/>
          <w:szCs w:val="15"/>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122" w:lineRule="exact"/>
        <w:rPr>
          <w:rFonts w:ascii="Arial" w:cs="Arial" w:eastAsia="Arial" w:hAnsi="Arial"/>
          <w:sz w:val="15"/>
          <w:szCs w:val="15"/>
          <w:color w:val="auto"/>
        </w:rPr>
      </w:pPr>
    </w:p>
    <w:p>
      <w:pPr>
        <w:ind w:left="1360" w:hanging="347"/>
        <w:spacing w:after="0"/>
        <w:tabs>
          <w:tab w:leader="none" w:pos="1360" w:val="left"/>
        </w:tabs>
        <w:numPr>
          <w:ilvl w:val="1"/>
          <w:numId w:val="234"/>
        </w:numPr>
        <w:rPr>
          <w:rFonts w:ascii="Arial" w:cs="Arial" w:eastAsia="Arial" w:hAnsi="Arial"/>
          <w:sz w:val="15"/>
          <w:szCs w:val="15"/>
          <w:color w:val="auto"/>
        </w:rPr>
      </w:pPr>
      <w:r>
        <w:rPr>
          <w:rFonts w:ascii="Arial" w:cs="Arial" w:eastAsia="Arial" w:hAnsi="Arial"/>
          <w:sz w:val="15"/>
          <w:szCs w:val="15"/>
          <w:color w:val="auto"/>
        </w:rPr>
        <w:t>to a nominee or custodian of a person or entity to whom a disposition or transfer would be permissible under clauses (a)(i) through (iv) above;</w:t>
      </w:r>
    </w:p>
    <w:p>
      <w:pPr>
        <w:spacing w:after="0" w:line="184" w:lineRule="exact"/>
        <w:rPr>
          <w:rFonts w:ascii="Arial" w:cs="Arial" w:eastAsia="Arial" w:hAnsi="Arial"/>
          <w:sz w:val="15"/>
          <w:szCs w:val="15"/>
          <w:color w:val="auto"/>
        </w:rPr>
      </w:pPr>
    </w:p>
    <w:p>
      <w:pPr>
        <w:ind w:left="1520" w:hanging="507"/>
        <w:spacing w:after="0" w:line="252" w:lineRule="auto"/>
        <w:tabs>
          <w:tab w:leader="none" w:pos="1426" w:val="left"/>
        </w:tabs>
        <w:numPr>
          <w:ilvl w:val="1"/>
          <w:numId w:val="234"/>
        </w:numPr>
        <w:rPr>
          <w:rFonts w:ascii="Arial" w:cs="Arial" w:eastAsia="Arial" w:hAnsi="Arial"/>
          <w:sz w:val="15"/>
          <w:szCs w:val="15"/>
          <w:color w:val="auto"/>
        </w:rPr>
      </w:pPr>
      <w:r>
        <w:rPr>
          <w:rFonts w:ascii="Arial" w:cs="Arial" w:eastAsia="Arial" w:hAnsi="Arial"/>
          <w:sz w:val="15"/>
          <w:szCs w:val="15"/>
          <w:color w:val="auto"/>
        </w:rPr>
        <w:t>if the undersigned is a corporation, partnership, limited liability company or other business entity, (A) to another corporation, partnership, limited liability company or other business entity that is an affiliate (as defined in Rule 405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of the undersigned, or to any investment fund or other entity which fund or entity is controlled or managed by the undersigned or affiliates of the undersigned, or (B) as part of a transfer, distribution or disposition by the undersigned to its stockholders, partners, members or other</w:t>
      </w:r>
    </w:p>
    <w:p>
      <w:pPr>
        <w:sectPr>
          <w:pgSz w:w="11900" w:h="16838" w:orient="portrait"/>
          <w:cols w:equalWidth="0" w:num="1">
            <w:col w:w="11280"/>
          </w:cols>
          <w:pgMar w:left="300" w:top="1132" w:right="319" w:bottom="1440" w:gutter="0" w:footer="0" w:header="0"/>
        </w:sectPr>
      </w:pPr>
    </w:p>
    <w:bookmarkStart w:id="382" w:name="page383"/>
    <w:bookmarkEnd w:id="382"/>
    <w:p>
      <w:pPr>
        <w:ind w:left="507"/>
        <w:spacing w:after="0"/>
        <w:rPr>
          <w:sz w:val="20"/>
          <w:szCs w:val="20"/>
          <w:color w:val="auto"/>
        </w:rPr>
      </w:pPr>
      <w:r>
        <w:rPr>
          <w:rFonts w:ascii="Arial" w:cs="Arial" w:eastAsia="Arial" w:hAnsi="Arial"/>
          <w:sz w:val="15"/>
          <w:szCs w:val="15"/>
          <w:color w:val="auto"/>
        </w:rPr>
        <w:t>equityholders or to the estate of any such stockholders, partners, members or other equityholders;</w:t>
      </w:r>
    </w:p>
    <w:p>
      <w:pPr>
        <w:spacing w:after="0" w:line="185" w:lineRule="exact"/>
        <w:rPr>
          <w:sz w:val="20"/>
          <w:szCs w:val="20"/>
          <w:color w:val="auto"/>
        </w:rPr>
      </w:pPr>
    </w:p>
    <w:p>
      <w:pPr>
        <w:ind w:left="507" w:hanging="507"/>
        <w:spacing w:after="0" w:line="264" w:lineRule="auto"/>
        <w:tabs>
          <w:tab w:leader="none" w:pos="481" w:val="left"/>
        </w:tabs>
        <w:numPr>
          <w:ilvl w:val="0"/>
          <w:numId w:val="235"/>
        </w:numPr>
        <w:rPr>
          <w:rFonts w:ascii="Arial" w:cs="Arial" w:eastAsia="Arial" w:hAnsi="Arial"/>
          <w:sz w:val="15"/>
          <w:szCs w:val="15"/>
          <w:color w:val="auto"/>
        </w:rPr>
      </w:pPr>
      <w:r>
        <w:rPr>
          <w:rFonts w:ascii="Arial" w:cs="Arial" w:eastAsia="Arial" w:hAnsi="Arial"/>
          <w:sz w:val="15"/>
          <w:szCs w:val="15"/>
          <w:color w:val="auto"/>
        </w:rPr>
        <w:t>by operation of law, such as pursuant to a qualified domestic order, divorce settlement, divorce decree, separation agreement or other court order;</w:t>
      </w:r>
    </w:p>
    <w:p>
      <w:pPr>
        <w:spacing w:after="0" w:line="346" w:lineRule="exact"/>
        <w:rPr>
          <w:rFonts w:ascii="Arial" w:cs="Arial" w:eastAsia="Arial" w:hAnsi="Arial"/>
          <w:sz w:val="15"/>
          <w:szCs w:val="15"/>
          <w:color w:val="auto"/>
        </w:rPr>
      </w:pPr>
    </w:p>
    <w:p>
      <w:pPr>
        <w:ind w:left="507" w:hanging="507"/>
        <w:spacing w:after="0" w:line="288" w:lineRule="auto"/>
        <w:tabs>
          <w:tab w:leader="none" w:pos="478" w:val="left"/>
        </w:tabs>
        <w:numPr>
          <w:ilvl w:val="0"/>
          <w:numId w:val="235"/>
        </w:numPr>
        <w:rPr>
          <w:rFonts w:ascii="Arial" w:cs="Arial" w:eastAsia="Arial" w:hAnsi="Arial"/>
          <w:sz w:val="15"/>
          <w:szCs w:val="15"/>
          <w:color w:val="auto"/>
        </w:rPr>
      </w:pPr>
      <w:r>
        <w:rPr>
          <w:rFonts w:ascii="Arial" w:cs="Arial" w:eastAsia="Arial" w:hAnsi="Arial"/>
          <w:sz w:val="15"/>
          <w:szCs w:val="15"/>
          <w:color w:val="auto"/>
        </w:rPr>
        <w:t>to the Company from a current or former employee of the Company upon death, disability or termination of employment, in each case, of such employee;</w:t>
      </w:r>
    </w:p>
    <w:p>
      <w:pPr>
        <w:spacing w:after="0" w:line="122" w:lineRule="exact"/>
        <w:rPr>
          <w:rFonts w:ascii="Arial" w:cs="Arial" w:eastAsia="Arial" w:hAnsi="Arial"/>
          <w:sz w:val="15"/>
          <w:szCs w:val="15"/>
          <w:color w:val="auto"/>
        </w:rPr>
      </w:pPr>
    </w:p>
    <w:p>
      <w:pPr>
        <w:ind w:left="407" w:hanging="407"/>
        <w:spacing w:after="0"/>
        <w:tabs>
          <w:tab w:leader="none" w:pos="407" w:val="left"/>
        </w:tabs>
        <w:numPr>
          <w:ilvl w:val="0"/>
          <w:numId w:val="235"/>
        </w:numPr>
        <w:rPr>
          <w:rFonts w:ascii="Arial" w:cs="Arial" w:eastAsia="Arial" w:hAnsi="Arial"/>
          <w:sz w:val="15"/>
          <w:szCs w:val="15"/>
          <w:color w:val="auto"/>
        </w:rPr>
      </w:pPr>
      <w:r>
        <w:rPr>
          <w:rFonts w:ascii="Arial" w:cs="Arial" w:eastAsia="Arial" w:hAnsi="Arial"/>
          <w:sz w:val="15"/>
          <w:szCs w:val="15"/>
          <w:color w:val="auto"/>
        </w:rPr>
        <w:t>if the undersigned is not an officer or director of the Company, in connection with a sale of the undersigned’s shares of Common Stock acquired</w:t>
      </w:r>
    </w:p>
    <w:p>
      <w:pPr>
        <w:spacing w:after="0" w:line="20" w:lineRule="exact"/>
        <w:rPr>
          <w:rFonts w:ascii="Arial" w:cs="Arial" w:eastAsia="Arial" w:hAnsi="Arial"/>
          <w:sz w:val="15"/>
          <w:szCs w:val="15"/>
          <w:color w:val="auto"/>
        </w:rPr>
      </w:pPr>
    </w:p>
    <w:p>
      <w:pPr>
        <w:ind w:left="507"/>
        <w:spacing w:after="0"/>
        <w:rPr>
          <w:rFonts w:ascii="Arial" w:cs="Arial" w:eastAsia="Arial" w:hAnsi="Arial"/>
          <w:sz w:val="15"/>
          <w:szCs w:val="15"/>
          <w:color w:val="auto"/>
        </w:rPr>
      </w:pPr>
      <w:r>
        <w:rPr>
          <w:rFonts w:ascii="Arial" w:cs="Arial" w:eastAsia="Arial" w:hAnsi="Arial"/>
          <w:sz w:val="15"/>
          <w:szCs w:val="15"/>
          <w:color w:val="auto"/>
        </w:rPr>
        <w:t>(A) from the Underwriters in the Public Offering or (B) in open market transactions after the closing date of the Public Offering;</w:t>
      </w:r>
    </w:p>
    <w:p>
      <w:pPr>
        <w:spacing w:after="0" w:line="170" w:lineRule="exact"/>
        <w:rPr>
          <w:rFonts w:ascii="Arial" w:cs="Arial" w:eastAsia="Arial" w:hAnsi="Arial"/>
          <w:sz w:val="15"/>
          <w:szCs w:val="15"/>
          <w:color w:val="auto"/>
        </w:rPr>
      </w:pPr>
    </w:p>
    <w:p>
      <w:pPr>
        <w:ind w:left="507" w:hanging="507"/>
        <w:spacing w:after="0" w:line="245" w:lineRule="auto"/>
        <w:tabs>
          <w:tab w:leader="none" w:pos="395" w:val="left"/>
        </w:tabs>
        <w:numPr>
          <w:ilvl w:val="0"/>
          <w:numId w:val="235"/>
        </w:numPr>
        <w:rPr>
          <w:rFonts w:ascii="Arial" w:cs="Arial" w:eastAsia="Arial" w:hAnsi="Arial"/>
          <w:sz w:val="15"/>
          <w:szCs w:val="15"/>
          <w:color w:val="auto"/>
        </w:rPr>
      </w:pPr>
      <w:r>
        <w:rPr>
          <w:rFonts w:ascii="Arial" w:cs="Arial" w:eastAsia="Arial" w:hAnsi="Arial"/>
          <w:sz w:val="15"/>
          <w:szCs w:val="15"/>
          <w:color w:val="auto"/>
        </w:rPr>
        <w:t>in connection with the vesting, settlement or exercise of restricted stock units (“</w:t>
      </w:r>
      <w:r>
        <w:rPr>
          <w:rFonts w:ascii="Arial" w:cs="Arial" w:eastAsia="Arial" w:hAnsi="Arial"/>
          <w:sz w:val="15"/>
          <w:szCs w:val="15"/>
          <w:u w:val="single" w:color="auto"/>
          <w:color w:val="auto"/>
        </w:rPr>
        <w:t>RSUs</w:t>
      </w:r>
      <w:r>
        <w:rPr>
          <w:rFonts w:ascii="Arial" w:cs="Arial" w:eastAsia="Arial" w:hAnsi="Arial"/>
          <w:sz w:val="15"/>
          <w:szCs w:val="15"/>
          <w:color w:val="auto"/>
        </w:rPr>
        <w:t>”), options, warrants or other rights to purchase shares of Common Stock (including, in each case, by way of “net” or “cashless” exercise), including any transfer to the Company for the payment of the exercise price, tax withholdings, remittance payments or other obligations due as a result of the vesting, settlement or exercise of such RSUs, options, warrants or other rights, or in connection with the conversion of convertible securities, each as described in the Registration Statement, the preliminary prospectus relating to the Shares included in the Registration Statement immediately prior to the time the Underwriting Agreement is executed and the Prospectus, provided that any Lock-Up Securities received upon such vesting, settlement, exercise or conversion that are not transferred to cover any such obligations shall be subject to the terms of this Lock-Up Agreement;</w:t>
      </w:r>
    </w:p>
    <w:p>
      <w:pPr>
        <w:spacing w:after="0" w:line="165" w:lineRule="exact"/>
        <w:rPr>
          <w:rFonts w:ascii="Arial" w:cs="Arial" w:eastAsia="Arial" w:hAnsi="Arial"/>
          <w:sz w:val="15"/>
          <w:szCs w:val="15"/>
          <w:color w:val="auto"/>
        </w:rPr>
      </w:pPr>
    </w:p>
    <w:p>
      <w:pPr>
        <w:jc w:val="both"/>
        <w:ind w:left="507" w:hanging="507"/>
        <w:spacing w:after="0" w:line="246" w:lineRule="auto"/>
        <w:tabs>
          <w:tab w:leader="none" w:pos="483" w:val="left"/>
        </w:tabs>
        <w:numPr>
          <w:ilvl w:val="0"/>
          <w:numId w:val="235"/>
        </w:numPr>
        <w:rPr>
          <w:rFonts w:ascii="Arial" w:cs="Arial" w:eastAsia="Arial" w:hAnsi="Arial"/>
          <w:sz w:val="15"/>
          <w:szCs w:val="15"/>
          <w:color w:val="auto"/>
        </w:rPr>
      </w:pPr>
      <w:r>
        <w:rPr>
          <w:rFonts w:ascii="Arial" w:cs="Arial" w:eastAsia="Arial" w:hAnsi="Arial"/>
          <w:sz w:val="15"/>
          <w:szCs w:val="15"/>
          <w:color w:val="auto"/>
        </w:rPr>
        <w:t>in connection with the sale or other transfer of the undersigned’s shares of Common Stock to satisfy any tax obligations or estimated tax payments due as a result of the exercise, vesting and/or settlement of Company equity awards held by the undersigned, including (A) the exercise of stock options, if such options expire or the post-termination exercise period applicable to such options expire during the Lock-Up Period or (B) the settlement of RSUs pursuant to awards granted under a stock incentive plan or other equity award plan or arrangement described in the Registration Statement, the preliminary prospectus relating to the Shares included in the Registration Statement immediately prior to the time the Underwriting Agreement is executed and the Prospectus, provided that, in each case, any securities received upon such exercise or settlement that are not transferred to cover any such tax obligations or estimated tax payments shall be subject to the terms of this Lock-Up Agreement;</w:t>
      </w:r>
    </w:p>
    <w:p>
      <w:pPr>
        <w:spacing w:after="0" w:line="328" w:lineRule="exact"/>
        <w:rPr>
          <w:rFonts w:ascii="Arial" w:cs="Arial" w:eastAsia="Arial" w:hAnsi="Arial"/>
          <w:sz w:val="15"/>
          <w:szCs w:val="15"/>
          <w:color w:val="auto"/>
        </w:rPr>
      </w:pPr>
    </w:p>
    <w:p>
      <w:pPr>
        <w:ind w:left="507" w:hanging="507"/>
        <w:spacing w:after="0" w:line="259" w:lineRule="auto"/>
        <w:tabs>
          <w:tab w:leader="none" w:pos="436" w:val="left"/>
        </w:tabs>
        <w:numPr>
          <w:ilvl w:val="0"/>
          <w:numId w:val="235"/>
        </w:numPr>
        <w:rPr>
          <w:rFonts w:ascii="Arial" w:cs="Arial" w:eastAsia="Arial" w:hAnsi="Arial"/>
          <w:sz w:val="15"/>
          <w:szCs w:val="15"/>
          <w:color w:val="auto"/>
        </w:rPr>
      </w:pPr>
      <w:r>
        <w:rPr>
          <w:rFonts w:ascii="Arial" w:cs="Arial" w:eastAsia="Arial" w:hAnsi="Arial"/>
          <w:sz w:val="15"/>
          <w:szCs w:val="15"/>
          <w:color w:val="auto"/>
        </w:rPr>
        <w:t>to the Company in connection with the conversion, exchange or reclassification of any outstanding equity securities of the Company into shares of Common Stock, or any reclassification, exchange or conversion of shares of Common Stock, in each case as described and as contemplated in the Registration Statement, the preliminary prospectus relating to the Shares included in the Registration Statement immediately</w:t>
      </w:r>
    </w:p>
    <w:p>
      <w:pPr>
        <w:sectPr>
          <w:pgSz w:w="11900" w:h="16838" w:orient="portrait"/>
          <w:cols w:equalWidth="0" w:num="1">
            <w:col w:w="10267"/>
          </w:cols>
          <w:pgMar w:left="1313" w:top="1132" w:right="319" w:bottom="1440" w:gutter="0" w:footer="0" w:header="0"/>
        </w:sectPr>
      </w:pPr>
    </w:p>
    <w:bookmarkStart w:id="383" w:name="page384"/>
    <w:bookmarkEnd w:id="383"/>
    <w:p>
      <w:pPr>
        <w:ind w:left="1011"/>
        <w:spacing w:after="0" w:line="274" w:lineRule="auto"/>
        <w:rPr>
          <w:sz w:val="20"/>
          <w:szCs w:val="20"/>
          <w:color w:val="auto"/>
        </w:rPr>
      </w:pPr>
      <w:r>
        <w:rPr>
          <w:rFonts w:ascii="Arial" w:cs="Arial" w:eastAsia="Arial" w:hAnsi="Arial"/>
          <w:sz w:val="15"/>
          <w:szCs w:val="15"/>
          <w:color w:val="auto"/>
        </w:rPr>
        <w:t>prior to the time the Underwriting Agreement is executed and the Prospectus, provided that any such shares of Common Stock received upon such conversion, exchange or reclassification shall be subject to the terms of this Lock-Up Agreement; and</w:t>
      </w:r>
    </w:p>
    <w:p>
      <w:pPr>
        <w:spacing w:after="0" w:line="142" w:lineRule="exact"/>
        <w:rPr>
          <w:sz w:val="20"/>
          <w:szCs w:val="20"/>
          <w:color w:val="auto"/>
        </w:rPr>
      </w:pPr>
    </w:p>
    <w:p>
      <w:pPr>
        <w:ind w:left="951" w:hanging="447"/>
        <w:spacing w:after="0"/>
        <w:tabs>
          <w:tab w:leader="none" w:pos="951" w:val="left"/>
        </w:tabs>
        <w:numPr>
          <w:ilvl w:val="0"/>
          <w:numId w:val="236"/>
        </w:numPr>
        <w:rPr>
          <w:rFonts w:ascii="Arial" w:cs="Arial" w:eastAsia="Arial" w:hAnsi="Arial"/>
          <w:sz w:val="15"/>
          <w:szCs w:val="15"/>
          <w:color w:val="auto"/>
        </w:rPr>
      </w:pPr>
      <w:r>
        <w:rPr>
          <w:rFonts w:ascii="Arial" w:cs="Arial" w:eastAsia="Arial" w:hAnsi="Arial"/>
          <w:sz w:val="15"/>
          <w:szCs w:val="15"/>
          <w:color w:val="auto"/>
        </w:rPr>
        <w:t>with the prior written consent of the Representatives on behalf of the Underwriters;</w:t>
      </w:r>
    </w:p>
    <w:p>
      <w:pPr>
        <w:spacing w:after="0" w:line="185" w:lineRule="exact"/>
        <w:rPr>
          <w:sz w:val="20"/>
          <w:szCs w:val="20"/>
          <w:color w:val="auto"/>
        </w:rPr>
      </w:pPr>
    </w:p>
    <w:p>
      <w:pPr>
        <w:ind w:left="511"/>
        <w:spacing w:after="0"/>
        <w:rPr>
          <w:sz w:val="20"/>
          <w:szCs w:val="20"/>
          <w:color w:val="auto"/>
        </w:rPr>
      </w:pPr>
      <w:r>
        <w:rPr>
          <w:rFonts w:ascii="Arial" w:cs="Arial" w:eastAsia="Arial" w:hAnsi="Arial"/>
          <w:sz w:val="15"/>
          <w:szCs w:val="15"/>
          <w:color w:val="auto"/>
        </w:rPr>
        <w:t>provided that:</w:t>
      </w:r>
    </w:p>
    <w:p>
      <w:pPr>
        <w:spacing w:after="0" w:line="20" w:lineRule="exact"/>
        <w:rPr>
          <w:sz w:val="20"/>
          <w:szCs w:val="20"/>
          <w:color w:val="auto"/>
        </w:rPr>
      </w:pPr>
    </w:p>
    <w:p>
      <w:pPr>
        <w:ind w:left="1391" w:hanging="382"/>
        <w:spacing w:after="0"/>
        <w:tabs>
          <w:tab w:leader="none" w:pos="1391" w:val="left"/>
        </w:tabs>
        <w:numPr>
          <w:ilvl w:val="1"/>
          <w:numId w:val="237"/>
        </w:numPr>
        <w:rPr>
          <w:rFonts w:ascii="Arial" w:cs="Arial" w:eastAsia="Arial" w:hAnsi="Arial"/>
          <w:sz w:val="15"/>
          <w:szCs w:val="15"/>
          <w:color w:val="auto"/>
        </w:rPr>
      </w:pPr>
      <w:r>
        <w:rPr>
          <w:rFonts w:ascii="Arial" w:cs="Arial" w:eastAsia="Arial" w:hAnsi="Arial"/>
          <w:sz w:val="15"/>
          <w:szCs w:val="15"/>
          <w:color w:val="auto"/>
        </w:rPr>
        <w:t>in the case of clauses (a)(i), (ii), (iii), (iv), (v) and (vi) above, such transfer or distribution shall not involve a disposition for value;</w:t>
      </w:r>
    </w:p>
    <w:p>
      <w:pPr>
        <w:spacing w:after="0" w:line="170" w:lineRule="exact"/>
        <w:rPr>
          <w:rFonts w:ascii="Arial" w:cs="Arial" w:eastAsia="Arial" w:hAnsi="Arial"/>
          <w:sz w:val="15"/>
          <w:szCs w:val="15"/>
          <w:color w:val="auto"/>
        </w:rPr>
      </w:pPr>
    </w:p>
    <w:p>
      <w:pPr>
        <w:ind w:left="1511" w:right="520" w:hanging="502"/>
        <w:spacing w:after="0" w:line="183" w:lineRule="exact"/>
        <w:tabs>
          <w:tab w:leader="none" w:pos="1383" w:val="left"/>
        </w:tabs>
        <w:numPr>
          <w:ilvl w:val="1"/>
          <w:numId w:val="237"/>
        </w:numPr>
        <w:rPr>
          <w:rFonts w:ascii="Arial" w:cs="Arial" w:eastAsia="Arial" w:hAnsi="Arial"/>
          <w:sz w:val="15"/>
          <w:szCs w:val="15"/>
          <w:color w:val="auto"/>
        </w:rPr>
      </w:pPr>
      <w:r>
        <w:rPr>
          <w:rFonts w:ascii="Arial" w:cs="Arial" w:eastAsia="Arial" w:hAnsi="Arial"/>
          <w:sz w:val="15"/>
          <w:szCs w:val="15"/>
          <w:color w:val="auto"/>
        </w:rPr>
        <w:t>in the case of clauses (a)(i), (ii), (iii), (iv), (v), (vi) and (vii) above, it shall be a condition to the transfer or distribution that the donee, devisee, transferee or distributee, as the case may be, shall sign and deliver a lock</w:t>
      </w:r>
      <w:r>
        <w:rPr>
          <w:rFonts w:ascii="MS PGothic" w:cs="MS PGothic" w:eastAsia="MS PGothic" w:hAnsi="MS PGothic"/>
          <w:sz w:val="15"/>
          <w:szCs w:val="15"/>
          <w:color w:val="auto"/>
        </w:rPr>
        <w:t>‑</w:t>
      </w:r>
      <w:r>
        <w:rPr>
          <w:rFonts w:ascii="Arial" w:cs="Arial" w:eastAsia="Arial" w:hAnsi="Arial"/>
          <w:sz w:val="15"/>
          <w:szCs w:val="15"/>
          <w:color w:val="auto"/>
        </w:rPr>
        <w:t>up agreement in the form of this Lock-Up Agreement;</w:t>
      </w:r>
    </w:p>
    <w:p>
      <w:pPr>
        <w:spacing w:after="0" w:line="156" w:lineRule="exact"/>
        <w:rPr>
          <w:rFonts w:ascii="Arial" w:cs="Arial" w:eastAsia="Arial" w:hAnsi="Arial"/>
          <w:sz w:val="15"/>
          <w:szCs w:val="15"/>
          <w:color w:val="auto"/>
        </w:rPr>
      </w:pPr>
    </w:p>
    <w:p>
      <w:pPr>
        <w:ind w:left="1511" w:right="120" w:hanging="502"/>
        <w:spacing w:after="0" w:line="246" w:lineRule="auto"/>
        <w:tabs>
          <w:tab w:leader="none" w:pos="1392" w:val="left"/>
        </w:tabs>
        <w:numPr>
          <w:ilvl w:val="1"/>
          <w:numId w:val="237"/>
        </w:numPr>
        <w:rPr>
          <w:rFonts w:ascii="Arial" w:cs="Arial" w:eastAsia="Arial" w:hAnsi="Arial"/>
          <w:sz w:val="15"/>
          <w:szCs w:val="15"/>
          <w:color w:val="auto"/>
        </w:rPr>
      </w:pPr>
      <w:r>
        <w:rPr>
          <w:rFonts w:ascii="Arial" w:cs="Arial" w:eastAsia="Arial" w:hAnsi="Arial"/>
          <w:sz w:val="15"/>
          <w:szCs w:val="15"/>
          <w:color w:val="auto"/>
        </w:rPr>
        <w:t>in the case of clauses (a)(iii), (iv), (v), (vi) and (ix) above, no filing by any party (including, without limitation, any donor, donee, devisee, transferor, transferee, distributor or distributee) under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or other public filing, report or announcement reporting a reduction in beneficial ownership of Lock-Up Securities shall be required or shall be voluntarily made in connection with such transfer, distribution or disposition (as the case may be) (other than (x) a required filing on a Form 5 made after the expiration of the Lock-Up Period or (y) a required filing under Section 16(a) of the Exchange Act or on a Schedule 13D or 13G that discloses therein that such transfer, distribution or other disposition is for no value (and if such recipient of securities is a person, trust or entity that would report a corresponding acquisition of such securities on the undersigned’s Form 4, and such acquisition is entitled to be reported on a Form 5, such acquisition may be voluntarily reported on such Form 4)); and</w:t>
      </w:r>
    </w:p>
    <w:p>
      <w:pPr>
        <w:spacing w:after="0" w:line="162" w:lineRule="exact"/>
        <w:rPr>
          <w:rFonts w:ascii="Arial" w:cs="Arial" w:eastAsia="Arial" w:hAnsi="Arial"/>
          <w:sz w:val="15"/>
          <w:szCs w:val="15"/>
          <w:color w:val="auto"/>
        </w:rPr>
      </w:pPr>
    </w:p>
    <w:p>
      <w:pPr>
        <w:ind w:left="1511" w:right="160" w:hanging="502"/>
        <w:spacing w:after="0" w:line="247" w:lineRule="auto"/>
        <w:tabs>
          <w:tab w:leader="none" w:pos="1392" w:val="left"/>
        </w:tabs>
        <w:numPr>
          <w:ilvl w:val="1"/>
          <w:numId w:val="237"/>
        </w:numPr>
        <w:rPr>
          <w:rFonts w:ascii="Arial" w:cs="Arial" w:eastAsia="Arial" w:hAnsi="Arial"/>
          <w:sz w:val="15"/>
          <w:szCs w:val="15"/>
          <w:color w:val="auto"/>
        </w:rPr>
      </w:pPr>
      <w:r>
        <w:rPr>
          <w:rFonts w:ascii="Arial" w:cs="Arial" w:eastAsia="Arial" w:hAnsi="Arial"/>
          <w:sz w:val="15"/>
          <w:szCs w:val="15"/>
          <w:color w:val="auto"/>
        </w:rPr>
        <w:t>in the case of clauses (a)(i), (ii), (vii), (viii), (x), (xi) and (xii)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(1) the circumstances of such transfer or distribution and (2) in the case of a transfer or distribution pursuant to clauses (a)(i), (ii) or (vii) above, that the donee, devisee, transferee or distributee, as the case may be, has agreed to be bound by a lock-up agreement in the form of this Lock-Up Agreement;</w:t>
      </w:r>
    </w:p>
    <w:p>
      <w:pPr>
        <w:spacing w:after="0" w:line="163" w:lineRule="exact"/>
        <w:rPr>
          <w:rFonts w:ascii="Arial" w:cs="Arial" w:eastAsia="Arial" w:hAnsi="Arial"/>
          <w:sz w:val="15"/>
          <w:szCs w:val="15"/>
          <w:color w:val="auto"/>
        </w:rPr>
      </w:pPr>
    </w:p>
    <w:p>
      <w:pPr>
        <w:ind w:left="511" w:right="140" w:hanging="511"/>
        <w:spacing w:after="0" w:line="261" w:lineRule="auto"/>
        <w:tabs>
          <w:tab w:leader="none" w:pos="366" w:val="left"/>
        </w:tabs>
        <w:numPr>
          <w:ilvl w:val="0"/>
          <w:numId w:val="238"/>
        </w:numPr>
        <w:rPr>
          <w:rFonts w:ascii="Arial" w:cs="Arial" w:eastAsia="Arial" w:hAnsi="Arial"/>
          <w:sz w:val="15"/>
          <w:szCs w:val="15"/>
          <w:color w:val="auto"/>
        </w:rPr>
      </w:pPr>
      <w:r>
        <w:rPr>
          <w:rFonts w:ascii="Arial" w:cs="Arial" w:eastAsia="Arial" w:hAnsi="Arial"/>
          <w:sz w:val="15"/>
          <w:szCs w:val="15"/>
          <w:color w:val="auto"/>
        </w:rPr>
        <w:t xml:space="preserve">enter into a written plan meeting the requirements of Rule 10b5-1 under the Exchange Act relating to the transfer, sale or other disposition of the undersigned’s Lock-Up Securities, if then permitted by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(1) none of the securities subject to such plan may be transferred, sold or</w:t>
      </w:r>
    </w:p>
    <w:p>
      <w:pPr>
        <w:sectPr>
          <w:pgSz w:w="11900" w:h="16838" w:orient="portrait"/>
          <w:cols w:equalWidth="0" w:num="1">
            <w:col w:w="10771"/>
          </w:cols>
          <w:pgMar w:left="809" w:top="1132" w:right="319" w:bottom="1440" w:gutter="0" w:footer="0" w:header="0"/>
        </w:sectPr>
      </w:pPr>
    </w:p>
    <w:bookmarkStart w:id="384" w:name="page385"/>
    <w:bookmarkEnd w:id="384"/>
    <w:p>
      <w:pPr>
        <w:ind w:left="1020" w:right="100"/>
        <w:spacing w:after="0" w:line="251" w:lineRule="auto"/>
        <w:rPr>
          <w:sz w:val="20"/>
          <w:szCs w:val="20"/>
          <w:color w:val="auto"/>
        </w:rPr>
      </w:pPr>
      <w:r>
        <w:rPr>
          <w:rFonts w:ascii="Arial" w:cs="Arial" w:eastAsia="Arial" w:hAnsi="Arial"/>
          <w:sz w:val="15"/>
          <w:szCs w:val="15"/>
          <w:color w:val="auto"/>
        </w:rPr>
        <w:t>otherwise disposed of until after the expiration of the Lock-Up Period and (2) no public announcement, report or filing under the Exchange Act, or any other public filing, report or announcement, shall be voluntarily made (whether by or on behalf of the undersigned, the Company or any other party) regarding, or that otherwise discloses, the establishment of such plan during the Lock-Up Period, and if any such filing, report or announcement shall be legally required during the Lock-Up Period, such filing, report or announcement shall clearly indicate therein that that none of the securities subject to such plan may be transferred, sold or otherwise disposed of pursuant to such plan until after the expiration of the Lock-Up Period;</w:t>
      </w:r>
    </w:p>
    <w:p>
      <w:pPr>
        <w:spacing w:after="0" w:line="149" w:lineRule="exact"/>
        <w:rPr>
          <w:sz w:val="20"/>
          <w:szCs w:val="20"/>
          <w:color w:val="auto"/>
        </w:rPr>
      </w:pPr>
    </w:p>
    <w:p>
      <w:pPr>
        <w:ind w:left="1020" w:right="60" w:hanging="511"/>
        <w:spacing w:after="0" w:line="246" w:lineRule="auto"/>
        <w:tabs>
          <w:tab w:leader="none" w:pos="866" w:val="left"/>
        </w:tabs>
        <w:numPr>
          <w:ilvl w:val="0"/>
          <w:numId w:val="239"/>
        </w:numPr>
        <w:rPr>
          <w:rFonts w:ascii="Arial" w:cs="Arial" w:eastAsia="Arial" w:hAnsi="Arial"/>
          <w:sz w:val="15"/>
          <w:szCs w:val="15"/>
          <w:color w:val="auto"/>
        </w:rPr>
      </w:pPr>
      <w:r>
        <w:rPr>
          <w:rFonts w:ascii="Arial" w:cs="Arial" w:eastAsia="Arial" w:hAnsi="Arial"/>
          <w:sz w:val="15"/>
          <w:szCs w:val="15"/>
          <w:color w:val="auto"/>
        </w:rPr>
        <w:t xml:space="preserve">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all of the undersigned’s Lock-Up Securities that are not so transferred, tendered or otherwise disposed of shall remain subject to this Lock-Up Agreement;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in the event that such tender offer, merger, consolidation or other similar transaction is not completed, the undersigned’s Lock-Up Securities shall remain subject to the provisions of this Lock-Up Agreement; and</w:t>
      </w:r>
    </w:p>
    <w:p>
      <w:pPr>
        <w:spacing w:after="0" w:line="151" w:lineRule="exact"/>
        <w:rPr>
          <w:rFonts w:ascii="Arial" w:cs="Arial" w:eastAsia="Arial" w:hAnsi="Arial"/>
          <w:sz w:val="15"/>
          <w:szCs w:val="15"/>
          <w:color w:val="auto"/>
        </w:rPr>
      </w:pPr>
    </w:p>
    <w:p>
      <w:pPr>
        <w:ind w:left="860" w:hanging="351"/>
        <w:spacing w:after="0"/>
        <w:tabs>
          <w:tab w:leader="none" w:pos="86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if the undersigned is a Selling Stockholder, sell the undersigned’s Lock-Up Securities to the Underwriters pursuant to the Underwriting Agreement.</w:t>
      </w:r>
    </w:p>
    <w:p>
      <w:pPr>
        <w:spacing w:after="0" w:line="195" w:lineRule="exact"/>
        <w:rPr>
          <w:sz w:val="20"/>
          <w:szCs w:val="20"/>
          <w:color w:val="auto"/>
        </w:rPr>
      </w:pPr>
    </w:p>
    <w:p>
      <w:pPr>
        <w:ind w:right="380" w:firstLine="505"/>
        <w:spacing w:after="0" w:line="274" w:lineRule="auto"/>
        <w:rPr>
          <w:sz w:val="20"/>
          <w:szCs w:val="20"/>
          <w:color w:val="auto"/>
        </w:rPr>
      </w:pPr>
      <w:r>
        <w:rPr>
          <w:rFonts w:ascii="Arial" w:cs="Arial" w:eastAsia="Arial" w:hAnsi="Arial"/>
          <w:sz w:val="15"/>
          <w:szCs w:val="15"/>
          <w:color w:val="auto"/>
        </w:rPr>
        <w:t>If the undersigned is an officer or director of the Company, the undersigned further agrees that the foregoing provisions shall be equally applicable to any issuer-directed or other Shares the undersigned may purchase in the Public Offering.</w:t>
      </w:r>
    </w:p>
    <w:p>
      <w:pPr>
        <w:spacing w:after="0" w:line="142" w:lineRule="exact"/>
        <w:rPr>
          <w:sz w:val="20"/>
          <w:szCs w:val="20"/>
          <w:color w:val="auto"/>
        </w:rPr>
      </w:pPr>
    </w:p>
    <w:p>
      <w:pPr>
        <w:ind w:firstLine="505"/>
        <w:spacing w:after="0" w:line="253" w:lineRule="auto"/>
        <w:rPr>
          <w:sz w:val="20"/>
          <w:szCs w:val="20"/>
          <w:color w:val="auto"/>
        </w:rPr>
      </w:pPr>
      <w:r>
        <w:rPr>
          <w:rFonts w:ascii="Arial" w:cs="Arial" w:eastAsia="Arial" w:hAnsi="Arial"/>
          <w:sz w:val="15"/>
          <w:szCs w:val="15"/>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327" w:lineRule="exact"/>
        <w:rPr>
          <w:sz w:val="20"/>
          <w:szCs w:val="20"/>
          <w:color w:val="auto"/>
        </w:rPr>
      </w:pPr>
    </w:p>
    <w:p>
      <w:pPr>
        <w:ind w:firstLine="505"/>
        <w:spacing w:after="0" w:line="248" w:lineRule="auto"/>
        <w:rPr>
          <w:sz w:val="20"/>
          <w:szCs w:val="20"/>
          <w:color w:val="auto"/>
        </w:rPr>
      </w:pPr>
      <w:r>
        <w:rPr>
          <w:rFonts w:ascii="Arial" w:cs="Arial" w:eastAsia="Arial" w:hAnsi="Arial"/>
          <w:sz w:val="15"/>
          <w:szCs w:val="15"/>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(or such other method approved by the Representatives that satisfies the requirements of FINRA Rule 5131(d)(2))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(i) the release or waiver is effected solely to permit a transfer not for consideration or that is to an immediate family member as defined in FINRA Rule 5130(i)(5) and (ii) the</w:t>
      </w:r>
    </w:p>
    <w:p>
      <w:pPr>
        <w:sectPr>
          <w:pgSz w:w="11900" w:h="16838" w:orient="portrait"/>
          <w:cols w:equalWidth="0" w:num="1">
            <w:col w:w="11280"/>
          </w:cols>
          <w:pgMar w:left="300" w:top="1131" w:right="319" w:bottom="1440" w:gutter="0" w:footer="0" w:header="0"/>
        </w:sectPr>
      </w:pPr>
    </w:p>
    <w:bookmarkStart w:id="385" w:name="page386"/>
    <w:bookmarkEnd w:id="385"/>
    <w:p>
      <w:pPr>
        <w:ind w:right="320"/>
        <w:spacing w:after="0" w:line="274" w:lineRule="auto"/>
        <w:rPr>
          <w:sz w:val="20"/>
          <w:szCs w:val="20"/>
          <w:color w:val="auto"/>
        </w:rPr>
      </w:pPr>
      <w:r>
        <w:rPr>
          <w:rFonts w:ascii="Arial" w:cs="Arial" w:eastAsia="Arial" w:hAnsi="Arial"/>
          <w:sz w:val="15"/>
          <w:szCs w:val="15"/>
          <w:color w:val="auto"/>
        </w:rPr>
        <w:t>transferee has agreed in writing to be bound by the same terms described in this Lock-Up Agreement to the extent and for the duration that such terms remain in effect at the time of the transfer.</w:t>
      </w:r>
    </w:p>
    <w:p>
      <w:pPr>
        <w:spacing w:after="0" w:line="142" w:lineRule="exact"/>
        <w:rPr>
          <w:sz w:val="20"/>
          <w:szCs w:val="20"/>
          <w:color w:val="auto"/>
        </w:rPr>
      </w:pPr>
    </w:p>
    <w:p>
      <w:pPr>
        <w:ind w:right="80" w:firstLine="505"/>
        <w:spacing w:after="0" w:line="252" w:lineRule="auto"/>
        <w:rPr>
          <w:sz w:val="20"/>
          <w:szCs w:val="20"/>
          <w:color w:val="auto"/>
        </w:rPr>
      </w:pPr>
      <w:r>
        <w:rPr>
          <w:rFonts w:ascii="Arial" w:cs="Arial" w:eastAsia="Arial" w:hAnsi="Arial"/>
          <w:sz w:val="15"/>
          <w:szCs w:val="15"/>
          <w:color w:val="auto"/>
        </w:rPr>
        <w:t>The undersigned now has, and, except as contemplated by clauses (a),(c), (d) and (e)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In addition, and notwithstanding the provisions of the second paragraph of this Lock-up Agreement, if the undersigned is not an Excluded Holder as of the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Initial Earnings Release (each such person, an “</w:t>
      </w:r>
      <w:r>
        <w:rPr>
          <w:rFonts w:ascii="Arial" w:cs="Arial" w:eastAsia="Arial" w:hAnsi="Arial"/>
          <w:sz w:val="15"/>
          <w:szCs w:val="15"/>
          <w:u w:val="single" w:color="auto"/>
          <w:color w:val="auto"/>
        </w:rPr>
        <w:t>Eligible Release Party</w:t>
      </w:r>
      <w:r>
        <w:rPr>
          <w:rFonts w:ascii="Arial" w:cs="Arial" w:eastAsia="Arial" w:hAnsi="Arial"/>
          <w:sz w:val="15"/>
          <w:szCs w:val="15"/>
          <w:color w:val="auto"/>
        </w:rPr>
        <w:t>”) and the closing price of the Common Stock on the Nasdaq Stock Market (rounded up to the</w:t>
      </w:r>
    </w:p>
    <w:p>
      <w:pPr>
        <w:spacing w:after="0"/>
        <w:rPr>
          <w:sz w:val="20"/>
          <w:szCs w:val="20"/>
          <w:color w:val="auto"/>
        </w:rPr>
      </w:pPr>
      <w:r>
        <w:rPr>
          <w:rFonts w:ascii="Arial" w:cs="Arial" w:eastAsia="Arial" w:hAnsi="Arial"/>
          <w:sz w:val="15"/>
          <w:szCs w:val="15"/>
          <w:color w:val="auto"/>
        </w:rPr>
        <w:t>nearest cent) has exceeded 125% of the initial public offering price per Share set forth on the cover page of the Prospectus on at least five (5) Trading Days (one of</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which must be a Trading Day occurring after the date of the Initial Earnings Release) out of any ten (10) consecutive Trading Day period, subject as applicable to the</w:t>
      </w:r>
    </w:p>
    <w:p>
      <w:pPr>
        <w:spacing w:after="0"/>
        <w:rPr>
          <w:sz w:val="20"/>
          <w:szCs w:val="20"/>
          <w:color w:val="auto"/>
        </w:rPr>
      </w:pPr>
      <w:r>
        <w:rPr>
          <w:rFonts w:ascii="Arial" w:cs="Arial" w:eastAsia="Arial" w:hAnsi="Arial"/>
          <w:sz w:val="15"/>
          <w:szCs w:val="15"/>
          <w:color w:val="auto"/>
        </w:rPr>
        <w:t>Eligible Release Party, to compliance with the Company’s insider trading policy, as it may be amended from time to time (the “</w:t>
      </w:r>
      <w:r>
        <w:rPr>
          <w:rFonts w:ascii="Arial" w:cs="Arial" w:eastAsia="Arial" w:hAnsi="Arial"/>
          <w:sz w:val="15"/>
          <w:szCs w:val="15"/>
          <w:u w:val="single" w:color="auto"/>
          <w:color w:val="auto"/>
        </w:rPr>
        <w:t>Insider Trading Policy</w:t>
      </w:r>
      <w:r>
        <w:rPr>
          <w:rFonts w:ascii="Arial" w:cs="Arial" w:eastAsia="Arial" w:hAnsi="Arial"/>
          <w:sz w:val="15"/>
          <w:szCs w:val="15"/>
          <w:color w:val="auto"/>
        </w:rPr>
        <w:t>”), applicable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securities laws, including, without limitation, Rule 144 promulgated under the Securities Act and the securities laws of applicable non-U.S. jurisdictions, and</w:t>
      </w:r>
    </w:p>
    <w:p>
      <w:pPr>
        <w:spacing w:after="0" w:line="234" w:lineRule="auto"/>
        <w:rPr>
          <w:sz w:val="20"/>
          <w:szCs w:val="20"/>
          <w:color w:val="auto"/>
        </w:rPr>
      </w:pPr>
      <w:r>
        <w:rPr>
          <w:rFonts w:ascii="Arial" w:cs="Arial" w:eastAsia="Arial" w:hAnsi="Arial"/>
          <w:sz w:val="15"/>
          <w:szCs w:val="15"/>
          <w:color w:val="auto"/>
        </w:rPr>
        <w:t>applicable contractual restrictions and limitations, the undersigned may sell in the public market, beginning at the opening of trading on the second Trading Day (the</w:t>
      </w: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Partial Release Date</w:t>
      </w:r>
      <w:r>
        <w:rPr>
          <w:rFonts w:ascii="Arial" w:cs="Arial" w:eastAsia="Arial" w:hAnsi="Arial"/>
          <w:sz w:val="15"/>
          <w:szCs w:val="15"/>
          <w:color w:val="auto"/>
        </w:rPr>
        <w:t>”) after the applicable ten (10) consecutive Trading Day period, a number of shares of Common Stock not in excess of the applicable Maximum</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Percentage (as defined below) of the sum of the aggregate number of (1) vested shares of Common Stock and other securities convertible into or exercisable or</w:t>
      </w:r>
    </w:p>
    <w:p>
      <w:pPr>
        <w:spacing w:after="0"/>
        <w:rPr>
          <w:sz w:val="20"/>
          <w:szCs w:val="20"/>
          <w:color w:val="auto"/>
        </w:rPr>
      </w:pPr>
      <w:r>
        <w:rPr>
          <w:rFonts w:ascii="Arial" w:cs="Arial" w:eastAsia="Arial" w:hAnsi="Arial"/>
          <w:sz w:val="15"/>
          <w:szCs w:val="15"/>
          <w:color w:val="auto"/>
        </w:rPr>
        <w:t>exchangeable for Common Stock owned by the undersigned as of the date of the Company’s initial public filing of the Registration Statement (the “</w:t>
      </w:r>
      <w:r>
        <w:rPr>
          <w:rFonts w:ascii="Arial" w:cs="Arial" w:eastAsia="Arial" w:hAnsi="Arial"/>
          <w:sz w:val="15"/>
          <w:szCs w:val="15"/>
          <w:u w:val="single" w:color="auto"/>
          <w:color w:val="auto"/>
        </w:rPr>
        <w:t>Public Filing</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Date</w:t>
      </w:r>
      <w:r>
        <w:rPr>
          <w:rFonts w:ascii="Arial" w:cs="Arial" w:eastAsia="Arial" w:hAnsi="Arial"/>
          <w:sz w:val="15"/>
          <w:szCs w:val="15"/>
          <w:color w:val="auto"/>
        </w:rPr>
        <w:t>”) and (2) vested shares of Common Stock and other securities convertible into or exercisable or exchangeable for Common Stock owned by the undersigned as</w:t>
      </w:r>
    </w:p>
    <w:p>
      <w:pPr>
        <w:spacing w:after="0"/>
        <w:rPr>
          <w:sz w:val="20"/>
          <w:szCs w:val="20"/>
          <w:color w:val="auto"/>
        </w:rPr>
      </w:pPr>
      <w:r>
        <w:rPr>
          <w:rFonts w:ascii="Arial" w:cs="Arial" w:eastAsia="Arial" w:hAnsi="Arial"/>
          <w:sz w:val="15"/>
          <w:szCs w:val="15"/>
          <w:color w:val="auto"/>
        </w:rPr>
        <w:t>of the Public Filing Date and through the first calendar day of the month in which the Initial Earnings Release occurs, including such vested shares and other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securities convertible into or exercisable or exchangeable for Common Stock that are held by any trust for the direct or indirect benefit of the undersigned or of an</w:t>
      </w:r>
    </w:p>
    <w:p>
      <w:pPr>
        <w:spacing w:after="0" w:line="234" w:lineRule="auto"/>
        <w:rPr>
          <w:sz w:val="20"/>
          <w:szCs w:val="20"/>
          <w:color w:val="auto"/>
        </w:rPr>
      </w:pPr>
      <w:r>
        <w:rPr>
          <w:rFonts w:ascii="Arial" w:cs="Arial" w:eastAsia="Arial" w:hAnsi="Arial"/>
          <w:sz w:val="15"/>
          <w:szCs w:val="15"/>
          <w:color w:val="auto"/>
        </w:rPr>
        <w:t>immediate family member of the undersigned, provided that the Partial Release Date can only occur in a broadly applicable “open trading window” period during</w:t>
      </w:r>
    </w:p>
    <w:p>
      <w:pPr>
        <w:spacing w:after="0"/>
        <w:rPr>
          <w:sz w:val="20"/>
          <w:szCs w:val="20"/>
          <w:color w:val="auto"/>
        </w:rPr>
      </w:pPr>
      <w:r>
        <w:rPr>
          <w:rFonts w:ascii="Arial" w:cs="Arial" w:eastAsia="Arial" w:hAnsi="Arial"/>
          <w:sz w:val="15"/>
          <w:szCs w:val="15"/>
          <w:color w:val="auto"/>
        </w:rPr>
        <w:t>which trading in the Company’s securities is permitted under the Insider Trading Policy.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For purposes of this Lock-Up Agreement:</w:t>
      </w:r>
    </w:p>
    <w:p>
      <w:pPr>
        <w:spacing w:after="0" w:line="185" w:lineRule="exact"/>
        <w:rPr>
          <w:sz w:val="20"/>
          <w:szCs w:val="20"/>
          <w:color w:val="auto"/>
        </w:rPr>
      </w:pPr>
    </w:p>
    <w:p>
      <w:pPr>
        <w:ind w:left="500" w:right="120" w:hanging="244"/>
        <w:spacing w:after="0" w:line="251" w:lineRule="auto"/>
        <w:tabs>
          <w:tab w:leader="none" w:pos="491" w:val="left"/>
        </w:tabs>
        <w:numPr>
          <w:ilvl w:val="0"/>
          <w:numId w:val="2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Holder</w:t>
      </w:r>
      <w:r>
        <w:rPr>
          <w:rFonts w:ascii="Arial" w:cs="Arial" w:eastAsia="Arial" w:hAnsi="Arial"/>
          <w:sz w:val="15"/>
          <w:szCs w:val="15"/>
          <w:color w:val="auto"/>
        </w:rPr>
        <w:t>” shall mean (i) any member of the Board of Directors of the Company, (ii) any “officer” of the Company within the meaning of Section 16 of the Exchange Act, and (iii) any limited liability company, partnership, corporation, trust or other entity associated with an individual identified in the preceding clauses (i) and (ii). Notwithstanding anything herein to the contrary,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shall not be deemed an Excluded Holder.</w:t>
      </w:r>
    </w:p>
    <w:p>
      <w:pPr>
        <w:sectPr>
          <w:pgSz w:w="11900" w:h="16838" w:orient="portrait"/>
          <w:cols w:equalWidth="0" w:num="1">
            <w:col w:w="11260"/>
          </w:cols>
          <w:pgMar w:left="300" w:top="1132" w:right="339" w:bottom="1440" w:gutter="0" w:footer="0" w:header="0"/>
        </w:sectPr>
      </w:pPr>
    </w:p>
    <w:bookmarkStart w:id="386" w:name="page387"/>
    <w:bookmarkEnd w:id="386"/>
    <w:p>
      <w:pPr>
        <w:ind w:left="500" w:right="620" w:hanging="244"/>
        <w:spacing w:after="0" w:line="274" w:lineRule="auto"/>
        <w:tabs>
          <w:tab w:leader="none" w:pos="491"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Initial Earnings Release</w:t>
      </w:r>
      <w:r>
        <w:rPr>
          <w:rFonts w:ascii="Arial" w:cs="Arial" w:eastAsia="Arial" w:hAnsi="Arial"/>
          <w:sz w:val="15"/>
          <w:szCs w:val="15"/>
          <w:color w:val="auto"/>
        </w:rPr>
        <w:t>” shall mean the Company’s public announcement of its earnings (which for this purpose shall not include “flash” numbers or preliminary, partial earnings) for the fiscal year ending January 31, 2026;</w:t>
      </w:r>
    </w:p>
    <w:p>
      <w:pPr>
        <w:spacing w:after="0" w:line="142" w:lineRule="exact"/>
        <w:rPr>
          <w:rFonts w:ascii="Arial" w:cs="Arial" w:eastAsia="Arial" w:hAnsi="Arial"/>
          <w:sz w:val="15"/>
          <w:szCs w:val="15"/>
          <w:color w:val="auto"/>
        </w:rPr>
      </w:pPr>
    </w:p>
    <w:p>
      <w:pPr>
        <w:ind w:left="500" w:hanging="244"/>
        <w:spacing w:after="0"/>
        <w:tabs>
          <w:tab w:leader="none" w:pos="5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Maximum Percentage</w:t>
      </w:r>
      <w:r>
        <w:rPr>
          <w:rFonts w:ascii="Arial" w:cs="Arial" w:eastAsia="Arial" w:hAnsi="Arial"/>
          <w:sz w:val="15"/>
          <w:szCs w:val="15"/>
          <w:color w:val="auto"/>
        </w:rPr>
        <w:t>” shall mean:</w:t>
      </w:r>
    </w:p>
    <w:p>
      <w:pPr>
        <w:spacing w:after="0" w:line="184" w:lineRule="exact"/>
        <w:rPr>
          <w:rFonts w:ascii="Arial" w:cs="Arial" w:eastAsia="Arial" w:hAnsi="Arial"/>
          <w:sz w:val="15"/>
          <w:szCs w:val="15"/>
          <w:color w:val="auto"/>
        </w:rPr>
      </w:pPr>
    </w:p>
    <w:p>
      <w:pPr>
        <w:ind w:left="1020" w:right="660" w:hanging="259"/>
        <w:spacing w:after="0" w:line="289" w:lineRule="auto"/>
        <w:tabs>
          <w:tab w:leader="none" w:pos="1012" w:val="left"/>
        </w:tabs>
        <w:numPr>
          <w:ilvl w:val="1"/>
          <w:numId w:val="241"/>
        </w:numPr>
        <w:rPr>
          <w:rFonts w:ascii="Arial" w:cs="Arial" w:eastAsia="Arial" w:hAnsi="Arial"/>
          <w:sz w:val="15"/>
          <w:szCs w:val="15"/>
          <w:color w:val="auto"/>
        </w:rPr>
      </w:pPr>
      <w:r>
        <w:rPr>
          <w:rFonts w:ascii="Arial" w:cs="Arial" w:eastAsia="Arial" w:hAnsi="Arial"/>
          <w:sz w:val="15"/>
          <w:szCs w:val="15"/>
          <w:color w:val="auto"/>
        </w:rPr>
        <w:t>20% with respect to any employee or service provider of the Company as of the Public Filing Date who is not an Excluded Holder (a “</w:t>
      </w:r>
      <w:r>
        <w:rPr>
          <w:rFonts w:ascii="Arial" w:cs="Arial" w:eastAsia="Arial" w:hAnsi="Arial"/>
          <w:sz w:val="15"/>
          <w:szCs w:val="15"/>
          <w:u w:val="single" w:color="auto"/>
          <w:color w:val="auto"/>
        </w:rPr>
        <w:t>Service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Provider</w:t>
      </w:r>
      <w:r>
        <w:rPr>
          <w:rFonts w:ascii="Arial" w:cs="Arial" w:eastAsia="Arial" w:hAnsi="Arial"/>
          <w:sz w:val="15"/>
          <w:szCs w:val="15"/>
          <w:color w:val="auto"/>
        </w:rPr>
        <w:t>”);</w:t>
      </w:r>
    </w:p>
    <w:p>
      <w:pPr>
        <w:spacing w:after="0" w:line="120" w:lineRule="exact"/>
        <w:rPr>
          <w:rFonts w:ascii="Arial" w:cs="Arial" w:eastAsia="Arial" w:hAnsi="Arial"/>
          <w:sz w:val="15"/>
          <w:szCs w:val="15"/>
          <w:color w:val="auto"/>
        </w:rPr>
      </w:pPr>
    </w:p>
    <w:p>
      <w:pPr>
        <w:ind w:left="1020" w:right="180" w:hanging="259"/>
        <w:spacing w:after="0" w:line="251" w:lineRule="auto"/>
        <w:tabs>
          <w:tab w:leader="none" w:pos="1012" w:val="left"/>
        </w:tabs>
        <w:numPr>
          <w:ilvl w:val="1"/>
          <w:numId w:val="241"/>
        </w:numPr>
        <w:rPr>
          <w:rFonts w:ascii="Arial" w:cs="Arial" w:eastAsia="Arial" w:hAnsi="Arial"/>
          <w:sz w:val="15"/>
          <w:szCs w:val="15"/>
          <w:color w:val="auto"/>
        </w:rPr>
      </w:pPr>
      <w:r>
        <w:rPr>
          <w:rFonts w:ascii="Arial" w:cs="Arial" w:eastAsia="Arial" w:hAnsi="Arial"/>
          <w:sz w:val="15"/>
          <w:szCs w:val="15"/>
          <w:color w:val="auto"/>
        </w:rPr>
        <w:t>10% with respect to any equityholder of the Company’s redeemable convertible preferred stock as of the Public Filing Date who is not an Excluded Holder and that, as of the Public Filing Date, has submitted an irrevocable election to sell at least 25% of such holder’s outstanding shares of the Company’s redeemable convertible preferred stock, Common Stock, vested options or RSUs that have satisfied applicable time and service vesting conditions prior to the Public Offering, including any such securities held by affiliates of such holder, calculated as of the Public Filing Date, to the Underwriters in the Public Offering (a “</w:t>
      </w:r>
      <w:r>
        <w:rPr>
          <w:rFonts w:ascii="Arial" w:cs="Arial" w:eastAsia="Arial" w:hAnsi="Arial"/>
          <w:sz w:val="15"/>
          <w:szCs w:val="15"/>
          <w:u w:val="single" w:color="auto"/>
          <w:color w:val="auto"/>
        </w:rPr>
        <w:t>Selling Preferred Stockholder</w:t>
      </w:r>
      <w:r>
        <w:rPr>
          <w:rFonts w:ascii="Arial" w:cs="Arial" w:eastAsia="Arial" w:hAnsi="Arial"/>
          <w:sz w:val="15"/>
          <w:szCs w:val="15"/>
          <w:color w:val="auto"/>
        </w:rPr>
        <w:t>”);</w:t>
      </w:r>
    </w:p>
    <w:p>
      <w:pPr>
        <w:spacing w:after="0" w:line="149" w:lineRule="exact"/>
        <w:rPr>
          <w:rFonts w:ascii="Arial" w:cs="Arial" w:eastAsia="Arial" w:hAnsi="Arial"/>
          <w:sz w:val="15"/>
          <w:szCs w:val="15"/>
          <w:color w:val="auto"/>
        </w:rPr>
      </w:pPr>
    </w:p>
    <w:p>
      <w:pPr>
        <w:ind w:left="1000" w:hanging="239"/>
        <w:spacing w:after="0"/>
        <w:tabs>
          <w:tab w:leader="none" w:pos="1000" w:val="left"/>
        </w:tabs>
        <w:numPr>
          <w:ilvl w:val="1"/>
          <w:numId w:val="241"/>
        </w:numPr>
        <w:rPr>
          <w:rFonts w:ascii="Arial" w:cs="Arial" w:eastAsia="Arial" w:hAnsi="Arial"/>
          <w:sz w:val="15"/>
          <w:szCs w:val="15"/>
          <w:color w:val="auto"/>
        </w:rPr>
      </w:pPr>
      <w:r>
        <w:rPr>
          <w:rFonts w:ascii="Arial" w:cs="Arial" w:eastAsia="Arial" w:hAnsi="Arial"/>
          <w:sz w:val="15"/>
          <w:szCs w:val="15"/>
          <w:color w:val="auto"/>
        </w:rPr>
        <w:t>5% with respect to any equityholder of the Company who is not a Service Provider, a Selling Preferred Stockholder or an Excluded Holder;</w:t>
      </w:r>
    </w:p>
    <w:p>
      <w:pPr>
        <w:spacing w:after="0" w:line="195" w:lineRule="exact"/>
        <w:rPr>
          <w:rFonts w:ascii="Arial" w:cs="Arial" w:eastAsia="Arial" w:hAnsi="Arial"/>
          <w:sz w:val="15"/>
          <w:szCs w:val="15"/>
          <w:color w:val="auto"/>
        </w:rPr>
      </w:pPr>
    </w:p>
    <w:p>
      <w:pPr>
        <w:ind w:left="500" w:right="320" w:hanging="244"/>
        <w:spacing w:after="0" w:line="274" w:lineRule="auto"/>
        <w:tabs>
          <w:tab w:leader="none" w:pos="491"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Earnings Release</w:t>
      </w:r>
      <w:r>
        <w:rPr>
          <w:rFonts w:ascii="Arial" w:cs="Arial" w:eastAsia="Arial" w:hAnsi="Arial"/>
          <w:sz w:val="15"/>
          <w:szCs w:val="15"/>
          <w:color w:val="auto"/>
          <w:highlight w:val="white"/>
        </w:rPr>
        <w:t>” shall mean the Company’s release of earnings (which for this purpose shall not include “flash” numbers or preliminary, partial</w:t>
      </w:r>
      <w:r>
        <w:rPr>
          <w:rFonts w:ascii="Arial" w:cs="Arial" w:eastAsia="Arial" w:hAnsi="Arial"/>
          <w:sz w:val="15"/>
          <w:szCs w:val="15"/>
          <w:color w:val="auto"/>
        </w:rPr>
        <w:t xml:space="preserve"> earnings) for the fiscal quarterly period ending April 30, 2026; and</w:t>
      </w:r>
    </w:p>
    <w:p>
      <w:pPr>
        <w:spacing w:after="0" w:line="131" w:lineRule="exact"/>
        <w:rPr>
          <w:rFonts w:ascii="Arial" w:cs="Arial" w:eastAsia="Arial" w:hAnsi="Arial"/>
          <w:sz w:val="15"/>
          <w:szCs w:val="15"/>
          <w:color w:val="auto"/>
        </w:rPr>
      </w:pPr>
    </w:p>
    <w:p>
      <w:pPr>
        <w:ind w:left="500" w:hanging="244"/>
        <w:spacing w:after="0"/>
        <w:tabs>
          <w:tab w:leader="none" w:pos="5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Day</w:t>
      </w:r>
      <w:r>
        <w:rPr>
          <w:rFonts w:ascii="Arial" w:cs="Arial" w:eastAsia="Arial" w:hAnsi="Arial"/>
          <w:sz w:val="15"/>
          <w:szCs w:val="15"/>
          <w:color w:val="auto"/>
          <w:highlight w:val="white"/>
        </w:rPr>
        <w:t>” shall mean a day on which the Nasdaq Stock Market is open for the buying and selling of securities.</w:t>
      </w:r>
    </w:p>
    <w:p>
      <w:pPr>
        <w:spacing w:after="0" w:line="195" w:lineRule="exact"/>
        <w:rPr>
          <w:sz w:val="20"/>
          <w:szCs w:val="20"/>
          <w:color w:val="auto"/>
        </w:rPr>
      </w:pPr>
    </w:p>
    <w:p>
      <w:pPr>
        <w:ind w:right="80" w:firstLine="505"/>
        <w:spacing w:after="0" w:line="245" w:lineRule="auto"/>
        <w:rPr>
          <w:sz w:val="20"/>
          <w:szCs w:val="20"/>
          <w:color w:val="auto"/>
        </w:rPr>
      </w:pPr>
      <w:r>
        <w:rPr>
          <w:rFonts w:ascii="Arial" w:cs="Arial" w:eastAsia="Arial" w:hAnsi="Arial"/>
          <w:sz w:val="15"/>
          <w:szCs w:val="15"/>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66" w:lineRule="exact"/>
        <w:rPr>
          <w:sz w:val="20"/>
          <w:szCs w:val="20"/>
          <w:color w:val="auto"/>
        </w:rPr>
      </w:pPr>
    </w:p>
    <w:p>
      <w:pPr>
        <w:ind w:firstLine="505"/>
        <w:spacing w:after="0" w:line="247" w:lineRule="auto"/>
        <w:rPr>
          <w:sz w:val="20"/>
          <w:szCs w:val="20"/>
          <w:color w:val="auto"/>
        </w:rPr>
      </w:pPr>
      <w:r>
        <w:rPr>
          <w:rFonts w:ascii="Arial" w:cs="Arial" w:eastAsia="Arial" w:hAnsi="Arial"/>
          <w:sz w:val="15"/>
          <w:szCs w:val="15"/>
          <w:color w:val="auto"/>
        </w:rPr>
        <w:t>This Lock-Up Agreement shall automatically terminate and the undersigned shall be released from all of his, her or its obligations hereunder upon the earliest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December 31, 2025, in the event that the Underwriting Agreement</w:t>
      </w:r>
    </w:p>
    <w:p>
      <w:pPr>
        <w:sectPr>
          <w:pgSz w:w="11900" w:h="16838" w:orient="portrait"/>
          <w:cols w:equalWidth="0" w:num="1">
            <w:col w:w="11240"/>
          </w:cols>
          <w:pgMar w:left="300" w:top="1132" w:right="359" w:bottom="1440" w:gutter="0" w:footer="0" w:header="0"/>
        </w:sectPr>
      </w:pPr>
    </w:p>
    <w:bookmarkStart w:id="387" w:name="page388"/>
    <w:bookmarkEnd w:id="387"/>
    <w:p>
      <w:pPr>
        <w:spacing w:after="0" w:line="274" w:lineRule="auto"/>
        <w:rPr>
          <w:sz w:val="20"/>
          <w:szCs w:val="20"/>
          <w:color w:val="auto"/>
        </w:rPr>
      </w:pPr>
      <w:r>
        <w:rPr>
          <w:rFonts w:ascii="Arial" w:cs="Arial" w:eastAsia="Arial" w:hAnsi="Arial"/>
          <w:sz w:val="15"/>
          <w:szCs w:val="15"/>
          <w:color w:val="auto"/>
        </w:rPr>
        <w:t>has not been executed by such date (provided, however, that the Company may, by written notice to the undersigned prior to such date, extend such date by a period of up to an additional 90 days).</w:t>
      </w:r>
    </w:p>
    <w:p>
      <w:pPr>
        <w:spacing w:after="0" w:line="142" w:lineRule="exact"/>
        <w:rPr>
          <w:sz w:val="20"/>
          <w:szCs w:val="20"/>
          <w:color w:val="auto"/>
        </w:rPr>
      </w:pPr>
    </w:p>
    <w:p>
      <w:pPr>
        <w:ind w:right="80" w:firstLine="505"/>
        <w:spacing w:after="0" w:line="252" w:lineRule="auto"/>
        <w:rPr>
          <w:sz w:val="20"/>
          <w:szCs w:val="20"/>
          <w:color w:val="auto"/>
        </w:rPr>
      </w:pPr>
      <w:r>
        <w:rPr>
          <w:rFonts w:ascii="Arial" w:cs="Arial" w:eastAsia="Arial" w:hAnsi="Arial"/>
          <w:sz w:val="15"/>
          <w:szCs w:val="15"/>
          <w:color w:val="auto"/>
        </w:rPr>
        <w:t>Notwithstanding anything herein to the contrary, Goldman Sachs &amp; Co. LLC and its affiliates, other than the undersigned, may engage in brokerage, investment advisory, financial advisory, anti-raid advisory, merger advisory, financing, asset management, trading, market making, arbitrage, principal investing and other similar activities conducted in the ordinary course of their affiliates’ business. The undersigned understands that the Company and the Underwriters are relying upon this Lock-Up Agreement in proceeding toward consummation of the Public Offering.</w:t>
      </w:r>
    </w:p>
    <w:p>
      <w:pPr>
        <w:spacing w:after="0" w:line="159" w:lineRule="exact"/>
        <w:rPr>
          <w:sz w:val="20"/>
          <w:szCs w:val="20"/>
          <w:color w:val="auto"/>
        </w:rPr>
      </w:pPr>
    </w:p>
    <w:p>
      <w:pPr>
        <w:ind w:right="160" w:firstLine="505"/>
        <w:spacing w:after="0" w:line="247" w:lineRule="auto"/>
        <w:rPr>
          <w:sz w:val="20"/>
          <w:szCs w:val="20"/>
          <w:color w:val="auto"/>
        </w:rPr>
      </w:pPr>
      <w:r>
        <w:rPr>
          <w:rFonts w:ascii="Arial" w:cs="Arial" w:eastAsia="Arial" w:hAnsi="Arial"/>
          <w:sz w:val="15"/>
          <w:szCs w:val="15"/>
          <w:color w:val="auto"/>
        </w:rPr>
        <w:t>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[Remainder of page intentionally left blank]</w:t>
      </w:r>
    </w:p>
    <w:p>
      <w:pPr>
        <w:sectPr>
          <w:pgSz w:w="11900" w:h="16838" w:orient="portrait"/>
          <w:cols w:equalWidth="0" w:num="1">
            <w:col w:w="11260"/>
          </w:cols>
          <w:pgMar w:left="300" w:top="1132" w:right="339" w:bottom="1440" w:gutter="0" w:footer="0" w:header="0"/>
        </w:sectPr>
      </w:pPr>
    </w:p>
    <w:bookmarkStart w:id="388" w:name="page389"/>
    <w:bookmarkEnd w:id="388"/>
    <w:p>
      <w:pPr>
        <w:spacing w:after="0"/>
        <w:rPr>
          <w:sz w:val="20"/>
          <w:szCs w:val="20"/>
          <w:color w:val="auto"/>
        </w:rPr>
      </w:pPr>
      <w:r>
        <w:rPr>
          <w:rFonts w:ascii="Arial" w:cs="Arial" w:eastAsia="Arial" w:hAnsi="Arial"/>
          <w:sz w:val="15"/>
          <w:szCs w:val="15"/>
          <w:color w:val="auto"/>
        </w:rPr>
        <w:t>Very truly yours,</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IF AN INDIVIDUAL:</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 __________________________________</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(duly authorized signature)</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 ________________________________</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(please print full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IF AN ENTITY:</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15"/>
          <w:szCs w:val="15"/>
          <w:i w:val="1"/>
          <w:iCs w:val="1"/>
          <w:color w:val="auto"/>
        </w:rPr>
        <w:t>______________________________________</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5"/>
          <w:szCs w:val="15"/>
          <w:i w:val="1"/>
          <w:iCs w:val="1"/>
          <w:color w:val="auto"/>
        </w:rPr>
        <w:t>(please print complete name of entity)</w:t>
      </w:r>
    </w:p>
    <w:p>
      <w:pPr>
        <w:spacing w:after="0" w:line="200" w:lineRule="exact"/>
        <w:rPr>
          <w:sz w:val="20"/>
          <w:szCs w:val="20"/>
          <w:color w:val="auto"/>
        </w:rPr>
      </w:pPr>
    </w:p>
    <w:p>
      <w:pPr>
        <w:spacing w:after="0" w:line="25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By: __________________________________</w:t>
      </w:r>
    </w:p>
    <w:p>
      <w:pPr>
        <w:spacing w:after="0" w:line="10" w:lineRule="exact"/>
        <w:rPr>
          <w:sz w:val="20"/>
          <w:szCs w:val="20"/>
          <w:color w:val="auto"/>
        </w:rPr>
      </w:pPr>
    </w:p>
    <w:p>
      <w:pPr>
        <w:ind w:left="1660"/>
        <w:spacing w:after="0"/>
        <w:rPr>
          <w:sz w:val="20"/>
          <w:szCs w:val="20"/>
          <w:color w:val="auto"/>
        </w:rPr>
      </w:pPr>
      <w:r>
        <w:rPr>
          <w:rFonts w:ascii="Arial" w:cs="Arial" w:eastAsia="Arial" w:hAnsi="Arial"/>
          <w:sz w:val="15"/>
          <w:szCs w:val="15"/>
          <w:i w:val="1"/>
          <w:iCs w:val="1"/>
          <w:color w:val="auto"/>
        </w:rPr>
        <w:t>(duly authorized signature)</w:t>
      </w:r>
    </w:p>
    <w:p>
      <w:pPr>
        <w:spacing w:after="0" w:line="200" w:lineRule="exact"/>
        <w:rPr>
          <w:sz w:val="20"/>
          <w:szCs w:val="20"/>
          <w:color w:val="auto"/>
        </w:rPr>
      </w:pP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Name: ________________________________</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15"/>
          <w:szCs w:val="15"/>
          <w:i w:val="1"/>
          <w:iCs w:val="1"/>
          <w:color w:val="auto"/>
        </w:rPr>
        <w:t>(please print full name)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Title: _________________________________</w:t>
      </w:r>
    </w:p>
    <w:p>
      <w:pPr>
        <w:spacing w:after="0" w:line="10" w:lineRule="exact"/>
        <w:rPr>
          <w:sz w:val="20"/>
          <w:szCs w:val="20"/>
          <w:color w:val="auto"/>
        </w:rPr>
      </w:pPr>
    </w:p>
    <w:p>
      <w:pPr>
        <w:jc w:val="center"/>
        <w:ind w:right="839"/>
        <w:spacing w:after="0"/>
        <w:rPr>
          <w:sz w:val="20"/>
          <w:szCs w:val="20"/>
          <w:color w:val="auto"/>
        </w:rPr>
      </w:pPr>
      <w:r>
        <w:rPr>
          <w:rFonts w:ascii="Arial" w:cs="Arial" w:eastAsia="Arial" w:hAnsi="Arial"/>
          <w:sz w:val="15"/>
          <w:szCs w:val="15"/>
          <w:i w:val="1"/>
          <w:iCs w:val="1"/>
          <w:color w:val="auto"/>
        </w:rPr>
        <w:t>(please print full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7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Lock-up Agreement</w:t>
      </w:r>
    </w:p>
    <w:p>
      <w:pPr>
        <w:spacing w:after="0" w:line="10" w:lineRule="exact"/>
        <w:rPr>
          <w:sz w:val="20"/>
          <w:szCs w:val="20"/>
          <w:color w:val="auto"/>
        </w:rPr>
      </w:pPr>
    </w:p>
    <w:p>
      <w:pPr>
        <w:jc w:val="center"/>
        <w:ind w:right="3179"/>
        <w:spacing w:after="0"/>
        <w:rPr>
          <w:sz w:val="20"/>
          <w:szCs w:val="20"/>
          <w:color w:val="auto"/>
        </w:rPr>
      </w:pPr>
      <w:r>
        <w:rPr>
          <w:rFonts w:ascii="Arial" w:cs="Arial" w:eastAsia="Arial" w:hAnsi="Arial"/>
          <w:sz w:val="15"/>
          <w:szCs w:val="15"/>
          <w:i w:val="1"/>
          <w:iCs w:val="1"/>
          <w:color w:val="auto"/>
        </w:rPr>
        <w:t>Wealthfront Corporation</w:t>
      </w:r>
      <w:r>
        <w:rPr>
          <w:rFonts w:ascii="Arial" w:cs="Arial" w:eastAsia="Arial" w:hAnsi="Arial"/>
          <w:sz w:val="15"/>
          <w:szCs w:val="15"/>
          <w:color w:val="auto"/>
        </w:rPr>
        <w:t>]</w:t>
      </w:r>
    </w:p>
    <w:p>
      <w:pPr>
        <w:sectPr>
          <w:pgSz w:w="11900" w:h="16838" w:orient="portrait"/>
          <w:cols w:equalWidth="0" w:num="2">
            <w:col w:w="3600" w:space="720"/>
            <w:col w:w="5839"/>
          </w:cols>
          <w:pgMar w:left="300" w:top="1132" w:right="1440" w:bottom="1440" w:gutter="0" w:footer="0" w:header="0"/>
        </w:sectPr>
      </w:pPr>
    </w:p>
    <w:bookmarkStart w:id="389" w:name="page390"/>
    <w:bookmarkEnd w:id="389"/>
    <w:p>
      <w:pPr>
        <w:ind w:left="9500"/>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396240</wp:posOffset>
            </wp:positionV>
            <wp:extent cx="6054725" cy="4031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6054725" cy="4031615"/>
                    </a:xfrm>
                    <a:prstGeom prst="rect">
                      <a:avLst/>
                    </a:prstGeom>
                    <a:noFill/>
                  </pic:spPr>
                </pic:pic>
              </a:graphicData>
            </a:graphic>
          </wp:anchor>
        </w:drawing>
      </w:r>
    </w:p>
    <w:p>
      <w:pPr>
        <w:sectPr>
          <w:pgSz w:w="11900" w:h="16838" w:orient="portrait"/>
          <w:cols w:equalWidth="0" w:num="1">
            <w:col w:w="10140"/>
          </w:cols>
          <w:pgMar w:left="1440" w:top="122" w:right="319" w:bottom="1440"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1788795</wp:posOffset>
            </wp:positionH>
            <wp:positionV relativeFrom="page">
              <wp:posOffset>568960</wp:posOffset>
            </wp:positionV>
            <wp:extent cx="3971925" cy="5954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3971925" cy="595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28575</wp:posOffset>
            </wp:positionV>
            <wp:extent cx="4078605" cy="3206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4078605" cy="32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 2025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Wealthfront Corporation</w:t>
      </w:r>
    </w:p>
    <w:p>
      <w:pPr>
        <w:spacing w:after="0" w:line="233" w:lineRule="auto"/>
        <w:rPr>
          <w:sz w:val="20"/>
          <w:szCs w:val="20"/>
          <w:color w:val="auto"/>
        </w:rPr>
      </w:pPr>
      <w:r>
        <w:rPr>
          <w:rFonts w:ascii="Times New Roman" w:cs="Times New Roman" w:eastAsia="Times New Roman" w:hAnsi="Times New Roman"/>
          <w:sz w:val="17"/>
          <w:szCs w:val="17"/>
          <w:color w:val="auto"/>
        </w:rPr>
        <w:t>261 Hamilton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California 94301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Registration Statement on Form S-1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68" w:lineRule="exact"/>
        <w:rPr>
          <w:sz w:val="20"/>
          <w:szCs w:val="20"/>
          <w:color w:val="auto"/>
        </w:rPr>
      </w:pPr>
    </w:p>
    <w:p>
      <w:pPr>
        <w:jc w:val="both"/>
        <w:ind w:firstLine="505"/>
        <w:spacing w:after="0" w:line="269" w:lineRule="auto"/>
        <w:rPr>
          <w:sz w:val="20"/>
          <w:szCs w:val="20"/>
          <w:color w:val="auto"/>
        </w:rPr>
      </w:pPr>
      <w:r>
        <w:rPr>
          <w:rFonts w:ascii="Times New Roman" w:cs="Times New Roman" w:eastAsia="Times New Roman" w:hAnsi="Times New Roman"/>
          <w:sz w:val="16"/>
          <w:szCs w:val="16"/>
          <w:color w:val="auto"/>
        </w:rPr>
        <w:t>As counsel to Wealthfront Corporation,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we have examined the Registration Statement on Form S-1 (File Number 333-290583) initially filed by the Company with the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on September 29, 2025 (the “</w:t>
      </w:r>
      <w:r>
        <w:rPr>
          <w:rFonts w:ascii="Times New Roman" w:cs="Times New Roman" w:eastAsia="Times New Roman" w:hAnsi="Times New Roman"/>
          <w:sz w:val="16"/>
          <w:szCs w:val="16"/>
          <w:b w:val="1"/>
          <w:bCs w:val="1"/>
          <w:i w:val="1"/>
          <w:iCs w:val="1"/>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Statement</w:t>
      </w:r>
      <w:r>
        <w:rPr>
          <w:rFonts w:ascii="Times New Roman" w:cs="Times New Roman" w:eastAsia="Times New Roman" w:hAnsi="Times New Roman"/>
          <w:sz w:val="16"/>
          <w:szCs w:val="16"/>
          <w:color w:val="auto"/>
        </w:rPr>
        <w:t>”), as subsequently amended on December 2, 2025, including a related prospectus included in the Registration Statement (the “</w:t>
      </w:r>
      <w:r>
        <w:rPr>
          <w:rFonts w:ascii="Times New Roman" w:cs="Times New Roman" w:eastAsia="Times New Roman" w:hAnsi="Times New Roman"/>
          <w:sz w:val="16"/>
          <w:szCs w:val="16"/>
          <w:b w:val="1"/>
          <w:bCs w:val="1"/>
          <w:i w:val="1"/>
          <w:iCs w:val="1"/>
          <w:color w:val="auto"/>
        </w:rPr>
        <w:t>Prospectus</w:t>
      </w:r>
      <w:r>
        <w:rPr>
          <w:rFonts w:ascii="Times New Roman" w:cs="Times New Roman" w:eastAsia="Times New Roman" w:hAnsi="Times New Roman"/>
          <w:sz w:val="16"/>
          <w:szCs w:val="16"/>
          <w:color w:val="auto"/>
        </w:rPr>
        <w:t>”), in connection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the registration under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of up to an aggregate of 34,615,384 shares of common stock, $0.0001 par value per share of the Company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21,468,038 of which are being offered by the Company (the “</w:t>
      </w:r>
      <w:r>
        <w:rPr>
          <w:rFonts w:ascii="Times New Roman" w:cs="Times New Roman" w:eastAsia="Times New Roman" w:hAnsi="Times New Roman"/>
          <w:sz w:val="16"/>
          <w:szCs w:val="16"/>
          <w:b w:val="1"/>
          <w:bCs w:val="1"/>
          <w:i w:val="1"/>
          <w:iCs w:val="1"/>
          <w:color w:val="auto"/>
        </w:rPr>
        <w:t>Company Shares</w:t>
      </w:r>
      <w:r>
        <w:rPr>
          <w:rFonts w:ascii="Times New Roman" w:cs="Times New Roman" w:eastAsia="Times New Roman" w:hAnsi="Times New Roman"/>
          <w:sz w:val="16"/>
          <w:szCs w:val="16"/>
          <w:color w:val="auto"/>
        </w:rPr>
        <w:t>”) and 13,147,346 of which are being offered by certain selling stockholders (the “</w:t>
      </w:r>
      <w:r>
        <w:rPr>
          <w:rFonts w:ascii="Times New Roman" w:cs="Times New Roman" w:eastAsia="Times New Roman" w:hAnsi="Times New Roman"/>
          <w:sz w:val="16"/>
          <w:szCs w:val="16"/>
          <w:b w:val="1"/>
          <w:bCs w:val="1"/>
          <w:i w:val="1"/>
          <w:iCs w:val="1"/>
          <w:color w:val="auto"/>
        </w:rPr>
        <w:t>Selling Stockholders</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i w:val="1"/>
          <w:iCs w:val="1"/>
          <w:color w:val="auto"/>
        </w:rPr>
        <w:t>Selling Stockholder Shares</w:t>
      </w:r>
      <w:r>
        <w:rPr>
          <w:rFonts w:ascii="Times New Roman" w:cs="Times New Roman" w:eastAsia="Times New Roman" w:hAnsi="Times New Roman"/>
          <w:sz w:val="16"/>
          <w:szCs w:val="16"/>
          <w:color w:val="auto"/>
        </w:rPr>
        <w:t>,” and, together with the Company Shares,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This letter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Shares.</w:t>
      </w:r>
    </w:p>
    <w:p>
      <w:pPr>
        <w:spacing w:after="0" w:line="131"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7"/>
          <w:szCs w:val="17"/>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spacing w:after="0" w:line="139"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7"/>
          <w:szCs w:val="17"/>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w:t>
      </w:r>
    </w:p>
    <w:p>
      <w:pPr>
        <w:sectPr>
          <w:pgSz w:w="11900" w:h="16838" w:orient="portrait"/>
          <w:cols w:equalWidth="0" w:num="1">
            <w:col w:w="11280"/>
          </w:cols>
          <w:pgMar w:left="300" w:top="123" w:right="31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7"/>
          <w:szCs w:val="17"/>
          <w:color w:val="auto"/>
        </w:rPr>
        <w:t>Wealthfront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17"/>
          <w:szCs w:val="17"/>
          <w:b w:val="1"/>
          <w:bCs w:val="1"/>
          <w:i w:val="1"/>
          <w:iCs w:val="1"/>
          <w:color w:val="auto"/>
        </w:rPr>
        <w:t>EDGAR</w:t>
      </w:r>
      <w:r>
        <w:rPr>
          <w:rFonts w:ascii="Times New Roman" w:cs="Times New Roman" w:eastAsia="Times New Roman" w:hAnsi="Times New Roman"/>
          <w:sz w:val="17"/>
          <w:szCs w:val="17"/>
          <w:color w:val="auto"/>
        </w:rPr>
        <w:t>”), except for required EDGAR formatting changes, to physical copies submitted for our examination.</w:t>
      </w:r>
    </w:p>
    <w:p>
      <w:pPr>
        <w:spacing w:after="0" w:line="125" w:lineRule="exact"/>
        <w:rPr>
          <w:sz w:val="20"/>
          <w:szCs w:val="20"/>
          <w:color w:val="auto"/>
        </w:rPr>
      </w:pPr>
    </w:p>
    <w:p>
      <w:pPr>
        <w:jc w:val="both"/>
        <w:ind w:firstLine="505"/>
        <w:spacing w:after="0" w:line="285" w:lineRule="auto"/>
        <w:rPr>
          <w:sz w:val="20"/>
          <w:szCs w:val="20"/>
          <w:color w:val="auto"/>
        </w:rPr>
      </w:pPr>
      <w:r>
        <w:rPr>
          <w:rFonts w:ascii="Times New Roman" w:cs="Times New Roman" w:eastAsia="Times New Roman" w:hAnsi="Times New Roman"/>
          <w:sz w:val="17"/>
          <w:szCs w:val="17"/>
          <w:color w:val="auto"/>
        </w:rPr>
        <w:t>The opinions in this letter are limited to the existing General Corporation Law of the State of Delaware now in effect. We express no opinion with respect to any other laws.</w:t>
      </w:r>
    </w:p>
    <w:p>
      <w:pPr>
        <w:spacing w:after="0" w:line="114"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7"/>
          <w:szCs w:val="17"/>
          <w:color w:val="auto"/>
        </w:rPr>
        <w:t>In connection with our opinion expressed below, we have assumed that (i) the Registration Statement and any amendments (including any necessary post-effective amendments) will have been declared effective under the Securities Act, (ii) the Registration Statement will apply to the offer and sale of the Shares and will not have been modified or rescinded and (iii) the Company’s Amended and Restated Certificate of Incorporation, a form of which has been filed as an exhibit to the Registration Statement, is filed with the Secretary of State of the State of Delaware before issuance of the Shares.</w:t>
      </w:r>
    </w:p>
    <w:p>
      <w:pPr>
        <w:spacing w:after="0" w:line="150"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7"/>
          <w:szCs w:val="17"/>
          <w:color w:val="auto"/>
        </w:rPr>
        <w:t>Based upon the foregoing, and subject to the qualifications and exceptions contained herein, we are of the opinion that (i) the Selling Stockholder Shares to be sold by the Selling Stockholders pursuant to the Registration Statement are validly issued, fully paid and nonassessable and (ii) the Company Shares, when issued, sold and delivered in the manner and for the consideration stated in the Registration Statement and the Prospectus, and in accordance with the resolutions adopted by the Company’s board of directors and to be adopted by the Pricing Committee thereof, will be validly issued, fully paid and nonassessable.</w:t>
      </w:r>
    </w:p>
    <w:p>
      <w:pPr>
        <w:spacing w:after="0" w:line="140"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7"/>
          <w:szCs w:val="17"/>
          <w:color w:val="auto"/>
        </w:rPr>
        <w:t>We consent to the use of this opinion as an exhibit to the Registration Statement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[Concluding Paragraph Follows on Next Page]</w:t>
      </w:r>
    </w:p>
    <w:p>
      <w:pPr>
        <w:sectPr>
          <w:pgSz w:w="11900" w:h="16838" w:orient="portrait"/>
          <w:cols w:equalWidth="0" w:num="1">
            <w:col w:w="11280"/>
          </w:cols>
          <w:pgMar w:left="300" w:top="129" w:right="31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7"/>
          <w:szCs w:val="17"/>
          <w:color w:val="auto"/>
        </w:rPr>
        <w:t>Wealthfront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505"/>
        <w:spacing w:after="0" w:line="253" w:lineRule="auto"/>
        <w:rPr>
          <w:sz w:val="20"/>
          <w:szCs w:val="20"/>
          <w:color w:val="auto"/>
        </w:rPr>
      </w:pPr>
      <w:r>
        <w:rPr>
          <w:rFonts w:ascii="Times New Roman" w:cs="Times New Roman" w:eastAsia="Times New Roman" w:hAnsi="Times New Roman"/>
          <w:sz w:val="17"/>
          <w:szCs w:val="17"/>
          <w:color w:val="auto"/>
        </w:rPr>
        <w:t>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10795</wp:posOffset>
            </wp:positionV>
            <wp:extent cx="202946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2029460" cy="698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7"/>
          <w:szCs w:val="17"/>
          <w:color w:val="auto"/>
        </w:rPr>
        <w:t>FENWICK &amp; WEST LLP</w:t>
      </w:r>
    </w:p>
    <w:p>
      <w:pPr>
        <w:sectPr>
          <w:pgSz w:w="11900" w:h="16838" w:orient="portrait"/>
          <w:cols w:equalWidth="0" w:num="1">
            <w:col w:w="11280"/>
          </w:cols>
          <w:pgMar w:left="300" w:top="129" w:right="31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4"/>
          <w:szCs w:val="14"/>
          <w:b w:val="1"/>
          <w:bCs w:val="1"/>
          <w:color w:val="auto"/>
        </w:rPr>
        <w:t>Exhibit 10.12</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1079500</wp:posOffset>
            </wp:positionV>
            <wp:extent cx="716280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$250,000,000</w:t>
      </w:r>
    </w:p>
    <w:p>
      <w:pPr>
        <w:spacing w:after="0" w:line="1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AMENDED AND RESTATED CREDIT AGREEMENT</w:t>
      </w:r>
    </w:p>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dated as of October 14, 2025</w:t>
      </w:r>
    </w:p>
    <w:p>
      <w:pPr>
        <w:spacing w:after="0" w:line="18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by and among</w:t>
      </w:r>
    </w:p>
    <w:p>
      <w:pPr>
        <w:spacing w:after="0" w:line="16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WEALTHFRONT CORPORATION,</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as Borrower,</w:t>
      </w:r>
    </w:p>
    <w:p>
      <w:pPr>
        <w:spacing w:after="0" w:line="15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the Lenders referred to herein,</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Lenders,</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and</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WELLS FARGO BANK, NATIONAL ASSOCIATION,</w:t>
      </w:r>
    </w:p>
    <w:p>
      <w:pPr>
        <w:spacing w:after="0" w:line="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Administrative Agent,</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Swingline Lender and Issuing Lender</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WELLS FARGO SECURITIES, LLC,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231140</wp:posOffset>
            </wp:positionV>
            <wp:extent cx="716280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40"/>
          </w:cols>
          <w:pgMar w:left="1440" w:top="123" w:right="319"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222"/>
        </w:trPr>
        <w:tc>
          <w:tcPr>
            <w:tcW w:w="1900" w:type="dxa"/>
            <w:vAlign w:val="bottom"/>
          </w:tcPr>
          <w:p>
            <w:pPr>
              <w:spacing w:after="0"/>
              <w:rPr>
                <w:sz w:val="19"/>
                <w:szCs w:val="19"/>
                <w:color w:val="auto"/>
              </w:rPr>
            </w:pPr>
          </w:p>
        </w:tc>
        <w:tc>
          <w:tcPr>
            <w:tcW w:w="7100" w:type="dxa"/>
            <w:vAlign w:val="bottom"/>
          </w:tcPr>
          <w:p>
            <w:pPr>
              <w:ind w:left="28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260" w:type="dxa"/>
            <w:vAlign w:val="bottom"/>
          </w:tcPr>
          <w:p>
            <w:pPr>
              <w:spacing w:after="0"/>
              <w:rPr>
                <w:sz w:val="19"/>
                <w:szCs w:val="19"/>
                <w:color w:val="auto"/>
              </w:rPr>
            </w:pPr>
          </w:p>
        </w:tc>
      </w:tr>
      <w:tr>
        <w:trPr>
          <w:trHeight w:val="770"/>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ARTICLE I Definitions</w:t>
            </w:r>
          </w:p>
        </w:tc>
        <w:tc>
          <w:tcPr>
            <w:tcW w:w="71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Definitions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1.2</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Definitions and Provisions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1.3</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Accounting Terms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1.4</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UCC Terms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1.5</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Rounding</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1.6</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References to Agreement and Laws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1.7</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Times of Day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1.8</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Guarantees/Earn-Outs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1.9</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Covenant Compliance Generally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1.10</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8"/>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1.11</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Divisions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87"/>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Revolving Credit Facility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2.1</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Revolving Credit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2.2</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Swingline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2.3</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Procedure for Advances of Revolving Credit Loans and Swingline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2.4</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Repayment and Prepayment of Revolving Credit and Swingline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2.5</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Permanent Reduction of the Revolving Credit Commitment.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8"/>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2.6</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Termination of Revolving Credit Facility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87"/>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Letter of Credit Facility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3.1</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L/C Facility.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3.2</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Procedure for Issuance and Disbursement of Letters of Credit.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3.3</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Commissions and Other Charges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3.4</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L/C Participations.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3.5</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Reimbursement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3.6</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Obligations Absolute.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3.7</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Effect of Letter of Credit Documents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3.8</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Resignation of Issuing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3.9</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Reporting of Letter of Credit Information and L/C Commitment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3.10</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Letters of Credit Issued for Subsidiaries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8"/>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3.11</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Letter of Credit Amounts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94"/>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INTENTIONALLY OMITTED</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87"/>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General Loan Provisions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5.1</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5.2</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5.3</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5.4</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Manner of Payment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5.5</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Evidence of Indebtedness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5.6</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Sharing of Payments by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5.7</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Administrative Agent’s Clawback</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5.8</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Changed Circumstances.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5.9</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Indemnity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5.10</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Increased Costs.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0"/>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5.11</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Taxes.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8"/>
        </w:trPr>
        <w:tc>
          <w:tcPr>
            <w:tcW w:w="1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5.12</w:t>
            </w:r>
          </w:p>
        </w:tc>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Mitigation Obligations; Replacement of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60"/>
          </w:cols>
          <w:pgMar w:left="320" w:top="126" w:right="319" w:bottom="1440" w:gutter="0" w:footer="0" w:header="0"/>
        </w:sectPr>
      </w:pPr>
    </w:p>
    <w:bookmarkStart w:id="396" w:name="page397"/>
    <w:bookmarkEnd w:id="39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5.13</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Incremental Increases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5.14</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Cash Collateral</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8"/>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5.15</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Defaulting Lenders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87"/>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Conditions of Closing and Borrowing</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6.1</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Conditions to Closing and Initial Extensions of Credit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8"/>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6.2</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Conditions to All Extensions of Credit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87"/>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Representations and Warranties of the Credit Parties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Organization; Power; Qualification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7.2</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Ownership</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7.3</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Authorization; Enforceability</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7.4</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Compliance of Agreement, Loan Documents and Borrowing with Laws, Etc</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7.5</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Compliance with Law; Governmental Approvals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7.6</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Tax Returns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7.7</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Intellectual Property Matters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7.8</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Environmental Matters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7.9</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Employee Benefit Matters.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7.10</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Margin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7.11</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Government Regulation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7.12</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Material Contracts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7.13</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Employee Relations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7.14</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7.15</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No Material Adverse Change</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7.16</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Solvency</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7.17</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Title to Properties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7.18</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Litigation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7.19</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Anti-Corruption Laws; Anti-Money Laundering Laws; Sanctions and Outbound Investment Rules.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7.20</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Absence of Defaults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8"/>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7.21</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Disclosure</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87"/>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Affirmative Covenants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Financial Statements and Budgets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8.2</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Certificates; Other Reports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8.3</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Notice of Litigation and Other Matters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8.4</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Preservation of Corporate Existence and Related Matters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8.5</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Maintenance of Property and Licenses.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8.6</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Insurance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8.7</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Accounting Methods and Financial Records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8.8</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Payment of Taxes and Other Obligations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8.9</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Compliance with Laws and Approvals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8.10</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[Reserved].</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8.11</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Compliance with ERISA</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8.12</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Compliance with Material Contracts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0"/>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8.13</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Visits and Inspections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8"/>
        </w:trPr>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8.14</w:t>
            </w:r>
          </w:p>
        </w:tc>
        <w:tc>
          <w:tcPr>
            <w:tcW w:w="8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Additional Guarantors and Collateral</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1260"/>
          </w:cols>
          <w:pgMar w:left="320" w:top="125" w:right="319" w:bottom="1440" w:gutter="0" w:footer="0" w:header="0"/>
        </w:sectPr>
      </w:pPr>
    </w:p>
    <w:bookmarkStart w:id="397" w:name="page398"/>
    <w:bookmarkEnd w:id="39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8.15</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Depository Bank</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8.16</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 of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8.17</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6"/>
              </w:rPr>
              <w:t>Compliance with Anti-Corruption Laws; Beneficial Ownership Regulation, Anti-Money Laundering Laws and Sanctions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8.18</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Further Assurances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8"/>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8.19</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Post-Closing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87"/>
        </w:trPr>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Negative Covenants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9.1</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Indebtedness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9.2</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Liens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9.3</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9.4</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Fundamental Changes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9.5</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Dispositions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9.6</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Restricted Payments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9.7</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Transactions with Affiliates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9.8</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Accounting Changes; Organizational Documents.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9.9</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Payments and Modifications of Subordinated Indebtedness.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9.10</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 Further Negative Pledges; Restrictive Agreements.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9.11</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Nature of Business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9.12</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Financial Covenants.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9.13</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Limitations Regarding Outbound Investment Rules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9.14</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Disposal of Subsidiary Interests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8"/>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9.15</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Certain Transactions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87"/>
        </w:trPr>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 Default and Remedies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10.1</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Events of Default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10.2</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Remedies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10.3</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Rights and Remedies Cumulative; Non-Waiver; Etc.</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10.4</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Crediting of Payments and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10.5</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Administrative Agent May File Proofs of Claim</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18"/>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10.6</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 Bidding.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87"/>
        </w:trPr>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 The Administrative Agent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11.1</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Appointment and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11.2</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Rights as a Lender</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11.3</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Exculpatory Provisions.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11.4</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Reliance by the Administrative Agent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11.5</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Delegation of Duties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11.6</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Resignation of Administrative Agent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11.7</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Non-Reliance on Administrative Agent and Other Lenders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11.8</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 Other Duties, Etc</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11.9</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Collateral and Guaranty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11.10</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Secured Hedge Obligations and Secured Cash Management Obligations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10"/>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11.11</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Certain ERISA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18"/>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11.12</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Erroneous Payments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87"/>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ARTICLE XII Miscellaneous</w:t>
            </w:r>
          </w:p>
        </w:tc>
        <w:tc>
          <w:tcPr>
            <w:tcW w:w="8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8"/>
        </w:trPr>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Section 12.1</w:t>
            </w:r>
          </w:p>
        </w:tc>
        <w:tc>
          <w:tcPr>
            <w:tcW w:w="8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1260"/>
          </w:cols>
          <w:pgMar w:left="320" w:top="125" w:right="319" w:bottom="1440" w:gutter="0" w:footer="0" w:header="0"/>
        </w:sectPr>
      </w:pPr>
    </w:p>
    <w:bookmarkStart w:id="398" w:name="page399"/>
    <w:bookmarkEnd w:id="398"/>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12.2</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Amendments, Waivers and Consents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12.3</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Expenses; Indemnity.</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12.4</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Right of Setoff</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12.5</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Governing Law; Jurisdiction; Waiver of Consequential Damages; Etc.</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12.6</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Waiver of Jury Trial.</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12.7</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Reversal of Payments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12.8</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Injunctive Relief</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12.9</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Successors and Assigns; Participations.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12.10</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Treatment of Certain Information; Confidentiality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12.11</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Performance of Duties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12.12</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All Powers Coupled with Interest</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12.13</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Survival.</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12.14</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Titles and Captions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12.15</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Severability of Provisions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12.16</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Counterparts; Integration; Effectiveness; Electronic Execution.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12.17</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Term of Agreement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12.18</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USA PATRIOT Act; Anti-Money Laundering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12.19</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Independent Effect of Covenants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12.20</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 Advisory or Fiduciary Responsibility.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12.21</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Amendment and Restatement; No Novation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12.22</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Inconsistencies with Other Documents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12.23</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Acknowledgement and Consent to Bail-In of Affected Financial Institutions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Section 12.24</w:t>
            </w:r>
          </w:p>
        </w:tc>
        <w:tc>
          <w:tcPr>
            <w:tcW w:w="7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Acknowledgement Regarding Any Supported QFCs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840"/>
          </w:cols>
          <w:pgMar w:left="740" w:top="125" w:right="31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04"/>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920" w:type="dxa"/>
            <w:vAlign w:val="bottom"/>
          </w:tcPr>
          <w:p>
            <w:pPr>
              <w:ind w:left="210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218"/>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2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(continued)</w:t>
            </w:r>
          </w:p>
        </w:tc>
      </w:tr>
      <w:tr>
        <w:trPr>
          <w:trHeight w:val="539"/>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EXHIBITS</w:t>
            </w:r>
          </w:p>
        </w:tc>
        <w:tc>
          <w:tcPr>
            <w:tcW w:w="8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r>
      <w:tr>
        <w:trPr>
          <w:trHeight w:val="222"/>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A-1</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Revolving Credit Note</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A-2</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Swingline Note</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B</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Notice of Borrowing</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C</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Notice of Account Designation</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D</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Notice of Prepayment</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E</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[Reserved]</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F</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Compliance Certificate</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G</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Assignment and Assumption</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H-1</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U.S. Tax Compliance Certificate (Non-Partnership Foreign</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Lenders)</w:t>
            </w:r>
          </w:p>
        </w:tc>
        <w:tc>
          <w:tcPr>
            <w:tcW w:w="8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H-2</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U.S. Tax Compliance Certificate (Non-Partnership Foreign</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Participants)</w:t>
            </w:r>
          </w:p>
        </w:tc>
        <w:tc>
          <w:tcPr>
            <w:tcW w:w="8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H-3</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w w:val="94"/>
              </w:rPr>
              <w:t>-   Form of U.S. Tax Compliance Certificate (Foreign Participant Partnerships)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H-4</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w w:val="99"/>
              </w:rPr>
              <w:t>-   Form of U.S. Tax Compliance Certificate (Foreign Lender Partnerships)</w:t>
            </w:r>
          </w:p>
        </w:tc>
      </w:tr>
      <w:tr>
        <w:trPr>
          <w:trHeight w:val="218"/>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I</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Form of Joinder Agreement</w:t>
            </w:r>
          </w:p>
        </w:tc>
      </w:tr>
      <w:tr>
        <w:trPr>
          <w:trHeight w:val="507"/>
        </w:trPr>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7"/>
              </w:rPr>
              <w:t>SCHEDULES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22"/>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1.1(a)</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Commitments and Commitment Percentages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1.1(b)</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Initial Issuing Lenders’ L/C Commitments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7.1</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Jurisdictions of Organization and Qualification and Guarantors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7.2</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Subsidiaries and Capitalization</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7.6</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 Matters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7.9</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ERISA Plans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7.12</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Material Contracts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7.13</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Labor and Collective Bargaining Agreements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8.19</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Post-Closing Matters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9.1</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Existing Indebtedness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9.2</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Existing Liens</w:t>
            </w:r>
          </w:p>
        </w:tc>
      </w:tr>
      <w:tr>
        <w:trPr>
          <w:trHeight w:val="210"/>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9.3</w:t>
            </w:r>
          </w:p>
        </w:tc>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Existing Loans, Advances and Investments</w:t>
            </w:r>
          </w:p>
        </w:tc>
      </w:tr>
      <w:tr>
        <w:trPr>
          <w:trHeight w:val="218"/>
        </w:trPr>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9.7</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Transactions with Affiliates</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0139"/>
          </w:cols>
          <w:pgMar w:left="320" w:top="125" w:right="1440" w:bottom="1440" w:gutter="0" w:footer="0" w:header="0"/>
        </w:sectPr>
      </w:pPr>
    </w:p>
    <w:bookmarkStart w:id="400" w:name="page401"/>
    <w:bookmarkEnd w:id="400"/>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CREDIT AGREEMENT</w:t>
      </w:r>
    </w:p>
    <w:p>
      <w:pPr>
        <w:spacing w:after="0" w:line="166"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AMENDED AND RESTATED CREDIT AGREEMENT, dated as of October 14, 2025, by and among WEALTHFRONT CORPORATION, a Delaware corporation, as Borrower, the lenders who are party to this Agreement from time to time, as Lenders, and WELLS FARGO BANK, NATIONAL ASSOCIATION, a national banking association, as Administrative Agent for the Lenders.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 OF PURPOSE</w:t>
      </w:r>
    </w:p>
    <w:p>
      <w:pPr>
        <w:spacing w:after="0" w:line="172"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WHEREAS, the Borrower and Wells Fargo Bank, National Association, as the lender thereto, entered into that certain Credit Agreement dated October 31, 2024 (as amended prior to the date hereof, the “</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pursuant to which the lender provided certain loans or other credit accommodations to or for the benefit of the Borrower.</w:t>
      </w:r>
    </w:p>
    <w:p>
      <w:pPr>
        <w:spacing w:after="0" w:line="145"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WHEREAS, the Borrower has requested, and subject to the terms and conditions set forth in this Agreement the Administrative Agent and the Lenders have agreed to, make certain modifications to the Existing Credit Agreement.</w:t>
      </w:r>
    </w:p>
    <w:p>
      <w:pPr>
        <w:spacing w:after="0" w:line="135"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NOW, THEREFORE, for good and valuable consideration, the receipt and sufficiency of which are hereby acknowledged by the parties hereto, such parties hereby agree to amend and restate the Existing Credit Agreement in its entirety as follows:</w:t>
      </w:r>
    </w:p>
    <w:p>
      <w:pPr>
        <w:spacing w:after="0" w:line="1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ARTICLE I</w:t>
      </w:r>
    </w:p>
    <w:p>
      <w:pPr>
        <w:spacing w:after="0" w:line="1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DEFINITIONS</w:t>
      </w:r>
    </w:p>
    <w:p>
      <w:pPr>
        <w:spacing w:after="0" w:line="162" w:lineRule="exact"/>
        <w:rPr>
          <w:sz w:val="20"/>
          <w:szCs w:val="20"/>
          <w:color w:val="auto"/>
        </w:rPr>
      </w:pPr>
    </w:p>
    <w:p>
      <w:pPr>
        <w:ind w:left="500"/>
        <w:spacing w:after="0"/>
        <w:tabs>
          <w:tab w:leader="none" w:pos="142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The following terms when used in this Agreement shall have the meanings assigned to them below:</w:t>
      </w:r>
    </w:p>
    <w:p>
      <w:pPr>
        <w:spacing w:after="0" w:line="172"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Acquired EBITDA</w:t>
      </w:r>
      <w:r>
        <w:rPr>
          <w:rFonts w:ascii="Times New Roman" w:cs="Times New Roman" w:eastAsia="Times New Roman" w:hAnsi="Times New Roman"/>
          <w:sz w:val="17"/>
          <w:szCs w:val="17"/>
          <w:color w:val="auto"/>
        </w:rPr>
        <w:t xml:space="preserve">” means, with respect to any Person or business acquired pursuant to an Acquisition for any period, the amount for such period of Consolidated EBITDA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notwithstanding the foregoing to the contrary, in determining Acquired EBITDA for any Person or business that does not have historical financial accounting periods which coincide with that of the financial accounting periods of the Borrower and its Subsidiaries (a) references to Reference Period in any applicable definitions shall be deemed to mean the same relevant period as the applicable period of determination for the Borrower and its Subsidiaries and (b) to the extent the commencement of any such Reference Period shall occur during a fiscal quarter of such acquired Person or business (such that only a portion of such fiscal quarter shall be included in such Reference Period), Acquired EBITDA for the portion of such fiscal quarter so included in such Reference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Reference Period and the denominator of which shall be actual months in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77" w:right="319" w:bottom="1440" w:gutter="0" w:footer="0" w:header="0"/>
        </w:sectPr>
      </w:pPr>
    </w:p>
    <w:bookmarkStart w:id="401" w:name="page402"/>
    <w:bookmarkEnd w:id="401"/>
    <w:p>
      <w:pPr>
        <w:jc w:val="both"/>
        <w:ind w:firstLine="50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w:t>
      </w:r>
      <w:r>
        <w:rPr>
          <w:rFonts w:ascii="Times New Roman" w:cs="Times New Roman" w:eastAsia="Times New Roman" w:hAnsi="Times New Roman"/>
          <w:sz w:val="17"/>
          <w:szCs w:val="17"/>
          <w:color w:val="auto"/>
        </w:rPr>
        <w:t>” means any acquisition, or any series of related acquisitions, consummated on or after the date of this Agreement, by which any Credit Party or any of its Subsidiaries (a) acquires any business or all or substantially all of the assets of any Person, or business unit, line of business or division thereof, whether through purchase of assets, exchange, issuance of stock or other equity or debt securities, merger, reorganization, amalgamation, division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46" w:lineRule="exact"/>
        <w:rPr>
          <w:sz w:val="20"/>
          <w:szCs w:val="20"/>
          <w:color w:val="auto"/>
        </w:rPr>
      </w:pPr>
    </w:p>
    <w:p>
      <w:pPr>
        <w:jc w:val="both"/>
        <w:ind w:firstLine="505"/>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Daily Simple SOFR</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u w:val="single" w:color="auto"/>
          <w:color w:val="auto"/>
        </w:rPr>
        <w:t>Simple SOFR Rate Day</w:t>
      </w:r>
      <w:r>
        <w:rPr>
          <w:rFonts w:ascii="Times New Roman" w:cs="Times New Roman" w:eastAsia="Times New Roman" w:hAnsi="Times New Roman"/>
          <w:sz w:val="17"/>
          <w:szCs w:val="17"/>
          <w:color w:val="auto"/>
        </w:rPr>
        <w:t>”), a rate per annum equal to the greater of (a) SOFR for the day (such day, a “</w:t>
      </w:r>
      <w:r>
        <w:rPr>
          <w:rFonts w:ascii="Times New Roman" w:cs="Times New Roman" w:eastAsia="Times New Roman" w:hAnsi="Times New Roman"/>
          <w:sz w:val="17"/>
          <w:szCs w:val="17"/>
          <w:u w:val="single" w:color="auto"/>
          <w:color w:val="auto"/>
        </w:rPr>
        <w:t>SOFR Determination Day</w:t>
      </w:r>
      <w:r>
        <w:rPr>
          <w:rFonts w:ascii="Times New Roman" w:cs="Times New Roman" w:eastAsia="Times New Roman" w:hAnsi="Times New Roman"/>
          <w:sz w:val="17"/>
          <w:szCs w:val="17"/>
          <w:color w:val="auto"/>
        </w:rPr>
        <w:t xml:space="preserve"> ”)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SOFR Administrator on the SOFR Administrator’s Website;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by 5:00 p.m. on the second U.S. Government Securities Business Day immediately following any SOFR Determination Day, SOFR in respect of such SOFR Determination Day has not been published on the SOFR Administrator’s Website and a Benchmark Replacement Date with respect to Adjusted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SOFR as determined pursuant to this proviso shall be utilized for purposes of calculation of Adjusted Daily Simple SOFR for no more than three (3) consecutive Simple SOFR Rate Days and (b) the Floor. Any change in Adjusted Daily Simple SOFR due to a change in SOFR shall be effective from and including the effective date of such change in SOFR without notice to the Borrower.</w:t>
      </w:r>
    </w:p>
    <w:p>
      <w:pPr>
        <w:spacing w:after="0" w:line="146"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xml:space="preserve">” means Wells Fargo (or any of its designated branch offices or affiliates), in its capacity as Administrative Agent hereunder, and any successor thereto appointed pursuant to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Administrative Agent’s Office</w:t>
      </w:r>
      <w:r>
        <w:rPr>
          <w:rFonts w:ascii="Times New Roman" w:cs="Times New Roman" w:eastAsia="Times New Roman" w:hAnsi="Times New Roman"/>
          <w:sz w:val="16"/>
          <w:szCs w:val="16"/>
          <w:color w:val="auto"/>
        </w:rPr>
        <w:t xml:space="preserve">” means the office of the Administrative Agent specified in or determined in accordance with the provisions of </w:t>
      </w:r>
      <w:r>
        <w:rPr>
          <w:rFonts w:ascii="Times New Roman" w:cs="Times New Roman" w:eastAsia="Times New Roman" w:hAnsi="Times New Roman"/>
          <w:sz w:val="16"/>
          <w:szCs w:val="16"/>
          <w:u w:val="single" w:color="auto"/>
          <w:color w:val="auto"/>
        </w:rPr>
        <w:t>Section 12.1(c)</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Questionnaire</w:t>
      </w:r>
      <w:r>
        <w:rPr>
          <w:rFonts w:ascii="Times New Roman" w:cs="Times New Roman" w:eastAsia="Times New Roman" w:hAnsi="Times New Roman"/>
          <w:sz w:val="17"/>
          <w:szCs w:val="17"/>
          <w:color w:val="auto"/>
        </w:rPr>
        <w:t>” means an administrative questionnaire in a form supplied by the Administrative Agent.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Advisers Act</w:t>
      </w:r>
      <w:r>
        <w:rPr>
          <w:rFonts w:ascii="Times New Roman" w:cs="Times New Roman" w:eastAsia="Times New Roman" w:hAnsi="Times New Roman"/>
          <w:sz w:val="17"/>
          <w:szCs w:val="17"/>
          <w:color w:val="auto"/>
        </w:rPr>
        <w:t>” means the Investment Advisers Act of 1940, as amended.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Affected Financial Institution</w:t>
      </w:r>
      <w:r>
        <w:rPr>
          <w:rFonts w:ascii="Times New Roman" w:cs="Times New Roman" w:eastAsia="Times New Roman" w:hAnsi="Times New Roman"/>
          <w:sz w:val="17"/>
          <w:szCs w:val="17"/>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92" w:right="319" w:bottom="1440" w:gutter="0" w:footer="0" w:header="0"/>
        </w:sectPr>
      </w:pPr>
    </w:p>
    <w:bookmarkStart w:id="402" w:name="page403"/>
    <w:bookmarkEnd w:id="402"/>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 specified Person, another Person that directly, or indirectly through one or more intermediaries, Controls or is Controlled by or is under common Control with the Person specified.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Agent Parties</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12.1(e)</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means this Credit Agreement.</w:t>
      </w:r>
    </w:p>
    <w:p>
      <w:pPr>
        <w:spacing w:after="0" w:line="162"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means all laws, rules, and regulations of any jurisdiction from time to time concerning or relating to bribery or corruption, including the United States Foreign Corrupt Practices Act of 1977 and the rules and regulations thereunder and the U.K. Bribery Act 2010 and the rules and regulations thereunder.</w:t>
      </w:r>
    </w:p>
    <w:p>
      <w:pPr>
        <w:spacing w:after="0" w:line="131" w:lineRule="exact"/>
        <w:rPr>
          <w:sz w:val="20"/>
          <w:szCs w:val="20"/>
          <w:color w:val="auto"/>
        </w:rPr>
      </w:pPr>
    </w:p>
    <w:p>
      <w:pPr>
        <w:jc w:val="both"/>
        <w:ind w:firstLine="505"/>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Anti-Money Laundering Laws</w:t>
      </w:r>
      <w:r>
        <w:rPr>
          <w:rFonts w:ascii="Times New Roman" w:cs="Times New Roman" w:eastAsia="Times New Roman" w:hAnsi="Times New Roman"/>
          <w:sz w:val="17"/>
          <w:szCs w:val="17"/>
          <w:color w:val="auto"/>
        </w:rPr>
        <w:t>” means any and all laws, statutes, regulations or obligatory government orders, decrees, ordinances or rules related to terrorism financing, money laundering, any predicate crime to money laundering or any financial record keeping, including any applicable provision of the PATRIOT Act and The Currency and Foreign Transactions Reporting Act (also known as the “Bank Secrecy Act,” 31 U.S.C. §§ 5311-5330 and 12 U.S.C. §§ 1818(s), 1820(b) and 1951-1959).</w:t>
      </w:r>
    </w:p>
    <w:p>
      <w:pPr>
        <w:spacing w:after="0" w:line="13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means all applicable provisions of constitutions, laws, statutes, ordinances, rules, treaties, regulations, permits, licenses, approvals, interpretations and orders of Governmental Authorities and all orders and decrees of all courts and arbitrators.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Margin</w:t>
      </w:r>
      <w:r>
        <w:rPr>
          <w:rFonts w:ascii="Times New Roman" w:cs="Times New Roman" w:eastAsia="Times New Roman" w:hAnsi="Times New Roman"/>
          <w:sz w:val="17"/>
          <w:szCs w:val="17"/>
          <w:color w:val="auto"/>
        </w:rPr>
        <w:t>” means the corresponding percentages per annum as set forth below based on the Consolidated Total Net Leverage Ratio:</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320" w:type="dxa"/>
            <w:vAlign w:val="bottom"/>
            <w:tcBorders>
              <w:top w:val="single" w:sz="8" w:color="auto"/>
              <w:left w:val="single" w:sz="8" w:color="auto"/>
              <w:right w:val="single" w:sz="8" w:color="auto"/>
            </w:tcBorders>
          </w:tcPr>
          <w:p>
            <w:pPr>
              <w:spacing w:after="0"/>
              <w:rPr>
                <w:sz w:val="18"/>
                <w:szCs w:val="18"/>
                <w:color w:val="auto"/>
              </w:rPr>
            </w:pPr>
          </w:p>
        </w:tc>
        <w:tc>
          <w:tcPr>
            <w:tcW w:w="3600" w:type="dxa"/>
            <w:vAlign w:val="bottom"/>
            <w:tcBorders>
              <w:top w:val="single" w:sz="8" w:color="auto"/>
              <w:right w:val="single" w:sz="8" w:color="auto"/>
            </w:tcBorders>
          </w:tcPr>
          <w:p>
            <w:pPr>
              <w:spacing w:after="0"/>
              <w:rPr>
                <w:sz w:val="18"/>
                <w:szCs w:val="18"/>
                <w:color w:val="auto"/>
              </w:rPr>
            </w:pPr>
          </w:p>
        </w:tc>
        <w:tc>
          <w:tcPr>
            <w:tcW w:w="2300" w:type="dxa"/>
            <w:vAlign w:val="bottom"/>
            <w:tcBorders>
              <w:top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Adjusted</w:t>
            </w:r>
          </w:p>
        </w:tc>
        <w:tc>
          <w:tcPr>
            <w:tcW w:w="1600" w:type="dxa"/>
            <w:vAlign w:val="bottom"/>
            <w:tcBorders>
              <w:top w:val="single" w:sz="8" w:color="auto"/>
              <w:right w:val="single" w:sz="8" w:color="auto"/>
            </w:tcBorders>
          </w:tcPr>
          <w:p>
            <w:pPr>
              <w:spacing w:after="0"/>
              <w:rPr>
                <w:sz w:val="18"/>
                <w:szCs w:val="18"/>
                <w:color w:val="auto"/>
              </w:rPr>
            </w:pPr>
          </w:p>
        </w:tc>
      </w:tr>
      <w:tr>
        <w:trPr>
          <w:trHeight w:val="210"/>
        </w:trPr>
        <w:tc>
          <w:tcPr>
            <w:tcW w:w="1320" w:type="dxa"/>
            <w:vAlign w:val="bottom"/>
            <w:tcBorders>
              <w:left w:val="single" w:sz="8" w:color="auto"/>
              <w:righ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Daily</w:t>
            </w:r>
          </w:p>
        </w:tc>
        <w:tc>
          <w:tcPr>
            <w:tcW w:w="1600" w:type="dxa"/>
            <w:vAlign w:val="bottom"/>
            <w:tcBorders>
              <w:right w:val="single" w:sz="8" w:color="auto"/>
            </w:tcBorders>
          </w:tcPr>
          <w:p>
            <w:pPr>
              <w:spacing w:after="0"/>
              <w:rPr>
                <w:sz w:val="18"/>
                <w:szCs w:val="18"/>
                <w:color w:val="auto"/>
              </w:rPr>
            </w:pPr>
          </w:p>
        </w:tc>
      </w:tr>
      <w:tr>
        <w:trPr>
          <w:trHeight w:val="200"/>
        </w:trPr>
        <w:tc>
          <w:tcPr>
            <w:tcW w:w="1320" w:type="dxa"/>
            <w:vAlign w:val="bottom"/>
            <w:tcBorders>
              <w:left w:val="single" w:sz="8" w:color="auto"/>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Simple</w:t>
            </w:r>
          </w:p>
        </w:tc>
        <w:tc>
          <w:tcPr>
            <w:tcW w:w="1600" w:type="dxa"/>
            <w:vAlign w:val="bottom"/>
            <w:tcBorders>
              <w:right w:val="single" w:sz="8" w:color="auto"/>
            </w:tcBorders>
          </w:tcPr>
          <w:p>
            <w:pPr>
              <w:spacing w:after="0"/>
              <w:rPr>
                <w:sz w:val="17"/>
                <w:szCs w:val="17"/>
                <w:color w:val="auto"/>
              </w:rPr>
            </w:pPr>
          </w:p>
        </w:tc>
      </w:tr>
      <w:tr>
        <w:trPr>
          <w:trHeight w:val="200"/>
        </w:trPr>
        <w:tc>
          <w:tcPr>
            <w:tcW w:w="1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Pricing</w:t>
            </w:r>
          </w:p>
        </w:tc>
        <w:tc>
          <w:tcPr>
            <w:tcW w:w="36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Consolidated Total Net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Commitment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SOFR</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Base Rate</w:t>
            </w:r>
          </w:p>
        </w:tc>
      </w:tr>
      <w:tr>
        <w:trPr>
          <w:trHeight w:val="222"/>
        </w:trPr>
        <w:tc>
          <w:tcPr>
            <w:tcW w:w="1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w:t>
            </w:r>
          </w:p>
        </w:tc>
        <w:tc>
          <w:tcPr>
            <w:tcW w:w="360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Loans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Loans</w:t>
            </w:r>
          </w:p>
        </w:tc>
      </w:tr>
      <w:tr>
        <w:trPr>
          <w:trHeight w:val="139"/>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r>
      <w:tr>
        <w:trPr>
          <w:trHeight w:val="208"/>
        </w:trPr>
        <w:tc>
          <w:tcPr>
            <w:tcW w:w="1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Less than 2.00 to 1.00</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0.25%</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0.50%</w:t>
            </w:r>
          </w:p>
        </w:tc>
      </w:tr>
      <w:tr>
        <w:trPr>
          <w:trHeight w:val="119"/>
        </w:trPr>
        <w:tc>
          <w:tcPr>
            <w:tcW w:w="1320" w:type="dxa"/>
            <w:vAlign w:val="bottom"/>
            <w:tcBorders>
              <w:left w:val="single" w:sz="8" w:color="auto"/>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r>
      <w:tr>
        <w:trPr>
          <w:trHeight w:val="149"/>
        </w:trPr>
        <w:tc>
          <w:tcPr>
            <w:tcW w:w="132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color w:val="auto"/>
              </w:rPr>
              <w:t>II</w:t>
            </w:r>
          </w:p>
        </w:tc>
        <w:tc>
          <w:tcPr>
            <w:tcW w:w="360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7"/>
                <w:szCs w:val="17"/>
                <w:color w:val="auto"/>
              </w:rPr>
              <w:t>Greater than or equal to 2.00 to 1.00 but less than</w:t>
            </w:r>
          </w:p>
        </w:tc>
        <w:tc>
          <w:tcPr>
            <w:tcW w:w="2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color w:val="auto"/>
                <w:w w:val="99"/>
              </w:rPr>
              <w:t>0.375%</w:t>
            </w:r>
          </w:p>
        </w:tc>
        <w:tc>
          <w:tcPr>
            <w:tcW w:w="1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color w:val="auto"/>
              </w:rPr>
              <w:t>1.75%</w:t>
            </w: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color w:val="auto"/>
              </w:rPr>
              <w:t>0.75%</w:t>
            </w:r>
          </w:p>
        </w:tc>
      </w:tr>
      <w:tr>
        <w:trPr>
          <w:trHeight w:val="218"/>
        </w:trPr>
        <w:tc>
          <w:tcPr>
            <w:tcW w:w="1320" w:type="dxa"/>
            <w:vAlign w:val="bottom"/>
            <w:tcBorders>
              <w:left w:val="single" w:sz="8" w:color="auto"/>
              <w:right w:val="single" w:sz="8" w:color="auto"/>
            </w:tcBorders>
          </w:tcPr>
          <w:p>
            <w:pPr>
              <w:spacing w:after="0"/>
              <w:rPr>
                <w:sz w:val="18"/>
                <w:szCs w:val="18"/>
                <w:color w:val="auto"/>
              </w:rPr>
            </w:pP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3.00 to 1.00</w:t>
            </w:r>
          </w:p>
        </w:tc>
        <w:tc>
          <w:tcPr>
            <w:tcW w:w="230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129"/>
        </w:trPr>
        <w:tc>
          <w:tcPr>
            <w:tcW w:w="1320" w:type="dxa"/>
            <w:vAlign w:val="bottom"/>
            <w:tcBorders>
              <w:left w:val="single" w:sz="8" w:color="auto"/>
              <w:bottom w:val="single" w:sz="8" w:color="auto"/>
              <w:right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r>
      <w:tr>
        <w:trPr>
          <w:trHeight w:val="208"/>
        </w:trPr>
        <w:tc>
          <w:tcPr>
            <w:tcW w:w="1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III</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Greater than or equal to 3.00 to 1.00</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0.50%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45"/>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360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bl>
    <w:p>
      <w:pPr>
        <w:spacing w:after="0" w:line="53"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 xml:space="preserve">The Applicable Margin shall be determined and adjusted quarterly on the date five (5) Business Days after the day on which the Borrower provides a Compliance Certificate pursuant to </w:t>
      </w:r>
      <w:r>
        <w:rPr>
          <w:rFonts w:ascii="Times New Roman" w:cs="Times New Roman" w:eastAsia="Times New Roman" w:hAnsi="Times New Roman"/>
          <w:sz w:val="17"/>
          <w:szCs w:val="17"/>
          <w:u w:val="single" w:color="auto"/>
          <w:color w:val="auto"/>
        </w:rPr>
        <w:t>Section 8.2(a)</w:t>
      </w:r>
      <w:r>
        <w:rPr>
          <w:rFonts w:ascii="Times New Roman" w:cs="Times New Roman" w:eastAsia="Times New Roman" w:hAnsi="Times New Roman"/>
          <w:sz w:val="17"/>
          <w:szCs w:val="17"/>
          <w:color w:val="auto"/>
        </w:rPr>
        <w:t xml:space="preserve"> for the most recently ended fiscal quarter of the Borrower (each such date, a “</w:t>
      </w:r>
      <w:r>
        <w:rPr>
          <w:rFonts w:ascii="Times New Roman" w:cs="Times New Roman" w:eastAsia="Times New Roman" w:hAnsi="Times New Roman"/>
          <w:sz w:val="17"/>
          <w:szCs w:val="17"/>
          <w:u w:val="single" w:color="auto"/>
          <w:color w:val="auto"/>
        </w:rPr>
        <w:t>Calculation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Applicable Margin shall be based on Pricing Level I until the first Calculation Date occurring after the Closing Date and, thereafter the Pricing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80" w:right="319" w:bottom="1440" w:gutter="0" w:footer="0" w:header="0"/>
        </w:sectPr>
      </w:pPr>
    </w:p>
    <w:bookmarkStart w:id="403" w:name="page404"/>
    <w:bookmarkEnd w:id="403"/>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shall be determined by reference to the Consolidated Total Net Leverage Ratio as of the last day of the most recently ended fiscal quarter of the Borrower preceding the applicable Calculation Date, and (b) if the Borrower fails to provide a Compliance Certificate when due as required by </w:t>
      </w:r>
      <w:r>
        <w:rPr>
          <w:rFonts w:ascii="Times New Roman" w:cs="Times New Roman" w:eastAsia="Times New Roman" w:hAnsi="Times New Roman"/>
          <w:sz w:val="17"/>
          <w:szCs w:val="17"/>
          <w:u w:val="single" w:color="auto"/>
          <w:color w:val="auto"/>
        </w:rPr>
        <w:t>Section 8.2(a)</w:t>
      </w:r>
      <w:r>
        <w:rPr>
          <w:rFonts w:ascii="Times New Roman" w:cs="Times New Roman" w:eastAsia="Times New Roman" w:hAnsi="Times New Roman"/>
          <w:sz w:val="17"/>
          <w:szCs w:val="17"/>
          <w:color w:val="auto"/>
        </w:rPr>
        <w:t xml:space="preserve"> for the most recently ended fiscal quarter of the Borrower preceding the applicable Calculation Date, the Applicable Margin from the date on which such Compliance Certificate was required to have been delivered shall be based on Pricing Level III until such time as such Compliance Certificate is delivered, at which time the Pricing Level shall be determined by reference to the Consolidated Total Net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40" w:lineRule="exact"/>
        <w:rPr>
          <w:sz w:val="20"/>
          <w:szCs w:val="20"/>
          <w:color w:val="auto"/>
        </w:rPr>
      </w:pPr>
    </w:p>
    <w:p>
      <w:pPr>
        <w:jc w:val="both"/>
        <w:ind w:firstLine="505"/>
        <w:spacing w:after="0"/>
        <w:rPr>
          <w:sz w:val="20"/>
          <w:szCs w:val="20"/>
          <w:color w:val="auto"/>
        </w:rPr>
      </w:pPr>
      <w:r>
        <w:rPr>
          <w:rFonts w:ascii="Times New Roman" w:cs="Times New Roman" w:eastAsia="Times New Roman" w:hAnsi="Times New Roman"/>
          <w:sz w:val="17"/>
          <w:szCs w:val="17"/>
          <w:color w:val="auto"/>
        </w:rPr>
        <w:t xml:space="preserve">Notwithstanding the foregoing, in the event that any financial statement or Compliance Certificate delivered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8.2(a)</w:t>
      </w:r>
      <w:r>
        <w:rPr>
          <w:rFonts w:ascii="Times New Roman" w:cs="Times New Roman" w:eastAsia="Times New Roman" w:hAnsi="Times New Roman"/>
          <w:sz w:val="17"/>
          <w:szCs w:val="17"/>
          <w:color w:val="auto"/>
        </w:rPr>
        <w:t xml:space="preserve"> is shown to be inaccurate (regardless of whether (i) this Agreement is in effect, (ii) any Commitments are in effect, or (iii) any Extension of Credit is outstanding when such inaccuracy is discovered or such financial statement or Compliance Certificate was delivered), and such inaccuracy, if corrected, would have led to the application of a higher Applicable Margin for any period (an “</w:t>
      </w:r>
      <w:r>
        <w:rPr>
          <w:rFonts w:ascii="Times New Roman" w:cs="Times New Roman" w:eastAsia="Times New Roman" w:hAnsi="Times New Roman"/>
          <w:sz w:val="17"/>
          <w:szCs w:val="17"/>
          <w:u w:val="single" w:color="auto"/>
          <w:color w:val="auto"/>
        </w:rPr>
        <w:t>Applicable Period</w:t>
      </w:r>
      <w:r>
        <w:rPr>
          <w:rFonts w:ascii="Times New Roman" w:cs="Times New Roman" w:eastAsia="Times New Roman" w:hAnsi="Times New Roman"/>
          <w:sz w:val="17"/>
          <w:szCs w:val="17"/>
          <w:color w:val="auto"/>
        </w:rPr>
        <w:t xml:space="preserve">”) than the Applicable Margin applied for such Applicable Period, then (A) the Borrower shall promptly (and in any case within five (5) Business Days) deliver to the Administrative Agent a corrected Compliance Certificate for such Applicable Period, (B) the Applicable Margin for such Applicable Period shall be determined as if the Consolidated Total Net Leverage Ratio in the corrected Compliance Certificate were applicable for such Applicable Period, and (C) the Borrower shall promptly (and in any case within five (5) Business Days) and retroactively be obligated to pay to the Administrative Agent the accrued additional interest and fees owing as a result of such increased Applicable Margin for such Applicable Period, which payment shall be </w:t>
      </w:r>
      <w:r>
        <w:rPr>
          <w:rFonts w:ascii="Times New Roman" w:cs="Times New Roman" w:eastAsia="Times New Roman" w:hAnsi="Times New Roman"/>
          <w:sz w:val="17"/>
          <w:szCs w:val="17"/>
          <w:i w:val="1"/>
          <w:iCs w:val="1"/>
          <w:color w:val="auto"/>
        </w:rPr>
        <w:t>promptly</w:t>
      </w:r>
      <w:r>
        <w:rPr>
          <w:rFonts w:ascii="Times New Roman" w:cs="Times New Roman" w:eastAsia="Times New Roman" w:hAnsi="Times New Roman"/>
          <w:sz w:val="17"/>
          <w:szCs w:val="17"/>
          <w:color w:val="auto"/>
        </w:rPr>
        <w:t xml:space="preserve"> applied by the Administrative Agent in accordance with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Nothing in this paragraph shall limit the rights of the Administrative Agent and Lenders with respect to </w:t>
      </w:r>
      <w:r>
        <w:rPr>
          <w:rFonts w:ascii="Times New Roman" w:cs="Times New Roman" w:eastAsia="Times New Roman" w:hAnsi="Times New Roman"/>
          <w:sz w:val="17"/>
          <w:szCs w:val="17"/>
          <w:u w:val="single" w:color="auto"/>
          <w:color w:val="auto"/>
        </w:rPr>
        <w:t>Sections 5.1(b)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10.2</w:t>
      </w:r>
      <w:r>
        <w:rPr>
          <w:rFonts w:ascii="Times New Roman" w:cs="Times New Roman" w:eastAsia="Times New Roman" w:hAnsi="Times New Roman"/>
          <w:sz w:val="17"/>
          <w:szCs w:val="17"/>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Applicable Margins set forth above shall be increased as, and to the extent, required by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Approved Fund</w:t>
      </w:r>
      <w:r>
        <w:rPr>
          <w:rFonts w:ascii="Times New Roman" w:cs="Times New Roman" w:eastAsia="Times New Roman" w:hAnsi="Times New Roman"/>
          <w:sz w:val="17"/>
          <w:szCs w:val="17"/>
          <w:color w:val="auto"/>
        </w:rPr>
        <w:t>” means any Fund that is administered or managed by (a) a Lender, (b) an Affiliate of a Lender or (c) an entity or an Affiliate of an entity that administers or manages a Lender.</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Arranger</w:t>
      </w:r>
      <w:r>
        <w:rPr>
          <w:rFonts w:ascii="Times New Roman" w:cs="Times New Roman" w:eastAsia="Times New Roman" w:hAnsi="Times New Roman"/>
          <w:sz w:val="17"/>
          <w:szCs w:val="17"/>
          <w:color w:val="auto"/>
        </w:rPr>
        <w:t xml:space="preserve">” means Wells Fargo Securities, LLC, in its capacity as sole lead arranger and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ole bookrunner.</w:t>
      </w:r>
    </w:p>
    <w:p>
      <w:pPr>
        <w:spacing w:after="0" w:line="166"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Asset Disposition</w:t>
      </w:r>
      <w:r>
        <w:rPr>
          <w:rFonts w:ascii="Times New Roman" w:cs="Times New Roman" w:eastAsia="Times New Roman" w:hAnsi="Times New Roman"/>
          <w:sz w:val="17"/>
          <w:szCs w:val="17"/>
          <w:color w:val="auto"/>
        </w:rPr>
        <w:t>” means the sale, transfer, license, lease or other disposition of any Property (including any sale and leaseback transaction, division, merger or disposition of Equity Interests), whether in a single transaction or a series of related transactions, by any Credit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80" w:right="31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7"/>
          <w:szCs w:val="17"/>
          <w:color w:val="auto"/>
        </w:rPr>
        <w:t>any Subsidiary thereof, and any issuance of Equity Interests by any Subsidiary of the Borrower to any Person that is not a Credit Party or any Subsidiary thereof.</w:t>
      </w:r>
    </w:p>
    <w:p>
      <w:pPr>
        <w:spacing w:after="0" w:line="151"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 xml:space="preserve">), and accepted by the Administrative Agent, in substantially the form attached as </w:t>
      </w:r>
      <w:r>
        <w:rPr>
          <w:rFonts w:ascii="Times New Roman" w:cs="Times New Roman" w:eastAsia="Times New Roman" w:hAnsi="Times New Roman"/>
          <w:sz w:val="17"/>
          <w:szCs w:val="17"/>
          <w:b w:val="1"/>
          <w:bCs w:val="1"/>
          <w:i w:val="1"/>
          <w:iCs w:val="1"/>
          <w:color w:val="auto"/>
        </w:rPr>
        <w:t>Exhibit G</w:t>
      </w:r>
      <w:r>
        <w:rPr>
          <w:rFonts w:ascii="Times New Roman" w:cs="Times New Roman" w:eastAsia="Times New Roman" w:hAnsi="Times New Roman"/>
          <w:sz w:val="17"/>
          <w:szCs w:val="17"/>
          <w:color w:val="auto"/>
        </w:rPr>
        <w:t xml:space="preserve"> or any other form approved by the Administrative Agent.</w:t>
      </w:r>
    </w:p>
    <w:p>
      <w:pPr>
        <w:spacing w:after="0" w:line="141"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Attributable Indebtedness</w:t>
      </w:r>
      <w:r>
        <w:rPr>
          <w:rFonts w:ascii="Times New Roman" w:cs="Times New Roman" w:eastAsia="Times New Roman" w:hAnsi="Times New Roman"/>
          <w:sz w:val="17"/>
          <w:szCs w:val="17"/>
          <w:color w:val="auto"/>
        </w:rPr>
        <w:t>” means, on any date of determination, (a) in respect of any Capital Lease Obligation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spacing w:after="0" w:line="132"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Available Tenor</w:t>
      </w:r>
      <w:r>
        <w:rPr>
          <w:rFonts w:ascii="Times New Roman" w:cs="Times New Roman" w:eastAsia="Times New Roman" w:hAnsi="Times New Roman"/>
          <w:sz w:val="16"/>
          <w:szCs w:val="16"/>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w:t>
      </w:r>
    </w:p>
    <w:p>
      <w:pPr>
        <w:spacing w:after="0" w:line="100"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Action</w:t>
      </w:r>
      <w:r>
        <w:rPr>
          <w:rFonts w:ascii="Times New Roman" w:cs="Times New Roman" w:eastAsia="Times New Roman" w:hAnsi="Times New Roman"/>
          <w:sz w:val="17"/>
          <w:szCs w:val="17"/>
          <w:color w:val="auto"/>
        </w:rPr>
        <w:t>” means the exercise of any Write-Down and Conversion Powers by the applicable Resolution Authority in respect of any liability of an Affected Financial Institution.</w:t>
      </w:r>
    </w:p>
    <w:p>
      <w:pPr>
        <w:spacing w:after="0" w:line="135" w:lineRule="exact"/>
        <w:rPr>
          <w:sz w:val="20"/>
          <w:szCs w:val="20"/>
          <w:color w:val="auto"/>
        </w:rPr>
      </w:pPr>
    </w:p>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Legislation</w:t>
      </w:r>
      <w:r>
        <w:rPr>
          <w:rFonts w:ascii="Times New Roman" w:cs="Times New Roman" w:eastAsia="Times New Roman" w:hAnsi="Times New Roman"/>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Bankruptcy Code</w:t>
      </w:r>
      <w:r>
        <w:rPr>
          <w:rFonts w:ascii="Times New Roman" w:cs="Times New Roman" w:eastAsia="Times New Roman" w:hAnsi="Times New Roman"/>
          <w:sz w:val="17"/>
          <w:szCs w:val="17"/>
          <w:color w:val="auto"/>
        </w:rPr>
        <w:t xml:space="preserve">” means 11 U.S.C. §§ 101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Rate</w:t>
      </w:r>
      <w:r>
        <w:rPr>
          <w:rFonts w:ascii="Times New Roman" w:cs="Times New Roman" w:eastAsia="Times New Roman" w:hAnsi="Times New Roman"/>
          <w:sz w:val="17"/>
          <w:szCs w:val="17"/>
          <w:color w:val="auto"/>
        </w:rPr>
        <w:t xml:space="preserve">” means, at any time, the highest of (a) the Prime Rate, (b) the Federal Funds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0.50% and (c) Adjusted Daily Simple SOFR in effect on such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1.00%; each change in the Base Rate shall take effect simultaneously with the corresponding change or changes in the Prime Rate, the Federal Funds Rate or Adjusted Daily Simple SOFR,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shall not be applicable during any period in which Adjusted Daily Simple SOFR is unavailable or unascertainable). Notwithstanding the foregoing, in no event shall the Base Rate be less than 1.00%.</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Rate Loan</w:t>
      </w:r>
      <w:r>
        <w:rPr>
          <w:rFonts w:ascii="Times New Roman" w:cs="Times New Roman" w:eastAsia="Times New Roman" w:hAnsi="Times New Roman"/>
          <w:sz w:val="17"/>
          <w:szCs w:val="17"/>
          <w:color w:val="auto"/>
        </w:rPr>
        <w:t xml:space="preserve">” means any Loan bearing interest at a rate based upon the Base Rate as provided in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firstLine="498"/>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xml:space="preserve">” means, initially, Adjusted Daily Simple SOFR;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Benchmark Transition Event has occurred with respect to Adjusted Daily Simple SOFR or the then-current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80" w:right="319" w:bottom="1440" w:gutter="0" w:footer="0" w:header="0"/>
        </w:sectPr>
      </w:pPr>
    </w:p>
    <w:bookmarkStart w:id="405" w:name="page406"/>
    <w:bookmarkEnd w:id="405"/>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7"/>
          <w:szCs w:val="17"/>
          <w:u w:val="single" w:color="auto"/>
          <w:color w:val="auto"/>
        </w:rPr>
        <w:t>Section 5.8(c)(i)</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505"/>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41" w:lineRule="exact"/>
        <w:rPr>
          <w:sz w:val="20"/>
          <w:szCs w:val="20"/>
          <w:color w:val="auto"/>
        </w:rPr>
      </w:pPr>
    </w:p>
    <w:p>
      <w:pPr>
        <w:jc w:val="both"/>
        <w:ind w:firstLine="505"/>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Date</w:t>
      </w:r>
      <w:r>
        <w:rPr>
          <w:rFonts w:ascii="Times New Roman" w:cs="Times New Roman" w:eastAsia="Times New Roman" w:hAnsi="Times New Roman"/>
          <w:sz w:val="17"/>
          <w:szCs w:val="17"/>
          <w:color w:val="auto"/>
        </w:rPr>
        <w:t>” means the earliest to occur of the following events with respect to the then-current Benchmark:</w:t>
      </w:r>
    </w:p>
    <w:p>
      <w:pPr>
        <w:spacing w:after="0" w:line="172" w:lineRule="exact"/>
        <w:rPr>
          <w:sz w:val="20"/>
          <w:szCs w:val="20"/>
          <w:color w:val="auto"/>
        </w:rPr>
      </w:pPr>
    </w:p>
    <w:p>
      <w:pPr>
        <w:jc w:val="both"/>
        <w:ind w:firstLine="509"/>
        <w:spacing w:after="0" w:line="258" w:lineRule="auto"/>
        <w:tabs>
          <w:tab w:leader="none" w:pos="944"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37" w:lineRule="exact"/>
        <w:rPr>
          <w:rFonts w:ascii="Times New Roman" w:cs="Times New Roman" w:eastAsia="Times New Roman" w:hAnsi="Times New Roman"/>
          <w:sz w:val="17"/>
          <w:szCs w:val="17"/>
          <w:color w:val="auto"/>
        </w:rPr>
      </w:pPr>
    </w:p>
    <w:p>
      <w:pPr>
        <w:jc w:val="both"/>
        <w:ind w:firstLine="509"/>
        <w:spacing w:after="0" w:line="275" w:lineRule="auto"/>
        <w:tabs>
          <w:tab w:leader="none" w:pos="888"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91" w:right="319" w:bottom="1440" w:gutter="0" w:footer="0" w:header="0"/>
        </w:sectPr>
      </w:pPr>
    </w:p>
    <w:bookmarkStart w:id="406" w:name="page407"/>
    <w:bookmarkEnd w:id="406"/>
    <w:p>
      <w:pPr>
        <w:ind w:left="500"/>
        <w:spacing w:after="0"/>
        <w:rPr>
          <w:sz w:val="20"/>
          <w:szCs w:val="20"/>
          <w:color w:val="auto"/>
        </w:rPr>
      </w:pPr>
      <w:r>
        <w:rPr>
          <w:rFonts w:ascii="Times New Roman" w:cs="Times New Roman" w:eastAsia="Times New Roman" w:hAnsi="Times New Roman"/>
          <w:sz w:val="17"/>
          <w:szCs w:val="17"/>
          <w:color w:val="auto"/>
        </w:rPr>
        <w:t>For the avoidance of doubt, if such Benchmark is a term rate, the “Benchmark Replacement Date” will be deemed to have occurred in the case of clause (a) or</w:t>
      </w:r>
    </w:p>
    <w:p>
      <w:pPr>
        <w:spacing w:after="0" w:line="1" w:lineRule="exact"/>
        <w:rPr>
          <w:sz w:val="20"/>
          <w:szCs w:val="20"/>
          <w:color w:val="auto"/>
        </w:rPr>
      </w:pPr>
    </w:p>
    <w:p>
      <w:pPr>
        <w:ind w:firstLine="4"/>
        <w:spacing w:after="0" w:line="238" w:lineRule="auto"/>
        <w:tabs>
          <w:tab w:leader="none" w:pos="253"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means the occurrence of one (1) or more of the following events with respect to the then-current Benchmark:</w:t>
      </w:r>
    </w:p>
    <w:p>
      <w:pPr>
        <w:spacing w:after="0" w:line="162" w:lineRule="exact"/>
        <w:rPr>
          <w:sz w:val="20"/>
          <w:szCs w:val="20"/>
          <w:color w:val="auto"/>
        </w:rPr>
      </w:pPr>
    </w:p>
    <w:p>
      <w:pPr>
        <w:jc w:val="both"/>
        <w:ind w:firstLine="509"/>
        <w:spacing w:after="0" w:line="234" w:lineRule="auto"/>
        <w:tabs>
          <w:tab w:leader="none" w:pos="958"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w:t>
      </w:r>
    </w:p>
    <w:p>
      <w:pPr>
        <w:spacing w:after="0" w:line="140" w:lineRule="exact"/>
        <w:rPr>
          <w:rFonts w:ascii="Times New Roman" w:cs="Times New Roman" w:eastAsia="Times New Roman" w:hAnsi="Times New Roman"/>
          <w:sz w:val="17"/>
          <w:szCs w:val="17"/>
          <w:color w:val="auto"/>
        </w:rPr>
      </w:pPr>
    </w:p>
    <w:p>
      <w:pPr>
        <w:jc w:val="both"/>
        <w:ind w:firstLine="509"/>
        <w:spacing w:after="0" w:line="231" w:lineRule="auto"/>
        <w:tabs>
          <w:tab w:leader="none" w:pos="894"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 or</w:t>
      </w:r>
    </w:p>
    <w:p>
      <w:pPr>
        <w:spacing w:after="0" w:line="145" w:lineRule="exact"/>
        <w:rPr>
          <w:rFonts w:ascii="Times New Roman" w:cs="Times New Roman" w:eastAsia="Times New Roman" w:hAnsi="Times New Roman"/>
          <w:sz w:val="17"/>
          <w:szCs w:val="17"/>
          <w:color w:val="auto"/>
        </w:rPr>
      </w:pPr>
    </w:p>
    <w:p>
      <w:pPr>
        <w:jc w:val="both"/>
        <w:ind w:firstLine="509"/>
        <w:spacing w:after="0" w:line="239" w:lineRule="auto"/>
        <w:tabs>
          <w:tab w:leader="none" w:pos="885"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41"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31" w:lineRule="exact"/>
        <w:rPr>
          <w:sz w:val="20"/>
          <w:szCs w:val="20"/>
          <w:color w:val="auto"/>
        </w:rPr>
      </w:pPr>
    </w:p>
    <w:p>
      <w:pPr>
        <w:jc w:val="both"/>
        <w:ind w:firstLine="505"/>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Transition Start Date</w:t>
      </w:r>
      <w:r>
        <w:rPr>
          <w:rFonts w:ascii="Times New Roman" w:cs="Times New Roman" w:eastAsia="Times New Roman" w:hAnsi="Times New Roman"/>
          <w:sz w:val="17"/>
          <w:szCs w:val="17"/>
          <w:color w:val="auto"/>
        </w:rPr>
        <w:t>” means, in the case of a Benchmark Transition Event, the earlier of (a) the applicable Benchmark Replacement Date and (b) if such Benchmark Transition Event is a public statement or publication of information of a prospective event, the ninetieth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day prior to the expected date of such event as of such public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81" w:right="319" w:bottom="1440" w:gutter="0" w:footer="0" w:header="0"/>
        </w:sectPr>
      </w:pPr>
    </w:p>
    <w:bookmarkStart w:id="407" w:name="page408"/>
    <w:bookmarkEnd w:id="407"/>
    <w:p>
      <w:pPr>
        <w:spacing w:after="0" w:line="259" w:lineRule="auto"/>
        <w:rPr>
          <w:sz w:val="20"/>
          <w:szCs w:val="20"/>
          <w:color w:val="auto"/>
        </w:rPr>
      </w:pPr>
      <w:r>
        <w:rPr>
          <w:rFonts w:ascii="Times New Roman" w:cs="Times New Roman" w:eastAsia="Times New Roman" w:hAnsi="Times New Roman"/>
          <w:sz w:val="17"/>
          <w:szCs w:val="17"/>
          <w:color w:val="auto"/>
        </w:rPr>
        <w:t>publication of information (or if the expected date of such prospective event is fewer than ninety (90) days after such statement or publication, the date of such statement or publication).</w:t>
      </w:r>
    </w:p>
    <w:p>
      <w:pPr>
        <w:spacing w:after="0" w:line="125" w:lineRule="exact"/>
        <w:rPr>
          <w:sz w:val="20"/>
          <w:szCs w:val="20"/>
          <w:color w:val="auto"/>
        </w:rPr>
      </w:pPr>
    </w:p>
    <w:p>
      <w:pPr>
        <w:ind w:firstLine="50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Benchmark Unavailability Period</w:t>
      </w:r>
      <w:r>
        <w:rPr>
          <w:rFonts w:ascii="Times New Roman" w:cs="Times New Roman" w:eastAsia="Times New Roman" w:hAnsi="Times New Roman"/>
          <w:sz w:val="16"/>
          <w:szCs w:val="16"/>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6"/>
          <w:szCs w:val="16"/>
          <w:u w:val="single" w:color="auto"/>
          <w:color w:val="auto"/>
        </w:rPr>
        <w:t>Section 5.8(c)(i)</w:t>
      </w:r>
      <w:r>
        <w:rPr>
          <w:rFonts w:ascii="Times New Roman" w:cs="Times New Roman" w:eastAsia="Times New Roman" w:hAnsi="Times New Roman"/>
          <w:sz w:val="16"/>
          <w:szCs w:val="16"/>
          <w:color w:val="auto"/>
        </w:rPr>
        <w:t xml:space="preserve"> and</w:t>
      </w:r>
    </w:p>
    <w:p>
      <w:pPr>
        <w:spacing w:after="0" w:line="1" w:lineRule="exact"/>
        <w:rPr>
          <w:sz w:val="20"/>
          <w:szCs w:val="20"/>
          <w:color w:val="auto"/>
        </w:rPr>
      </w:pPr>
    </w:p>
    <w:p>
      <w:pPr>
        <w:ind w:firstLine="4"/>
        <w:spacing w:after="0" w:line="250" w:lineRule="auto"/>
        <w:tabs>
          <w:tab w:leader="none" w:pos="272"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7"/>
          <w:szCs w:val="17"/>
          <w:u w:val="single" w:color="auto"/>
          <w:color w:val="auto"/>
        </w:rPr>
        <w:t>Section 5.8(c)(i)</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 Certification</w:t>
      </w:r>
      <w:r>
        <w:rPr>
          <w:rFonts w:ascii="Times New Roman" w:cs="Times New Roman" w:eastAsia="Times New Roman" w:hAnsi="Times New Roman"/>
          <w:sz w:val="17"/>
          <w:szCs w:val="17"/>
          <w:color w:val="auto"/>
        </w:rPr>
        <w:t>” means a certification regarding beneficial ownership as required by the Beneficial Ownership Regulation.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 Regulation</w:t>
      </w:r>
      <w:r>
        <w:rPr>
          <w:rFonts w:ascii="Times New Roman" w:cs="Times New Roman" w:eastAsia="Times New Roman" w:hAnsi="Times New Roman"/>
          <w:sz w:val="17"/>
          <w:szCs w:val="17"/>
          <w:color w:val="auto"/>
        </w:rPr>
        <w:t>” means 31 CFR § 1010.230.</w:t>
      </w:r>
    </w:p>
    <w:p>
      <w:pPr>
        <w:spacing w:after="0" w:line="172"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means Wealthfront Corporation, a Delaware corporation.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Materials</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that (a) is not a Saturday, Sunday or other day on which the Federal Reserve Bank of New York is closed and (b) is not a day on which commercial banks in Charlotte, North Carolina are closed.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Calculation Date</w:t>
      </w:r>
      <w:r>
        <w:rPr>
          <w:rFonts w:ascii="Times New Roman" w:cs="Times New Roman" w:eastAsia="Times New Roman" w:hAnsi="Times New Roman"/>
          <w:sz w:val="17"/>
          <w:szCs w:val="17"/>
          <w:color w:val="auto"/>
        </w:rPr>
        <w:t>” has the meaning assigned thereto in the definition of Applicable Margin.</w:t>
      </w:r>
    </w:p>
    <w:p>
      <w:pPr>
        <w:spacing w:after="0" w:line="162" w:lineRule="exact"/>
        <w:rPr>
          <w:sz w:val="20"/>
          <w:szCs w:val="20"/>
          <w:color w:val="auto"/>
        </w:rPr>
      </w:pPr>
    </w:p>
    <w:p>
      <w:pPr>
        <w:jc w:val="both"/>
        <w:ind w:firstLine="505"/>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Expenditures</w:t>
      </w:r>
      <w:r>
        <w:rPr>
          <w:rFonts w:ascii="Times New Roman" w:cs="Times New Roman" w:eastAsia="Times New Roman" w:hAnsi="Times New Roman"/>
          <w:sz w:val="17"/>
          <w:szCs w:val="17"/>
          <w:color w:val="auto"/>
        </w:rPr>
        <w:t>” means, with respect to the Borrower and its Subsidiaries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and (c) capitalized software expenses during such period, but excluding expenditures for the restoration, repair or replacement of any fixed or capital asset which was destroyed or damaged, in whole or in part, to the extent financed by the proceeds of an insurance policy maintained by such Person.</w:t>
      </w:r>
    </w:p>
    <w:p>
      <w:pPr>
        <w:spacing w:after="0" w:line="150"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Lease Obligations</w:t>
      </w:r>
      <w:r>
        <w:rPr>
          <w:rFonts w:ascii="Times New Roman" w:cs="Times New Roman" w:eastAsia="Times New Roman" w:hAnsi="Times New Roman"/>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81" w:right="319" w:bottom="1440" w:gutter="0" w:footer="0" w:header="0"/>
        </w:sectPr>
      </w:pPr>
    </w:p>
    <w:bookmarkStart w:id="408" w:name="page409"/>
    <w:bookmarkEnd w:id="408"/>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Collateralize</w:t>
      </w:r>
      <w:r>
        <w:rPr>
          <w:rFonts w:ascii="Times New Roman" w:cs="Times New Roman" w:eastAsia="Times New Roman" w:hAnsi="Times New Roman"/>
          <w:sz w:val="17"/>
          <w:szCs w:val="17"/>
          <w:color w:val="auto"/>
        </w:rPr>
        <w:t>” means, to pledge and deposit with, or deliver to the Administrative Agent, or directly to the applicable Issuing Lender (with notice thereof to the Administrative Agent), for the benefit of one (1)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reasonably satisfactory to the Administrative Agent, such Issuing Lender and the Swingline Lender, as applicable. “</w:t>
      </w: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 shall have a meaning correlative to the foregoing and shall include the proceeds of such cash collateral and other credit support.</w:t>
      </w:r>
    </w:p>
    <w:p>
      <w:pPr>
        <w:spacing w:after="0" w:line="133" w:lineRule="exact"/>
        <w:rPr>
          <w:sz w:val="20"/>
          <w:szCs w:val="20"/>
          <w:color w:val="auto"/>
        </w:rPr>
      </w:pPr>
    </w:p>
    <w:p>
      <w:pPr>
        <w:jc w:val="both"/>
        <w:ind w:firstLine="5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Equivalents</w:t>
      </w:r>
      <w:r>
        <w:rPr>
          <w:rFonts w:ascii="Times New Roman" w:cs="Times New Roman" w:eastAsia="Times New Roman" w:hAnsi="Times New Roman"/>
          <w:sz w:val="17"/>
          <w:szCs w:val="17"/>
          <w:color w:val="auto"/>
        </w:rPr>
        <w:t>” means, collectively, (a) marketable direct obligations issued or unconditionally guaranteed by the United States or any agency thereof to the extent such obligations are backed by the full faith and credit of the United States, in each case maturing within one (1) year from the date of acquisition thereof, (b) commercial paper maturing no more than one (1) year from the date of creation thereof and currently having the highest rating obtainable from either S&amp;P or Moody’s (or, if at any time either S&amp;P or Moody’s are not rating such fund, an equivalent rating from another nationally recognized statistical rating agency), (c) investments in certificates of deposit, banker’s acceptances, money market deposits and time deposits maturing within one hundred eighty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and having a long-term debt rating of “A” or better by S&amp;P or “A2” or better from Moody’s (or, if at any time either S&amp;P or Moody’s are not rating the debt of such bank, an equivalent rating from another nationally recognized statistical rating agency), (d) investments in any money market fund or money market mutual fund that has (i) substantially all of its assets invested in the types of investments referred to in clauses (a) through (c) above, (ii) net assets of not less than $250,000,000 and (iii) a rating of at least A-2 from S&amp;P or at least P-2 from Moody’s (or, if at any time either S&amp;P or Moody’s are not rating such fund, an equivalent rating from another nationally recognized statistical rating agency) and (e) any investments permitted by Borrower’s board-approved investment policy, as amended from time to time provided, that, such investment policy (and any such amendment thereto) has been approved in writing by Administrative Agent.</w:t>
      </w:r>
    </w:p>
    <w:p>
      <w:pPr>
        <w:spacing w:after="0" w:line="140"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Management Agreement</w:t>
      </w:r>
      <w:r>
        <w:rPr>
          <w:rFonts w:ascii="Times New Roman" w:cs="Times New Roman" w:eastAsia="Times New Roman" w:hAnsi="Times New Roman"/>
          <w:sz w:val="17"/>
          <w:szCs w:val="17"/>
          <w:color w:val="auto"/>
        </w:rPr>
        <w:t>” means any agreement to provide cash management services, including treasury, depository, overdraft, credit or debit card (including non-card electronic payables and purchasing cards), electronic funds transfer, automatic clearing house arrangements, cash pooling arrangements, netting services, merchant services and other cash management arrangements.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an event or series of events by which:</w:t>
      </w:r>
    </w:p>
    <w:p>
      <w:pPr>
        <w:spacing w:after="0" w:line="151" w:lineRule="exact"/>
        <w:rPr>
          <w:sz w:val="20"/>
          <w:szCs w:val="20"/>
          <w:color w:val="auto"/>
        </w:rPr>
      </w:pPr>
    </w:p>
    <w:p>
      <w:pPr>
        <w:ind w:left="960" w:hanging="451"/>
        <w:spacing w:after="0"/>
        <w:tabs>
          <w:tab w:leader="none" w:pos="96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the Borrower shall fail to own, directly or indirectly, one hundred percent (100%) of the Equity Interests of each Guarantor and WF</w:t>
      </w:r>
    </w:p>
    <w:p>
      <w:pPr>
        <w:spacing w:after="0" w:line="1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Brokerage; or</w:t>
      </w:r>
    </w:p>
    <w:p>
      <w:pPr>
        <w:spacing w:after="0" w:line="143" w:lineRule="exact"/>
        <w:rPr>
          <w:rFonts w:ascii="Times New Roman" w:cs="Times New Roman" w:eastAsia="Times New Roman" w:hAnsi="Times New Roman"/>
          <w:sz w:val="17"/>
          <w:szCs w:val="17"/>
          <w:color w:val="auto"/>
        </w:rPr>
      </w:pPr>
    </w:p>
    <w:p>
      <w:pPr>
        <w:ind w:firstLine="509"/>
        <w:spacing w:after="0" w:line="246" w:lineRule="auto"/>
        <w:tabs>
          <w:tab w:leader="none" w:pos="896"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an IPO, the Permitted Investors shall fail to collectively own the Equity Interests of the Borrower representing fifty-one percent (51%) of (i) the economic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80" w:right="319" w:bottom="1440" w:gutter="0" w:footer="0" w:header="0"/>
        </w:sectPr>
      </w:pPr>
    </w:p>
    <w:bookmarkStart w:id="409" w:name="page410"/>
    <w:bookmarkEnd w:id="409"/>
    <w:p>
      <w:pPr>
        <w:spacing w:after="0" w:line="259" w:lineRule="auto"/>
        <w:rPr>
          <w:sz w:val="20"/>
          <w:szCs w:val="20"/>
          <w:color w:val="auto"/>
        </w:rPr>
      </w:pPr>
      <w:r>
        <w:rPr>
          <w:rFonts w:ascii="Times New Roman" w:cs="Times New Roman" w:eastAsia="Times New Roman" w:hAnsi="Times New Roman"/>
          <w:sz w:val="17"/>
          <w:szCs w:val="17"/>
          <w:color w:val="auto"/>
        </w:rPr>
        <w:t>Borrower and (ii) the voting power of the Borrower entitled to vote in the election of members of the board of directors (or equivalent governing body) of the Borrower; or</w:t>
      </w:r>
    </w:p>
    <w:p>
      <w:pPr>
        <w:spacing w:after="0" w:line="125" w:lineRule="exact"/>
        <w:rPr>
          <w:sz w:val="20"/>
          <w:szCs w:val="20"/>
          <w:color w:val="auto"/>
        </w:rPr>
      </w:pPr>
    </w:p>
    <w:p>
      <w:pPr>
        <w:jc w:val="both"/>
        <w:ind w:firstLine="509"/>
        <w:spacing w:after="0" w:line="242" w:lineRule="auto"/>
        <w:tabs>
          <w:tab w:leader="none" w:pos="91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an IPO, (i) any “person” or “group” (as such terms are used in Sections 13(d) and 14(d) of the Exchange Act) other than the Permitted Investors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more than thirty-five percent (35%) of the Equity Interests of the Borrower entitled to vote in the election of members of the board of directors (or equivalent governing body) of the Borrower or (ii) a majority of the members of the board of directors (or other equivalent governing body) of the Borrower shall not constitute Continuing Directors; or</w:t>
      </w:r>
    </w:p>
    <w:p>
      <w:pPr>
        <w:spacing w:after="0" w:line="152" w:lineRule="exact"/>
        <w:rPr>
          <w:rFonts w:ascii="Times New Roman" w:cs="Times New Roman" w:eastAsia="Times New Roman" w:hAnsi="Times New Roman"/>
          <w:sz w:val="17"/>
          <w:szCs w:val="17"/>
          <w:color w:val="auto"/>
        </w:rPr>
      </w:pPr>
    </w:p>
    <w:p>
      <w:pPr>
        <w:jc w:val="both"/>
        <w:ind w:firstLine="509"/>
        <w:spacing w:after="0" w:line="252" w:lineRule="auto"/>
        <w:tabs>
          <w:tab w:leader="none" w:pos="875"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have occurred under any indenture or other instrument evidencing any Indebtedness or Equity Interests in excess of the Threshold Amount any “change in control” or similar provision (as set forth in the indenture, agreement or other evidence of such Indebtedness) obligating the Borrower or any of its Subsidiaries to repurchase, redeem or repay all or any part of the Indebtedness or Equity Interests provided for therein; or</w:t>
      </w:r>
    </w:p>
    <w:p>
      <w:pPr>
        <w:spacing w:after="0" w:line="130"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of control occurs under the Advisers Act that is not consented to by the clients under the Advisers Act.</w:t>
      </w:r>
    </w:p>
    <w:p>
      <w:pPr>
        <w:spacing w:after="0" w:line="162"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w:t>
      </w:r>
      <w:r>
        <w:rPr>
          <w:rFonts w:ascii="Times New Roman" w:cs="Times New Roman" w:eastAsia="Times New Roman" w:hAnsi="Times New Roman"/>
          <w:sz w:val="17"/>
          <w:szCs w:val="17"/>
          <w:color w:val="auto"/>
        </w:rPr>
        <w:t>” means, when used in reference to any Loan, whether such Loan is a Revolving Credit Loan or Swingline Loan.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date of this Agreement.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and the rules and regulations promulgated thereunder.</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w:t>
      </w:r>
      <w:r>
        <w:rPr>
          <w:rFonts w:ascii="Times New Roman" w:cs="Times New Roman" w:eastAsia="Times New Roman" w:hAnsi="Times New Roman"/>
          <w:sz w:val="17"/>
          <w:szCs w:val="17"/>
          <w:color w:val="auto"/>
        </w:rPr>
        <w:t>” means the collateral security for the Secured Obligations pledged or granted pursuant to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80" w:right="319" w:bottom="1440" w:gutter="0" w:footer="0" w:header="0"/>
        </w:sectPr>
      </w:pPr>
    </w:p>
    <w:bookmarkStart w:id="410" w:name="page411"/>
    <w:bookmarkEnd w:id="410"/>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 Agreement</w:t>
      </w:r>
      <w:r>
        <w:rPr>
          <w:rFonts w:ascii="Times New Roman" w:cs="Times New Roman" w:eastAsia="Times New Roman" w:hAnsi="Times New Roman"/>
          <w:sz w:val="17"/>
          <w:szCs w:val="17"/>
          <w:color w:val="auto"/>
        </w:rPr>
        <w:t>” means the amended and restated collateral agreement of even date herewith executed by the Credit Parties in favor of the Administrative Agent, for the ratable benefit of the Secured Parties, which shall be in form and substance acceptable to the Administrative Agent.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5.3(a)</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 Percentage</w:t>
      </w:r>
      <w:r>
        <w:rPr>
          <w:rFonts w:ascii="Times New Roman" w:cs="Times New Roman" w:eastAsia="Times New Roman" w:hAnsi="Times New Roman"/>
          <w:sz w:val="17"/>
          <w:szCs w:val="17"/>
          <w:color w:val="auto"/>
        </w:rPr>
        <w:t>” means, as to any Lender, such Lender’s Revolving Credit Commitment Percentage.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 means, collectively, as to all Lenders, the Revolving Credit Commitments of such Lenders.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Commodity Exchange Act</w:t>
      </w:r>
      <w:r>
        <w:rPr>
          <w:rFonts w:ascii="Times New Roman" w:cs="Times New Roman" w:eastAsia="Times New Roman" w:hAnsi="Times New Roman"/>
          <w:sz w:val="17"/>
          <w:szCs w:val="17"/>
          <w:color w:val="auto"/>
        </w:rPr>
        <w:t>” means the Commodity Exchange Act (7 U.S.C. § 1 et seq.).</w:t>
      </w:r>
    </w:p>
    <w:p>
      <w:pPr>
        <w:spacing w:after="0" w:line="172"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Communication</w:t>
      </w:r>
      <w:r>
        <w:rPr>
          <w:rFonts w:ascii="Times New Roman" w:cs="Times New Roman" w:eastAsia="Times New Roman" w:hAnsi="Times New Roman"/>
          <w:sz w:val="17"/>
          <w:szCs w:val="17"/>
          <w:color w:val="auto"/>
        </w:rPr>
        <w:t>” means any Loan Document and any document, amendment, approval, consent, information, notice, certificate, report, statement, disclosure, certification or authorization related to any Loan Document.</w:t>
      </w:r>
    </w:p>
    <w:p>
      <w:pPr>
        <w:spacing w:after="0" w:line="125"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Competitor</w:t>
      </w:r>
      <w:r>
        <w:rPr>
          <w:rFonts w:ascii="Times New Roman" w:cs="Times New Roman" w:eastAsia="Times New Roman" w:hAnsi="Times New Roman"/>
          <w:sz w:val="17"/>
          <w:szCs w:val="17"/>
          <w:color w:val="auto"/>
        </w:rPr>
        <w:t>” means any Person that is a bona fide direct competitor of the Borrower or any of its Subsidiaries in the same industry or a substantially similar industry which offers a substantially similar product or service as the Borrower or any of its Subsidiaries.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 xml:space="preserve">” means a certificate of the chief financial officer or the treasurer of the Borrower substantially in the form attached as </w:t>
      </w:r>
      <w:r>
        <w:rPr>
          <w:rFonts w:ascii="Times New Roman" w:cs="Times New Roman" w:eastAsia="Times New Roman" w:hAnsi="Times New Roman"/>
          <w:sz w:val="17"/>
          <w:szCs w:val="17"/>
          <w:b w:val="1"/>
          <w:bCs w:val="1"/>
          <w:i w:val="1"/>
          <w:iCs w:val="1"/>
          <w:color w:val="auto"/>
        </w:rPr>
        <w:t>Exhibit F</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505"/>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Conforming Changes</w:t>
      </w:r>
      <w:r>
        <w:rPr>
          <w:rFonts w:ascii="Times New Roman" w:cs="Times New Roman" w:eastAsia="Times New Roman" w:hAnsi="Times New Roman"/>
          <w:sz w:val="17"/>
          <w:szCs w:val="17"/>
          <w:color w:val="auto"/>
        </w:rPr>
        <w:t xml:space="preserve">” means, with respect to either the use or administration of Adjusted Daily Simple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notices, the applicability and length of lookback periods, the applicability of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58"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Connection Income Taxes</w:t>
      </w:r>
      <w:r>
        <w:rPr>
          <w:rFonts w:ascii="Times New Roman" w:cs="Times New Roman" w:eastAsia="Times New Roman" w:hAnsi="Times New Roman"/>
          <w:sz w:val="17"/>
          <w:szCs w:val="17"/>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91" w:right="319" w:bottom="1440" w:gutter="0" w:footer="0" w:header="0"/>
        </w:sectPr>
      </w:pPr>
    </w:p>
    <w:bookmarkStart w:id="411" w:name="page412"/>
    <w:bookmarkEnd w:id="411"/>
    <w:p>
      <w:pPr>
        <w:ind w:firstLine="498"/>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w:t>
      </w:r>
      <w:r>
        <w:rPr>
          <w:rFonts w:ascii="Times New Roman" w:cs="Times New Roman" w:eastAsia="Times New Roman" w:hAnsi="Times New Roman"/>
          <w:sz w:val="17"/>
          <w:szCs w:val="17"/>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means, for any period, the sum of the following determined on a Consolidated basis, without duplication, for the Borrower and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w:t>
      </w:r>
    </w:p>
    <w:p>
      <w:pPr>
        <w:spacing w:after="0" w:line="144" w:lineRule="exact"/>
        <w:rPr>
          <w:sz w:val="20"/>
          <w:szCs w:val="20"/>
          <w:color w:val="auto"/>
        </w:rPr>
      </w:pPr>
    </w:p>
    <w:p>
      <w:pPr>
        <w:ind w:left="860" w:hanging="351"/>
        <w:spacing w:after="0"/>
        <w:tabs>
          <w:tab w:leader="none" w:pos="86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Consolidated Net Income for such period; </w:t>
      </w:r>
      <w:r>
        <w:rPr>
          <w:rFonts w:ascii="Times New Roman" w:cs="Times New Roman" w:eastAsia="Times New Roman" w:hAnsi="Times New Roman"/>
          <w:sz w:val="17"/>
          <w:szCs w:val="17"/>
          <w:u w:val="single" w:color="auto"/>
          <w:color w:val="auto"/>
        </w:rPr>
        <w:t>plus</w:t>
      </w:r>
    </w:p>
    <w:p>
      <w:pPr>
        <w:spacing w:after="0" w:line="161" w:lineRule="exact"/>
        <w:rPr>
          <w:rFonts w:ascii="Times New Roman" w:cs="Times New Roman" w:eastAsia="Times New Roman" w:hAnsi="Times New Roman"/>
          <w:sz w:val="17"/>
          <w:szCs w:val="17"/>
          <w:color w:val="auto"/>
        </w:rPr>
      </w:pPr>
    </w:p>
    <w:p>
      <w:pPr>
        <w:ind w:firstLine="509"/>
        <w:spacing w:after="0" w:line="246" w:lineRule="auto"/>
        <w:tabs>
          <w:tab w:leader="none" w:pos="869"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following, without duplication, to the extent deducted in determining Consolidated Net Income (other than as set forth in clause (b)(vii)(B)) for such period:</w:t>
      </w:r>
    </w:p>
    <w:p>
      <w:pPr>
        <w:spacing w:after="0" w:line="135" w:lineRule="exact"/>
        <w:rPr>
          <w:rFonts w:ascii="Times New Roman" w:cs="Times New Roman" w:eastAsia="Times New Roman" w:hAnsi="Times New Roman"/>
          <w:sz w:val="17"/>
          <w:szCs w:val="17"/>
          <w:color w:val="auto"/>
        </w:rPr>
      </w:pPr>
    </w:p>
    <w:p>
      <w:pPr>
        <w:ind w:left="1340" w:hanging="327"/>
        <w:spacing w:after="0"/>
        <w:tabs>
          <w:tab w:leader="none" w:pos="1340"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Interest Expense;</w:t>
      </w:r>
    </w:p>
    <w:p>
      <w:pPr>
        <w:spacing w:after="0" w:line="151" w:lineRule="exact"/>
        <w:rPr>
          <w:rFonts w:ascii="Times New Roman" w:cs="Times New Roman" w:eastAsia="Times New Roman" w:hAnsi="Times New Roman"/>
          <w:sz w:val="17"/>
          <w:szCs w:val="17"/>
          <w:color w:val="auto"/>
        </w:rPr>
      </w:pPr>
    </w:p>
    <w:p>
      <w:pPr>
        <w:ind w:left="500" w:firstLine="513"/>
        <w:spacing w:after="0" w:line="259" w:lineRule="auto"/>
        <w:tabs>
          <w:tab w:leader="none" w:pos="1441"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 for Taxes measured by net income, profits or capital (or any similar measures), paid or accrued, including federal and state and local income Taxes, foreign income Taxes and franchise Taxes;</w:t>
      </w:r>
    </w:p>
    <w:p>
      <w:pPr>
        <w:spacing w:after="0" w:line="124" w:lineRule="exact"/>
        <w:rPr>
          <w:rFonts w:ascii="Times New Roman" w:cs="Times New Roman" w:eastAsia="Times New Roman" w:hAnsi="Times New Roman"/>
          <w:sz w:val="17"/>
          <w:szCs w:val="17"/>
          <w:color w:val="auto"/>
        </w:rPr>
      </w:pPr>
    </w:p>
    <w:p>
      <w:pPr>
        <w:ind w:left="500" w:firstLine="513"/>
        <w:spacing w:after="0" w:line="246" w:lineRule="auto"/>
        <w:tabs>
          <w:tab w:leader="none" w:pos="1431"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amortization and other non-cash charges, expenses or losses (including non-cash stock based compensation expense), excluding any non-cash charge or expense that represents an accrual for a cash expense to be taken in a future period;</w:t>
      </w:r>
    </w:p>
    <w:p>
      <w:pPr>
        <w:spacing w:after="0" w:line="135" w:lineRule="exact"/>
        <w:rPr>
          <w:rFonts w:ascii="Times New Roman" w:cs="Times New Roman" w:eastAsia="Times New Roman" w:hAnsi="Times New Roman"/>
          <w:sz w:val="17"/>
          <w:szCs w:val="17"/>
          <w:color w:val="auto"/>
        </w:rPr>
      </w:pPr>
    </w:p>
    <w:p>
      <w:pPr>
        <w:ind w:left="1420" w:hanging="407"/>
        <w:spacing w:after="0"/>
        <w:tabs>
          <w:tab w:leader="none" w:pos="1420"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unusual and non-recurring losses (excluding losses from discontinued operations);</w:t>
      </w:r>
    </w:p>
    <w:p>
      <w:pPr>
        <w:spacing w:after="0" w:line="151" w:lineRule="exact"/>
        <w:rPr>
          <w:rFonts w:ascii="Times New Roman" w:cs="Times New Roman" w:eastAsia="Times New Roman" w:hAnsi="Times New Roman"/>
          <w:sz w:val="17"/>
          <w:szCs w:val="17"/>
          <w:color w:val="auto"/>
        </w:rPr>
      </w:pPr>
    </w:p>
    <w:p>
      <w:pPr>
        <w:ind w:left="500" w:firstLine="513"/>
        <w:spacing w:after="0" w:line="259" w:lineRule="auto"/>
        <w:tabs>
          <w:tab w:leader="none" w:pos="1408"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transaction fees, charges and other amounts related to the Transactions and any amendment or other modification to the Loan Documents, in each case to the extent paid within six (6) months of the Closing Date or the effectiveness of such amendment or other modification;</w:t>
      </w:r>
    </w:p>
    <w:p>
      <w:pPr>
        <w:spacing w:after="0" w:line="124" w:lineRule="exact"/>
        <w:rPr>
          <w:rFonts w:ascii="Times New Roman" w:cs="Times New Roman" w:eastAsia="Times New Roman" w:hAnsi="Times New Roman"/>
          <w:sz w:val="17"/>
          <w:szCs w:val="17"/>
          <w:color w:val="auto"/>
        </w:rPr>
      </w:pPr>
    </w:p>
    <w:p>
      <w:pPr>
        <w:jc w:val="both"/>
        <w:ind w:left="500" w:firstLine="513"/>
        <w:spacing w:after="0" w:line="231" w:lineRule="auto"/>
        <w:tabs>
          <w:tab w:leader="none" w:pos="1437"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transaction fees, charges and other amounts (including any financing fees, merger and acquisition fees, legal fees and expenses, due diligence fees or any other fees and expenses in connection therewith) in connection with any Permitted Acquisition, Investment, disposition, issuance or repurchase of Equity Interests (including the IPO), or the incurrence, amendment or waiver of Indebtedness permitted hereunder (other than those related to the Transactions or with respect to any amendment or modification of the Loan Documents), in each case, whether or not consummated, in each case to the extent paid within six (6) months of the closing or effectiveness of such event or the termination or abandonment of such transaction, or in the case of any deferred consideration or earnout payable in connection with any Permitted Acquisition or other Investment, upon payment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amounts described in this clause (b)(vi) with respect to transactions that are not consummated shall not exceed $15,000,000 for the applicable period; and</w:t>
      </w:r>
    </w:p>
    <w:p>
      <w:pPr>
        <w:spacing w:after="0" w:line="144" w:lineRule="exact"/>
        <w:rPr>
          <w:rFonts w:ascii="Times New Roman" w:cs="Times New Roman" w:eastAsia="Times New Roman" w:hAnsi="Times New Roman"/>
          <w:sz w:val="17"/>
          <w:szCs w:val="17"/>
          <w:color w:val="auto"/>
        </w:rPr>
      </w:pPr>
    </w:p>
    <w:p>
      <w:pPr>
        <w:jc w:val="both"/>
        <w:ind w:left="500" w:firstLine="513"/>
        <w:spacing w:after="0" w:line="239" w:lineRule="auto"/>
        <w:tabs>
          <w:tab w:leader="none" w:pos="1531"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other unusual, extraordinary and non-recurring cash expenses or charges (including restructuring costs, including severance) and (B) the amount of any “run rate” synergies, operating expense reductions and other net cost savings and integration costs, in each case projected by the Borrower in connection with Permitted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181" w:right="319" w:bottom="1440" w:gutter="0" w:footer="0" w:header="0"/>
        </w:sectPr>
      </w:pPr>
    </w:p>
    <w:bookmarkStart w:id="412" w:name="page413"/>
    <w:bookmarkEnd w:id="412"/>
    <w:p>
      <w:pPr>
        <w:jc w:val="both"/>
        <w:ind w:left="500"/>
        <w:spacing w:after="0" w:line="256" w:lineRule="auto"/>
        <w:rPr>
          <w:sz w:val="20"/>
          <w:szCs w:val="20"/>
          <w:color w:val="auto"/>
        </w:rPr>
      </w:pPr>
      <w:r>
        <w:rPr>
          <w:rFonts w:ascii="Times New Roman" w:cs="Times New Roman" w:eastAsia="Times New Roman" w:hAnsi="Times New Roman"/>
          <w:sz w:val="16"/>
          <w:szCs w:val="16"/>
          <w:color w:val="auto"/>
        </w:rPr>
        <w:t xml:space="preserve">Asset Dispositions (including the termination or discontinuance of activities constituting such business) and/or other operating improvement, restructuring (including severance), cost savings initiative or other similar initiative taken after the Closing Date that have been consummated during the applicable Reference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w:t>
      </w:r>
    </w:p>
    <w:p>
      <w:pPr>
        <w:jc w:val="both"/>
        <w:ind w:left="500" w:firstLine="9"/>
        <w:spacing w:after="0" w:line="239" w:lineRule="auto"/>
        <w:tabs>
          <w:tab w:leader="none" w:pos="736"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synergies, expense reductions and cost savings are reasonably identifiable, factually supportable, expected to have a continuing impact on the operations of the Borrower and its Subsidiaries and have been determined by the Borrower in good faith to be reasonably anticipated to be realizable within 12 months following any such action as set forth in reasonable detail on a certificate of a Responsible Officer of the Borrower delivered to the Administrative Agent, (ii) no such amounts shall be added pursuant to this clause to the extent duplicative of any expenses or charges otherwise added to Consolidated EBITDA, whether through a pro forma adjustment, the definition of Pro Forma Basis or otherwise and (iii) the aggregate amount added pursuant to this clause (b)(vii) for any Reference Period shall in no event exceed 25% of Consolidated EBITDA for such period (calculated prior to any such add-backs pursuant to this clause (b)(vii); </w:t>
      </w:r>
      <w:r>
        <w:rPr>
          <w:rFonts w:ascii="Times New Roman" w:cs="Times New Roman" w:eastAsia="Times New Roman" w:hAnsi="Times New Roman"/>
          <w:sz w:val="17"/>
          <w:szCs w:val="17"/>
          <w:u w:val="single" w:color="auto"/>
          <w:color w:val="auto"/>
        </w:rPr>
        <w:t>less</w:t>
      </w:r>
    </w:p>
    <w:p>
      <w:pPr>
        <w:spacing w:after="0" w:line="144" w:lineRule="exact"/>
        <w:rPr>
          <w:sz w:val="20"/>
          <w:szCs w:val="20"/>
          <w:color w:val="auto"/>
        </w:rPr>
      </w:pPr>
    </w:p>
    <w:p>
      <w:pPr>
        <w:ind w:left="860" w:hanging="351"/>
        <w:spacing w:after="0"/>
        <w:tabs>
          <w:tab w:leader="none" w:pos="86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following, without duplication, to the extent included in determining Consolidated Net Income for such period:</w:t>
      </w:r>
    </w:p>
    <w:p>
      <w:pPr>
        <w:spacing w:after="0" w:line="161" w:lineRule="exact"/>
        <w:rPr>
          <w:rFonts w:ascii="Times New Roman" w:cs="Times New Roman" w:eastAsia="Times New Roman" w:hAnsi="Times New Roman"/>
          <w:sz w:val="17"/>
          <w:szCs w:val="17"/>
          <w:color w:val="auto"/>
        </w:rPr>
      </w:pPr>
    </w:p>
    <w:p>
      <w:pPr>
        <w:ind w:left="1340" w:hanging="327"/>
        <w:spacing w:after="0"/>
        <w:tabs>
          <w:tab w:leader="none" w:pos="134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income (but, Borrower’s income from the partner bank program shall not be considered interest income for this purpose),</w:t>
      </w:r>
    </w:p>
    <w:p>
      <w:pPr>
        <w:spacing w:after="0" w:line="172" w:lineRule="exact"/>
        <w:rPr>
          <w:rFonts w:ascii="Times New Roman" w:cs="Times New Roman" w:eastAsia="Times New Roman" w:hAnsi="Times New Roman"/>
          <w:sz w:val="17"/>
          <w:szCs w:val="17"/>
          <w:color w:val="auto"/>
        </w:rPr>
      </w:pPr>
    </w:p>
    <w:p>
      <w:pPr>
        <w:ind w:left="1400" w:hanging="387"/>
        <w:spacing w:after="0"/>
        <w:tabs>
          <w:tab w:leader="none" w:pos="1400" w:val="left"/>
        </w:tabs>
        <w:numPr>
          <w:ilvl w:val="1"/>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state, local and foreign income Tax credits of the Borrower and its Subsidiaries for such period (to the extent not netted from income Tax</w:t>
      </w:r>
    </w:p>
    <w:p>
      <w:pPr>
        <w:spacing w:after="0" w:line="23"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expense);</w:t>
      </w:r>
    </w:p>
    <w:p>
      <w:pPr>
        <w:spacing w:after="0" w:line="154" w:lineRule="exact"/>
        <w:rPr>
          <w:rFonts w:ascii="Times New Roman" w:cs="Times New Roman" w:eastAsia="Times New Roman" w:hAnsi="Times New Roman"/>
          <w:sz w:val="16"/>
          <w:szCs w:val="16"/>
          <w:color w:val="auto"/>
        </w:rPr>
      </w:pPr>
    </w:p>
    <w:p>
      <w:pPr>
        <w:ind w:left="1440" w:hanging="427"/>
        <w:spacing w:after="0"/>
        <w:tabs>
          <w:tab w:leader="none" w:pos="144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unusual and non-recurring gains;</w:t>
      </w:r>
    </w:p>
    <w:p>
      <w:pPr>
        <w:spacing w:after="0" w:line="161" w:lineRule="exact"/>
        <w:rPr>
          <w:rFonts w:ascii="Times New Roman" w:cs="Times New Roman" w:eastAsia="Times New Roman" w:hAnsi="Times New Roman"/>
          <w:sz w:val="17"/>
          <w:szCs w:val="17"/>
          <w:color w:val="auto"/>
        </w:rPr>
      </w:pPr>
    </w:p>
    <w:p>
      <w:pPr>
        <w:ind w:left="1420" w:hanging="407"/>
        <w:spacing w:after="0"/>
        <w:tabs>
          <w:tab w:leader="none" w:pos="142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gains or non-cash items; and</w:t>
      </w:r>
    </w:p>
    <w:p>
      <w:pPr>
        <w:spacing w:after="0" w:line="161" w:lineRule="exact"/>
        <w:rPr>
          <w:rFonts w:ascii="Times New Roman" w:cs="Times New Roman" w:eastAsia="Times New Roman" w:hAnsi="Times New Roman"/>
          <w:sz w:val="17"/>
          <w:szCs w:val="17"/>
          <w:color w:val="auto"/>
        </w:rPr>
      </w:pPr>
    </w:p>
    <w:p>
      <w:pPr>
        <w:ind w:left="500" w:firstLine="513"/>
        <w:spacing w:after="0" w:line="272" w:lineRule="auto"/>
        <w:tabs>
          <w:tab w:leader="none" w:pos="1422"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cash expense made during such period which represents the reversal of any non-cash expense that was added in a prior period pursuant to clause (b)(iii) above subsequent to the fiscal quarter in which the relevant non-cash expenses, charges or losses were incurred.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Agreement, all non-cash gain or loss in respect of fair value adjustments will be disregarded for purposes of determining Consolidated EBITDA.</w:t>
      </w:r>
    </w:p>
    <w:p>
      <w:pPr>
        <w:spacing w:after="0" w:line="16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For purposes of this Agreement (excluding calculation of the Consolidated Fixed Charge Coverage Ratio), Consolidated EBITDA shall be calculated on a Pro Forma Basis.</w:t>
      </w:r>
    </w:p>
    <w:p>
      <w:pPr>
        <w:spacing w:after="0" w:line="114" w:lineRule="exact"/>
        <w:rPr>
          <w:sz w:val="20"/>
          <w:szCs w:val="20"/>
          <w:color w:val="auto"/>
        </w:rPr>
      </w:pPr>
    </w:p>
    <w:p>
      <w:pPr>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Fixed Charge Coverage Ratio</w:t>
      </w:r>
      <w:r>
        <w:rPr>
          <w:rFonts w:ascii="Times New Roman" w:cs="Times New Roman" w:eastAsia="Times New Roman" w:hAnsi="Times New Roman"/>
          <w:sz w:val="17"/>
          <w:szCs w:val="17"/>
          <w:color w:val="auto"/>
        </w:rPr>
        <w:t>” means, as of any date of determination, the ratio of (a) Consolidated EBITDA for the most recently ended Reference Period to (b) Consolidated Fixed Charges for the most recently ended Reference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181" w:right="319" w:bottom="1440" w:gutter="0" w:footer="0" w:header="0"/>
        </w:sectPr>
      </w:pPr>
    </w:p>
    <w:bookmarkStart w:id="413" w:name="page414"/>
    <w:bookmarkEnd w:id="413"/>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Fixed Charges</w:t>
      </w:r>
      <w:r>
        <w:rPr>
          <w:rFonts w:ascii="Times New Roman" w:cs="Times New Roman" w:eastAsia="Times New Roman" w:hAnsi="Times New Roman"/>
          <w:sz w:val="17"/>
          <w:szCs w:val="17"/>
          <w:color w:val="auto"/>
        </w:rPr>
        <w:t>” means, for any period, the sum of the following determined on a Consolidated basis for such period, without duplication, for the Borrower and its Subsidiaries in accordance with GAAP: (a) Consolidated Interest Expense paid or payable in cash, (b) scheduled principal payments with respect to Indebtedness, (c) Capital Expenditures (not financed through an issuance of Indebtedness (other than Revolving Credit Loans) or Equity Issuance permitted hereunder), (d) federal, state, local and foreign income taxes paid in cash and (e) cash Restricted Payments made by the Borrower.</w:t>
      </w:r>
    </w:p>
    <w:p>
      <w:pPr>
        <w:spacing w:after="0" w:line="138" w:lineRule="exact"/>
        <w:rPr>
          <w:sz w:val="20"/>
          <w:szCs w:val="20"/>
          <w:color w:val="auto"/>
        </w:rPr>
      </w:pPr>
    </w:p>
    <w:p>
      <w:pPr>
        <w:jc w:val="both"/>
        <w:ind w:firstLine="5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Funded Indebtedness</w:t>
      </w:r>
      <w:r>
        <w:rPr>
          <w:rFonts w:ascii="Times New Roman" w:cs="Times New Roman" w:eastAsia="Times New Roman" w:hAnsi="Times New Roman"/>
          <w:sz w:val="17"/>
          <w:szCs w:val="17"/>
          <w:color w:val="auto"/>
        </w:rPr>
        <w:t xml:space="preserve">” means, as of any date of determination, for </w:t>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7"/>
          <w:szCs w:val="17"/>
          <w:color w:val="auto"/>
        </w:rPr>
        <w:t>he Borrower and its Subsidiaries on a Consolidated basis, the sum of, without duplication, (a) all liabilities, obligations and indebtedness for borrowed money including, but not limited to, obligations evidenced by bonds, debentures, notes or other similar instruments of any such Person, (b) all purchase money Indebtedness, (c) all obligations to pay the deferred purchase price of property or services of any such Person (including all payment obligations under non-competition, earn-out or similar agreements, solely to the extent any such payment obligation under non-competition, earn-out or similar agreements becomes a liability on the balance sheet of such Person in accordance with GAAP),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 (d) the Attributable Indebtedness of such Person with respect to such Person’s Capital Lease Obligations and Synthetic Leases (regardless of whether accounted for as indebtedness under GAAP), (e) all drawn and unreimbursed obligations, contingent or otherwise, of any such Person relative to letters of credit, including any Reimbursement Obligation, and banker’s acceptances issued for the account of any such Person, (f) all obligations of any such Person in respect of Disqualified Equity Interests which shall be valued, in the case of a redeemable preferred interest, at the greater of its voluntary or involuntary liquidation preference plus accrued and unpaid dividends that are past due, (g) all Guarantees of any such Person with respect to any of the foregoing and (h) all Indebtedness of the types referred to in clauses (a) through (g) above of any partnership or joint venture (other than a joint venture that is itself a corporation or limited liability company) in which such Person is a general partner or joint venturer, unless such Indebtedness is expressly made non-recourse to such Person.</w:t>
      </w:r>
    </w:p>
    <w:p>
      <w:pPr>
        <w:spacing w:after="0" w:line="136"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Interest Expense</w:t>
      </w:r>
      <w:r>
        <w:rPr>
          <w:rFonts w:ascii="Times New Roman" w:cs="Times New Roman" w:eastAsia="Times New Roman" w:hAnsi="Times New Roman"/>
          <w:sz w:val="17"/>
          <w:szCs w:val="17"/>
          <w:color w:val="auto"/>
        </w:rPr>
        <w:t>” means, for any period, the sum of the following determined on a Consolidated basis, without duplication, for the Borrower and its Subsidiaries in accordance with GAAP, interest expense (including interest expense attributable to Capital Lease Obligations, the interest component of Synthetic Leases and all net payment obligations pursuant to Hedge Agreements but, excluding interest expense paid on the partner bank program) for such period.</w:t>
      </w:r>
    </w:p>
    <w:p>
      <w:pPr>
        <w:spacing w:after="0" w:line="124" w:lineRule="exact"/>
        <w:rPr>
          <w:sz w:val="20"/>
          <w:szCs w:val="20"/>
          <w:color w:val="auto"/>
        </w:rPr>
      </w:pPr>
    </w:p>
    <w:p>
      <w:pPr>
        <w:jc w:val="both"/>
        <w:ind w:firstLine="505"/>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Net Income</w:t>
      </w:r>
      <w:r>
        <w:rPr>
          <w:rFonts w:ascii="Times New Roman" w:cs="Times New Roman" w:eastAsia="Times New Roman" w:hAnsi="Times New Roman"/>
          <w:sz w:val="17"/>
          <w:szCs w:val="17"/>
          <w:color w:val="auto"/>
        </w:rPr>
        <w:t xml:space="preserve">” means, for any period, the net income (or loss) of the Borrower and its Subsidiaries for such period, determined on a Consolidated basis, without duplication, in accordance with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calculating Consolidated Net Income of the Borrower and its Subsidiaries for any period, there shall be excluded (a) the net income (or loss) of any Person (other than a Subsidiary which shall be subject to clause (c) below), in which the Borrower or any of its Subsidiaries has a joint interest with a third party, except to the extent such net income is actually paid in cash to the Borrower or any of its Subsidiaries by dividend or other distribution during such period, (b) the net income (or loss) of any Person accrued prior to the date it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181" w:right="319" w:bottom="1440" w:gutter="0" w:footer="0" w:header="0"/>
        </w:sectPr>
      </w:pPr>
    </w:p>
    <w:bookmarkStart w:id="414" w:name="page415"/>
    <w:bookmarkEnd w:id="414"/>
    <w:p>
      <w:pPr>
        <w:jc w:val="both"/>
        <w:spacing w:after="0" w:line="231" w:lineRule="auto"/>
        <w:rPr>
          <w:sz w:val="20"/>
          <w:szCs w:val="20"/>
          <w:color w:val="auto"/>
        </w:rPr>
      </w:pPr>
      <w:r>
        <w:rPr>
          <w:rFonts w:ascii="Times New Roman" w:cs="Times New Roman" w:eastAsia="Times New Roman" w:hAnsi="Times New Roman"/>
          <w:sz w:val="17"/>
          <w:szCs w:val="17"/>
          <w:color w:val="auto"/>
        </w:rPr>
        <w:t>a Subsidiary of the Borrower or any of its Subsidiaries or is merged into or consolidated with the Borrower or any of its Subsidiaries or that Person’s assets are acquired by the Borrower or any of its Subsidiaries except to the extent included pursuant to the foregoing clause (a), (c) the net income (if positive), of any Subsidiary to the extent that the declaration or payment of dividends or similar distributions by such Subsidiary to the Borrower or any of its Subsidiaries of such net income (i) 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(d) the net income (or loss) of any Subsidiary that is not a Wholly-Owned Subsidiary to the extent such net income (or loss) is attributable to the minority interest in such Subsidiary and (e) any gain or loss from Asset Dispositions during such period.</w:t>
      </w:r>
    </w:p>
    <w:p>
      <w:pPr>
        <w:spacing w:after="0" w:line="144"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Total Net Leverage Ratio</w:t>
      </w:r>
      <w:r>
        <w:rPr>
          <w:rFonts w:ascii="Times New Roman" w:cs="Times New Roman" w:eastAsia="Times New Roman" w:hAnsi="Times New Roman"/>
          <w:sz w:val="17"/>
          <w:szCs w:val="17"/>
          <w:color w:val="auto"/>
        </w:rPr>
        <w:t xml:space="preserve">” means, as of any date of determination, the ratio of (a)(i) Consolidated Funded Indebtedness on such date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(ii) all Unrestricted Cash and Cash Equivalents on such date in an aggregate amount of up to $150,000,000 to (b) Consolidated EBITDA for the most recently ended Reference Period.</w:t>
      </w:r>
    </w:p>
    <w:p>
      <w:pPr>
        <w:spacing w:after="0" w:line="141"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Continuing Directors</w:t>
      </w:r>
      <w:r>
        <w:rPr>
          <w:rFonts w:ascii="Times New Roman" w:cs="Times New Roman" w:eastAsia="Times New Roman" w:hAnsi="Times New Roman"/>
          <w:sz w:val="17"/>
          <w:szCs w:val="17"/>
          <w:color w:val="auto"/>
        </w:rPr>
        <w:t>” means the directors (or equivalent governing body) of the Borrower on the Closing Date and each other director (or equivalent) of the Borrower, if, in each case, such other Person’s nomination for election to the board of directors (or equivalent governing body) of the Borrower is approved by at least a majority of the then Continuing Directors.</w:t>
      </w:r>
    </w:p>
    <w:p>
      <w:pPr>
        <w:spacing w:after="0" w:line="131"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Party</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12.24(a)</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Facility</w:t>
      </w:r>
      <w:r>
        <w:rPr>
          <w:rFonts w:ascii="Times New Roman" w:cs="Times New Roman" w:eastAsia="Times New Roman" w:hAnsi="Times New Roman"/>
          <w:sz w:val="17"/>
          <w:szCs w:val="17"/>
          <w:color w:val="auto"/>
        </w:rPr>
        <w:t>” means, collectively, the Revolving Credit Facility, the Swingline Facility and the L/C Facility.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Parties</w:t>
      </w:r>
      <w:r>
        <w:rPr>
          <w:rFonts w:ascii="Times New Roman" w:cs="Times New Roman" w:eastAsia="Times New Roman" w:hAnsi="Times New Roman"/>
          <w:sz w:val="17"/>
          <w:szCs w:val="17"/>
          <w:color w:val="auto"/>
        </w:rPr>
        <w:t>” means, collectively, the Borrower and the Guarantors.</w:t>
      </w:r>
    </w:p>
    <w:p>
      <w:pPr>
        <w:spacing w:after="0" w:line="151"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Debtor Relief Laws</w:t>
      </w:r>
      <w:r>
        <w:rPr>
          <w:rFonts w:ascii="Times New Roman" w:cs="Times New Roman" w:eastAsia="Times New Roman" w:hAnsi="Times New Roman"/>
          <w:sz w:val="17"/>
          <w:szCs w:val="17"/>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24"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xml:space="preserve">” means any of the events specified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which with the passage of time, the giving of notice or any other condition, would constitute an Event of Default.</w:t>
      </w:r>
    </w:p>
    <w:p>
      <w:pPr>
        <w:spacing w:after="0" w:line="114"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xml:space="preserve">” means, subject to </w:t>
      </w:r>
      <w:r>
        <w:rPr>
          <w:rFonts w:ascii="Times New Roman" w:cs="Times New Roman" w:eastAsia="Times New Roman" w:hAnsi="Times New Roman"/>
          <w:sz w:val="17"/>
          <w:szCs w:val="17"/>
          <w:u w:val="single" w:color="auto"/>
          <w:color w:val="auto"/>
        </w:rPr>
        <w:t>Section 5.15(b)</w:t>
      </w:r>
      <w:r>
        <w:rPr>
          <w:rFonts w:ascii="Times New Roman" w:cs="Times New Roman" w:eastAsia="Times New Roman" w:hAnsi="Times New Roman"/>
          <w:sz w:val="17"/>
          <w:szCs w:val="17"/>
          <w:color w:val="auto"/>
        </w:rPr>
        <w:t>, any Lender that (a) has failed to (i) fund all or any portion of the Revolving Credit Loans required to be funded by it hereunder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1180" w:right="319" w:bottom="1440" w:gutter="0" w:footer="0" w:header="0"/>
        </w:sectPr>
      </w:pPr>
    </w:p>
    <w:bookmarkStart w:id="415" w:name="page416"/>
    <w:bookmarkEnd w:id="415"/>
    <w:p>
      <w:pPr>
        <w:jc w:val="both"/>
        <w:spacing w:after="0" w:line="242" w:lineRule="auto"/>
        <w:rPr>
          <w:sz w:val="20"/>
          <w:szCs w:val="20"/>
          <w:color w:val="auto"/>
        </w:rPr>
      </w:pPr>
      <w:r>
        <w:rPr>
          <w:rFonts w:ascii="Times New Roman" w:cs="Times New Roman" w:eastAsia="Times New Roman" w:hAnsi="Times New Roman"/>
          <w:sz w:val="16"/>
          <w:szCs w:val="16"/>
          <w:color w:val="auto"/>
        </w:rPr>
        <w:t>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participations in Letters of Credit or Swingline Loans) within two Business Days of the date when due, (b) has notified the Borrower,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w:t>
      </w:r>
    </w:p>
    <w:p>
      <w:pPr>
        <w:spacing w:after="0" w:line="4" w:lineRule="exact"/>
        <w:rPr>
          <w:sz w:val="20"/>
          <w:szCs w:val="20"/>
          <w:color w:val="auto"/>
        </w:rPr>
      </w:pPr>
    </w:p>
    <w:p>
      <w:pPr>
        <w:ind w:firstLine="4"/>
        <w:spacing w:after="0" w:line="238" w:lineRule="auto"/>
        <w:tabs>
          <w:tab w:leader="none" w:pos="23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through (d) above shall be conclusive and binding absent manifest error, and such Lender shall be deemed to be a Defaulting Lender (subject to </w:t>
      </w:r>
      <w:r>
        <w:rPr>
          <w:rFonts w:ascii="Times New Roman" w:cs="Times New Roman" w:eastAsia="Times New Roman" w:hAnsi="Times New Roman"/>
          <w:sz w:val="17"/>
          <w:szCs w:val="17"/>
          <w:u w:val="single" w:color="auto"/>
          <w:color w:val="auto"/>
        </w:rPr>
        <w:t>Section 5.15(b)</w:t>
      </w:r>
      <w:r>
        <w:rPr>
          <w:rFonts w:ascii="Times New Roman" w:cs="Times New Roman" w:eastAsia="Times New Roman" w:hAnsi="Times New Roman"/>
          <w:sz w:val="17"/>
          <w:szCs w:val="17"/>
          <w:color w:val="auto"/>
        </w:rPr>
        <w:t>) upon delivery of written notice of such determination to the Borrower, each Issuing Lender, the Swingline Lender and each Lender.</w:t>
      </w:r>
    </w:p>
    <w:p>
      <w:pPr>
        <w:spacing w:after="0" w:line="130"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Disposed EBITDA</w:t>
      </w:r>
      <w:r>
        <w:rPr>
          <w:rFonts w:ascii="Times New Roman" w:cs="Times New Roman" w:eastAsia="Times New Roman" w:hAnsi="Times New Roman"/>
          <w:sz w:val="17"/>
          <w:szCs w:val="17"/>
          <w:color w:val="auto"/>
        </w:rPr>
        <w:t>” means, with respect to any Person or business that is sold or disposed of in an Asset Disposition during any period, the amount for such period of Consolidated EBITDA of any such Person or business subject to such Asset Disposition (determined using such definitions as if references to the Borrower and its Subsidiaries therein were to such Person or business), as calculated by the Borrower in good faith.</w:t>
      </w:r>
    </w:p>
    <w:p>
      <w:pPr>
        <w:spacing w:after="0" w:line="124"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Disqualified Equity Interests</w:t>
      </w:r>
      <w:r>
        <w:rPr>
          <w:rFonts w:ascii="Times New Roman" w:cs="Times New Roman" w:eastAsia="Times New Roman" w:hAnsi="Times New Roman"/>
          <w:sz w:val="17"/>
          <w:szCs w:val="17"/>
          <w:color w:val="auto"/>
        </w:rPr>
        <w:t>” means, with respect to any Person, any Equity Interests of such Person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in cash of the Loans and all other Obligations ((other than contingent indemnification obligations not then due) and the termination of the Commitments), (b) are redeemable at the option of the holder thereof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1180" w:right="319" w:bottom="1440" w:gutter="0" w:footer="0" w:header="0"/>
        </w:sectPr>
      </w:pPr>
    </w:p>
    <w:bookmarkStart w:id="416" w:name="page417"/>
    <w:bookmarkEnd w:id="416"/>
    <w:p>
      <w:pPr>
        <w:jc w:val="both"/>
        <w:spacing w:after="0" w:line="245" w:lineRule="auto"/>
        <w:rPr>
          <w:sz w:val="20"/>
          <w:szCs w:val="20"/>
          <w:color w:val="auto"/>
        </w:rPr>
      </w:pPr>
      <w:r>
        <w:rPr>
          <w:rFonts w:ascii="Times New Roman" w:cs="Times New Roman" w:eastAsia="Times New Roman" w:hAnsi="Times New Roman"/>
          <w:sz w:val="16"/>
          <w:szCs w:val="16"/>
          <w:color w:val="auto"/>
        </w:rPr>
        <w:t>than solely for Qualified Equity Interests) (except as a result of a change of control or asset sale so long as any rights of the holders thereof upon the occurrence of a change of control or asset sale event shall be subject to the prior repayment in full in cash of the Loans and all other Obligations ((other than contingent indemnification obligations not then due) and the termination of the Commitments), in whole or in part, (c) provide for the scheduled payment of dividends in cash or</w:t>
      </w:r>
    </w:p>
    <w:p>
      <w:pPr>
        <w:spacing w:after="0" w:line="1" w:lineRule="exact"/>
        <w:rPr>
          <w:sz w:val="20"/>
          <w:szCs w:val="20"/>
          <w:color w:val="auto"/>
        </w:rPr>
      </w:pPr>
    </w:p>
    <w:p>
      <w:pPr>
        <w:jc w:val="both"/>
        <w:ind w:firstLine="4"/>
        <w:spacing w:after="0" w:line="232" w:lineRule="auto"/>
        <w:tabs>
          <w:tab w:leader="none" w:pos="244"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are or become convertible into, or exchangeable for, Indebtedness or any other Equity Interests that would constitute Disqualified Equity Interests, in each case of clauses (a) through (d), prior to the date that is 91 days after the latest scheduled maturity date of the Loans and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Equity Interests are issued pursuant to a plan for the benefit of the Borrower or its Subsidiaries or by any such plan to such officers or employees, such Equity Interests shall not constitute Disqualified Equity Interests solely because they may be required to be repurchased by the Borrower or its Subsidiaries in order to satisfy applicable statutory or regulatory obligations.</w:t>
      </w:r>
    </w:p>
    <w:p>
      <w:pPr>
        <w:spacing w:after="0" w:line="130" w:lineRule="exact"/>
        <w:rPr>
          <w:sz w:val="20"/>
          <w:szCs w:val="20"/>
          <w:color w:val="auto"/>
        </w:rPr>
      </w:pPr>
    </w:p>
    <w:p>
      <w:pPr>
        <w:jc w:val="both"/>
        <w:ind w:firstLine="505"/>
        <w:spacing w:after="0" w:line="23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Disqualified Institution</w:t>
      </w:r>
      <w:r>
        <w:rPr>
          <w:rFonts w:ascii="Times New Roman" w:cs="Times New Roman" w:eastAsia="Times New Roman" w:hAnsi="Times New Roman"/>
          <w:sz w:val="17"/>
          <w:szCs w:val="17"/>
          <w:color w:val="auto"/>
        </w:rPr>
        <w:t xml:space="preserve">” means, on any date, (a) any Person designated by the Borrower as a “Disqualified Institution” by written notice delivered to the Administrative Agent on or prior to the date hereof and (b) any other Person that is a Competitor of the Borrower or any of its Subsidiaries, which Person has been designated by the Borrower as a “Disqualified Institution” by written notice to the Administrative Agent (which such notice shall specify such Person by exact legal name) and the Lenders (including by posting such notice to the Platform) not less than five (5) Business Days prior to such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“Disqualified Institutions” shall exclude any Person that the Borrower has designated as no longer being a “Disqualified Institution” by written notice delivered to the Administrative Agent from time to time; provided further that any bona fide debt fund or investment vehicle that is engaged in making, purchasing, holding or otherwise investing in commercial loans and similar extensions of credit in the ordinary course of business which is managed, sponsored or advised by any Person Controlling, Controlled by or under common Control with such Competitor or its Controlling owner and for which no personnel involved with the competitive activities of such Competitor or Controlling owner (i) makes any investment decisions for such debt fund or (ii) has access to any confidential information (other than publicly available information) relating to the Borrower and its Subsidiaries shall be deemed not to be a Competitor of the Borrower or any of its Subsidiaries.</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means, unless otherwise qualified, dollars in lawful currency of the United States.</w:t>
      </w:r>
    </w:p>
    <w:p>
      <w:pPr>
        <w:spacing w:after="0" w:line="16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Domestic Subsidiary</w:t>
      </w:r>
      <w:r>
        <w:rPr>
          <w:rFonts w:ascii="Times New Roman" w:cs="Times New Roman" w:eastAsia="Times New Roman" w:hAnsi="Times New Roman"/>
          <w:sz w:val="17"/>
          <w:szCs w:val="17"/>
          <w:color w:val="auto"/>
        </w:rPr>
        <w:t>” means, with respect to any Person, a Subsidiary of such Person, which Subsidiary is incorporated or otherwise organized under the laws of a state of the United States of America or the District of Columbia.</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DQ List</w:t>
      </w:r>
      <w:r>
        <w:rPr>
          <w:rFonts w:ascii="Times New Roman" w:cs="Times New Roman" w:eastAsia="Times New Roman" w:hAnsi="Times New Roman"/>
          <w:sz w:val="17"/>
          <w:szCs w:val="17"/>
          <w:color w:val="auto"/>
        </w:rPr>
        <w:t>” has the meaning assigned thereto in Section 12.9(f)(iv).</w:t>
      </w:r>
    </w:p>
    <w:p>
      <w:pPr>
        <w:spacing w:after="0" w:line="162"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1181" w:right="319" w:bottom="1440" w:gutter="0" w:footer="0" w:header="0"/>
        </w:sectPr>
      </w:pPr>
    </w:p>
    <w:bookmarkStart w:id="417" w:name="page418"/>
    <w:bookmarkEnd w:id="417"/>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Member Country</w:t>
      </w:r>
      <w:r>
        <w:rPr>
          <w:rFonts w:ascii="Times New Roman" w:cs="Times New Roman" w:eastAsia="Times New Roman" w:hAnsi="Times New Roman"/>
          <w:sz w:val="17"/>
          <w:szCs w:val="17"/>
          <w:color w:val="auto"/>
        </w:rPr>
        <w:t>” means any of the member states of the European Union, Iceland, Liechtenstein, and Norway.</w:t>
      </w:r>
    </w:p>
    <w:p>
      <w:pPr>
        <w:spacing w:after="0" w:line="151"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Resolution Authority</w:t>
      </w:r>
      <w:r>
        <w:rPr>
          <w:rFonts w:ascii="Times New Roman" w:cs="Times New Roman" w:eastAsia="Times New Roman" w:hAnsi="Times New Roman"/>
          <w:sz w:val="17"/>
          <w:szCs w:val="17"/>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Electronic Record</w:t>
      </w:r>
      <w:r>
        <w:rPr>
          <w:rFonts w:ascii="Times New Roman" w:cs="Times New Roman" w:eastAsia="Times New Roman" w:hAnsi="Times New Roman"/>
          <w:sz w:val="17"/>
          <w:szCs w:val="17"/>
          <w:color w:val="auto"/>
        </w:rPr>
        <w:t>” has the meaning assigned to that term in, and shall be interpreted in accordance with, 15 U.S.C. 7006.</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has the meaning assigned to that term in, and shall be interpreted in accordance with, 15 U.S.C. 7006.</w:t>
      </w:r>
    </w:p>
    <w:p>
      <w:pPr>
        <w:spacing w:after="0" w:line="162"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Assignee</w:t>
      </w:r>
      <w:r>
        <w:rPr>
          <w:rFonts w:ascii="Times New Roman" w:cs="Times New Roman" w:eastAsia="Times New Roman" w:hAnsi="Times New Roman"/>
          <w:sz w:val="17"/>
          <w:szCs w:val="17"/>
          <w:color w:val="auto"/>
        </w:rPr>
        <w:t xml:space="preserve">” means any Person that meets the requirements to be an assignee under </w:t>
      </w:r>
      <w:r>
        <w:rPr>
          <w:rFonts w:ascii="Times New Roman" w:cs="Times New Roman" w:eastAsia="Times New Roman" w:hAnsi="Times New Roman"/>
          <w:sz w:val="17"/>
          <w:szCs w:val="17"/>
          <w:u w:val="single" w:color="auto"/>
          <w:color w:val="auto"/>
        </w:rPr>
        <w:t>Section 12.9(b)(iii)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(subject to such consents, if any, as may be required under </w:t>
      </w:r>
      <w:r>
        <w:rPr>
          <w:rFonts w:ascii="Times New Roman" w:cs="Times New Roman" w:eastAsia="Times New Roman" w:hAnsi="Times New Roman"/>
          <w:sz w:val="17"/>
          <w:szCs w:val="17"/>
          <w:u w:val="single" w:color="auto"/>
          <w:color w:val="auto"/>
        </w:rPr>
        <w:t>Section 12.9(b)(iii)</w:t>
      </w:r>
      <w:r>
        <w:rPr>
          <w:rFonts w:ascii="Times New Roman" w:cs="Times New Roman" w:eastAsia="Times New Roman" w:hAnsi="Times New Roman"/>
          <w:sz w:val="17"/>
          <w:szCs w:val="17"/>
          <w:color w:val="auto"/>
        </w:rPr>
        <w:t xml:space="preserve">). For the avoidance of doubt, any Disqualified Institution is subject to </w:t>
      </w:r>
      <w:r>
        <w:rPr>
          <w:rFonts w:ascii="Times New Roman" w:cs="Times New Roman" w:eastAsia="Times New Roman" w:hAnsi="Times New Roman"/>
          <w:sz w:val="17"/>
          <w:szCs w:val="17"/>
          <w:u w:val="single" w:color="auto"/>
          <w:color w:val="auto"/>
        </w:rPr>
        <w:t>Section 12.9(b)</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 Benefit Plan</w:t>
      </w:r>
      <w:r>
        <w:rPr>
          <w:rFonts w:ascii="Times New Roman" w:cs="Times New Roman" w:eastAsia="Times New Roman" w:hAnsi="Times New Roman"/>
          <w:sz w:val="17"/>
          <w:szCs w:val="17"/>
          <w:color w:val="auto"/>
        </w:rPr>
        <w:t>” means (a) any employee benefit plan within the meaning of Section 3(3) of ERISA that is maintained for employees of any Credit Party or any ERISA Affiliate or (b) any Pension Plan or Multiemployer Plan that has at any time within the preceding five (5) years been maintained, funded or administered for the employees of any Credit Party or any current or former ERISA Affiliate.</w:t>
      </w:r>
    </w:p>
    <w:p>
      <w:pPr>
        <w:spacing w:after="0" w:line="141"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Claims</w:t>
      </w:r>
      <w:r>
        <w:rPr>
          <w:rFonts w:ascii="Times New Roman" w:cs="Times New Roman" w:eastAsia="Times New Roman" w:hAnsi="Times New Roman"/>
          <w:sz w:val="17"/>
          <w:szCs w:val="17"/>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public health or the environment.</w:t>
      </w:r>
    </w:p>
    <w:p>
      <w:pPr>
        <w:spacing w:after="0" w:line="133"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means any and all federal, foreign, state, provincial and local laws, statutes, ordinances, codes, rules, standards and regulations, permits, licenses, approvals, interpretations and orders of courts or Governmental Authorities, relating to the protection of public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42"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80"/>
          </w:cols>
          <w:pgMar w:left="300" w:top="1180" w:right="31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7"/>
          <w:szCs w:val="17"/>
          <w:color w:val="auto"/>
        </w:rPr>
        <w:t>of the profits and losses of, or distributions of assets of, the issuing Person and (f) any and all warrants, rights or options to purchase any of the foregoing.</w:t>
      </w:r>
    </w:p>
    <w:p>
      <w:pPr>
        <w:spacing w:after="0" w:line="151"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Issuance</w:t>
      </w:r>
      <w:r>
        <w:rPr>
          <w:rFonts w:ascii="Times New Roman" w:cs="Times New Roman" w:eastAsia="Times New Roman" w:hAnsi="Times New Roman"/>
          <w:sz w:val="17"/>
          <w:szCs w:val="17"/>
          <w:color w:val="auto"/>
        </w:rPr>
        <w:t>” means (a) any issuance by the Borrower of shares of its Equity Interests to any Person that is not a Credit Party (including in connection with the exercise of options or warrants or the conversion of any debt securities to equity) and (b) any capital contribution from any Person that is not a Credit Party into the Borrower.</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means the Employee Retirement Income Security Act of 1974, and the rules and regulations thereunder.</w:t>
      </w:r>
    </w:p>
    <w:p>
      <w:pPr>
        <w:spacing w:after="0" w:line="162"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means any Person who together with any Credit Party or any of its Subsidiaries is treated as a single employer within the meaning of Section 414(b), (c), (m) or (o) of the Code or Section 4001(b) of ERISA.</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Erroneous Payment</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11.12(a)</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Erroneous Payment Deficiency Assignment</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11.12(d)</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Erroneous Payment Impacted Class</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11.12(d)</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Erroneous Payment Return Deficiency</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11.12(d)</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 Bail-In Legislation Schedule</w:t>
      </w:r>
      <w:r>
        <w:rPr>
          <w:rFonts w:ascii="Times New Roman" w:cs="Times New Roman" w:eastAsia="Times New Roman" w:hAnsi="Times New Roman"/>
          <w:sz w:val="17"/>
          <w:szCs w:val="17"/>
          <w:color w:val="auto"/>
        </w:rPr>
        <w:t>” means the EU Bail-In Legislation Schedule published by the Loan Market Association (or any successor thereto), as in effect from time to time.</w:t>
      </w:r>
    </w:p>
    <w:p>
      <w:pPr>
        <w:spacing w:after="0" w:line="114"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xml:space="preserve">” means any of the events specified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requirement for passage of time, giving of notice, or any other condition, has been satisfied.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xml:space="preserve">” means the Securities Exchange Act of 1934 (15 U.S.C. § 77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firstLine="505"/>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Subsidiary</w:t>
      </w:r>
      <w:r>
        <w:rPr>
          <w:rFonts w:ascii="Times New Roman" w:cs="Times New Roman" w:eastAsia="Times New Roman" w:hAnsi="Times New Roman"/>
          <w:sz w:val="17"/>
          <w:szCs w:val="17"/>
          <w:color w:val="auto"/>
        </w:rPr>
        <w:t>” means (a) WF Brokerage, (b) any other Subsidiary that is registered as a broker-dealer with a Governmental Authority, (c) the Public Fund Adviser, (d) any NonDeposit Trust Company, (e) any Foreign Subsidiary, (f) any Immaterial Domestic Subsidiary, and (g) if no longer an Immaterial Domestic Subsidiary, but if the Administrative Agent (in consultation with the Borrower) reasonably determines that a guarantee therefrom is prohibited due to regulatory restrictions, any Mortgage Entity. For the avoidance of doubt, no Borrower or Guarantor shall constitute an Excluded Subsidiary, and no Excluded Subsidiary shall be required to become a Borrower or Guarantor.</w:t>
      </w:r>
    </w:p>
    <w:p>
      <w:pPr>
        <w:spacing w:after="0" w:line="132"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Swap Obligation</w:t>
      </w:r>
      <w:r>
        <w:rPr>
          <w:rFonts w:ascii="Times New Roman" w:cs="Times New Roman" w:eastAsia="Times New Roman" w:hAnsi="Times New Roman"/>
          <w:sz w:val="17"/>
          <w:szCs w:val="17"/>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80"/>
          </w:cols>
          <w:pgMar w:left="300" w:top="1181" w:right="319" w:bottom="1440" w:gutter="0" w:footer="0" w:header="0"/>
        </w:sectPr>
      </w:pPr>
    </w:p>
    <w:bookmarkStart w:id="419" w:name="page420"/>
    <w:bookmarkEnd w:id="419"/>
    <w:p>
      <w:pPr>
        <w:jc w:val="both"/>
        <w:spacing w:after="0" w:line="233" w:lineRule="auto"/>
        <w:rPr>
          <w:sz w:val="20"/>
          <w:szCs w:val="20"/>
          <w:color w:val="auto"/>
        </w:rPr>
      </w:pPr>
      <w:r>
        <w:rPr>
          <w:rFonts w:ascii="Times New Roman" w:cs="Times New Roman" w:eastAsia="Times New Roman" w:hAnsi="Times New Roman"/>
          <w:sz w:val="17"/>
          <w:szCs w:val="17"/>
          <w:color w:val="auto"/>
        </w:rPr>
        <w:t>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such Credit Party, including under the keepwell provisions in the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33"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Excluded Taxes</w:t>
      </w:r>
      <w:r>
        <w:rPr>
          <w:rFonts w:ascii="Times New Roman" w:cs="Times New Roman" w:eastAsia="Times New Roman" w:hAnsi="Times New Roman"/>
          <w:sz w:val="16"/>
          <w:szCs w:val="16"/>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6"/>
          <w:szCs w:val="16"/>
          <w:u w:val="single" w:color="auto"/>
          <w:color w:val="auto"/>
        </w:rPr>
        <w:t>Section 5.12(b)</w:t>
      </w:r>
      <w:r>
        <w:rPr>
          <w:rFonts w:ascii="Times New Roman" w:cs="Times New Roman" w:eastAsia="Times New Roman" w:hAnsi="Times New Roman"/>
          <w:sz w:val="16"/>
          <w:szCs w:val="16"/>
          <w:color w:val="auto"/>
        </w:rPr>
        <w:t>) or</w:t>
      </w:r>
    </w:p>
    <w:p>
      <w:pPr>
        <w:spacing w:after="0" w:line="1" w:lineRule="exact"/>
        <w:rPr>
          <w:sz w:val="20"/>
          <w:szCs w:val="20"/>
          <w:color w:val="auto"/>
        </w:rPr>
      </w:pPr>
    </w:p>
    <w:p>
      <w:pPr>
        <w:jc w:val="both"/>
        <w:ind w:firstLine="4"/>
        <w:spacing w:after="0" w:line="232" w:lineRule="auto"/>
        <w:tabs>
          <w:tab w:leader="none" w:pos="251"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Lender changes its Lending Office, except in each case to the extent that, pursuant to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7"/>
          <w:szCs w:val="17"/>
          <w:u w:val="single" w:color="auto"/>
          <w:color w:val="auto"/>
        </w:rPr>
        <w:t>Section 5.11(g)</w:t>
      </w:r>
      <w:r>
        <w:rPr>
          <w:rFonts w:ascii="Times New Roman" w:cs="Times New Roman" w:eastAsia="Times New Roman" w:hAnsi="Times New Roman"/>
          <w:sz w:val="17"/>
          <w:szCs w:val="17"/>
          <w:color w:val="auto"/>
        </w:rPr>
        <w:t xml:space="preserve"> and (d) any United States federal withholding Taxes imposed under FATCA.</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has the meaning given such term in the recitals to this Agreement.</w:t>
      </w:r>
    </w:p>
    <w:p>
      <w:pPr>
        <w:spacing w:after="0" w:line="151"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Extensions of Credit</w:t>
      </w:r>
      <w:r>
        <w:rPr>
          <w:rFonts w:ascii="Times New Roman" w:cs="Times New Roman" w:eastAsia="Times New Roman" w:hAnsi="Times New Roman"/>
          <w:sz w:val="17"/>
          <w:szCs w:val="17"/>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and (iii) such Lender’s Revolving Credit Commitment Percentage of the Swingline Loans then outstanding, or (b) the making of any Loan or participation in any Letter of Credit by such Lender, as the context requires.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FASB ASC</w:t>
      </w:r>
      <w:r>
        <w:rPr>
          <w:rFonts w:ascii="Times New Roman" w:cs="Times New Roman" w:eastAsia="Times New Roman" w:hAnsi="Times New Roman"/>
          <w:sz w:val="17"/>
          <w:szCs w:val="17"/>
          <w:color w:val="auto"/>
        </w:rPr>
        <w:t>” means the Accounting Standards Codification of the Financial Accounting Standards Board.</w:t>
      </w:r>
    </w:p>
    <w:p>
      <w:pPr>
        <w:spacing w:after="0" w:line="151"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FDIC</w:t>
      </w:r>
      <w:r>
        <w:rPr>
          <w:rFonts w:ascii="Times New Roman" w:cs="Times New Roman" w:eastAsia="Times New Roman" w:hAnsi="Times New Roman"/>
          <w:sz w:val="17"/>
          <w:szCs w:val="17"/>
          <w:color w:val="auto"/>
        </w:rPr>
        <w:t>” means the Federal Deposit Insurance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181" w:right="319" w:bottom="1440" w:gutter="0" w:footer="0" w:header="0"/>
        </w:sectPr>
      </w:pPr>
    </w:p>
    <w:bookmarkStart w:id="420" w:name="page421"/>
    <w:bookmarkEnd w:id="420"/>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Funds Rate</w:t>
      </w:r>
      <w:r>
        <w:rPr>
          <w:rFonts w:ascii="Times New Roman" w:cs="Times New Roman" w:eastAsia="Times New Roman" w:hAnsi="Times New Roman"/>
          <w:sz w:val="17"/>
          <w:szCs w:val="17"/>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rate is not so published for any day which is a Business Day, the Federal Funds Rate for such day shall be the average of the quotation for such day on such transactions received by the Administrative Agent from three (3) federal funds brokers of recognized standing selected by the Administrative Agent. Notwithstanding the foregoing, if the Federal Funds Rate shall be less than zero (0), such rate shall be deemed to be zero (0) for purposes of this Agreement.</w:t>
      </w:r>
    </w:p>
    <w:p>
      <w:pPr>
        <w:spacing w:after="0" w:line="140"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Fee Letters</w:t>
      </w:r>
      <w:r>
        <w:rPr>
          <w:rFonts w:ascii="Times New Roman" w:cs="Times New Roman" w:eastAsia="Times New Roman" w:hAnsi="Times New Roman"/>
          <w:sz w:val="17"/>
          <w:szCs w:val="17"/>
          <w:color w:val="auto"/>
        </w:rPr>
        <w:t>” means (a) the separate engagement letter agreement dated September 24, 2025 among the Borrower and the Arranger and (b) any letter between the Borrower and any Issuing Lender (other than Wells Fargo) relating to certain fees payable to such Issuing Lender in its capacity as such.</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means the fiscal year of the Borrower and its Subsidiaries ending on January 31.</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Floor</w:t>
      </w:r>
      <w:r>
        <w:rPr>
          <w:rFonts w:ascii="Times New Roman" w:cs="Times New Roman" w:eastAsia="Times New Roman" w:hAnsi="Times New Roman"/>
          <w:sz w:val="17"/>
          <w:szCs w:val="17"/>
          <w:color w:val="auto"/>
        </w:rPr>
        <w:t>” means a rate of interest equal to 0.00%.</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Lender</w:t>
      </w:r>
      <w:r>
        <w:rPr>
          <w:rFonts w:ascii="Times New Roman" w:cs="Times New Roman" w:eastAsia="Times New Roman" w:hAnsi="Times New Roman"/>
          <w:sz w:val="17"/>
          <w:szCs w:val="17"/>
          <w:color w:val="auto"/>
        </w:rPr>
        <w:t>” means a Lender that is not a U.S. Person.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Subsidiary</w:t>
      </w:r>
      <w:r>
        <w:rPr>
          <w:rFonts w:ascii="Times New Roman" w:cs="Times New Roman" w:eastAsia="Times New Roman" w:hAnsi="Times New Roman"/>
          <w:sz w:val="17"/>
          <w:szCs w:val="17"/>
          <w:color w:val="auto"/>
        </w:rPr>
        <w:t>” means, with respect to any Person, a Subsidiary of such Person, which Subsidiary is not a Domestic Subsidiary.</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FRB</w:t>
      </w:r>
      <w:r>
        <w:rPr>
          <w:rFonts w:ascii="Times New Roman" w:cs="Times New Roman" w:eastAsia="Times New Roman" w:hAnsi="Times New Roman"/>
          <w:sz w:val="17"/>
          <w:szCs w:val="17"/>
          <w:color w:val="auto"/>
        </w:rPr>
        <w:t>” means the Board of Governors of the Federal Reserve System of the United States.</w:t>
      </w:r>
    </w:p>
    <w:p>
      <w:pPr>
        <w:spacing w:after="0" w:line="162" w:lineRule="exact"/>
        <w:rPr>
          <w:sz w:val="20"/>
          <w:szCs w:val="20"/>
          <w:color w:val="auto"/>
        </w:rPr>
      </w:pPr>
    </w:p>
    <w:p>
      <w:pPr>
        <w:jc w:val="both"/>
        <w:ind w:firstLine="505"/>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Fronting Exposure</w:t>
      </w:r>
      <w:r>
        <w:rPr>
          <w:rFonts w:ascii="Times New Roman" w:cs="Times New Roman" w:eastAsia="Times New Roman" w:hAnsi="Times New Roman"/>
          <w:sz w:val="16"/>
          <w:szCs w:val="16"/>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31"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w:t>
      </w:r>
      <w:r>
        <w:rPr>
          <w:rFonts w:ascii="Times New Roman" w:cs="Times New Roman" w:eastAsia="Times New Roman" w:hAnsi="Times New Roman"/>
          <w:sz w:val="17"/>
          <w:szCs w:val="17"/>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35"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Funding Agreement</w:t>
      </w:r>
      <w:r>
        <w:rPr>
          <w:rFonts w:ascii="Times New Roman" w:cs="Times New Roman" w:eastAsia="Times New Roman" w:hAnsi="Times New Roman"/>
          <w:sz w:val="17"/>
          <w:szCs w:val="17"/>
          <w:color w:val="auto"/>
        </w:rPr>
        <w:t>” means that certain Funding Agreement, dated as of July 15, 2024, by and between Borrower and Wealthfront Holdings, as amended, restated or otherwise modified from time to time.</w:t>
      </w:r>
    </w:p>
    <w:p>
      <w:pPr>
        <w:spacing w:after="0" w:line="114"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180" w:right="31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7"/>
          <w:szCs w:val="17"/>
          <w:color w:val="auto"/>
        </w:rPr>
        <w:t>accounting profession in the United States, that are applicable to the circumstances as of the date of determination, consistently applied.</w:t>
      </w:r>
    </w:p>
    <w:p>
      <w:pPr>
        <w:spacing w:after="0" w:line="151"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Approvals</w:t>
      </w:r>
      <w:r>
        <w:rPr>
          <w:rFonts w:ascii="Times New Roman" w:cs="Times New Roman" w:eastAsia="Times New Roman" w:hAnsi="Times New Roman"/>
          <w:sz w:val="17"/>
          <w:szCs w:val="17"/>
          <w:color w:val="auto"/>
        </w:rPr>
        <w:t>” means all authorizations, consents, approvals, permits, licenses and exemptions of, and all registrations and filings with or issued by, any Governmental Authorities.</w:t>
      </w:r>
    </w:p>
    <w:p>
      <w:pPr>
        <w:spacing w:after="0" w:line="114"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self-regulatory or administrative powers or functions of or pertaining to government (including any supra-national bodies such as the European Union or the European Central Bank), including without limitation, securities exchanges and the Financial Industry Regulatory Authority, Inc. (“</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jc w:val="both"/>
        <w:ind w:firstLine="5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of or by any Person (the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7"/>
          <w:szCs w:val="17"/>
          <w:u w:val="single" w:color="auto"/>
          <w:color w:val="auto"/>
        </w:rPr>
        <w:t>primary obligor</w:t>
      </w:r>
      <w:r>
        <w:rPr>
          <w:rFonts w:ascii="Times New Roman" w:cs="Times New Roman" w:eastAsia="Times New Roman" w:hAnsi="Times New Roman"/>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assuring in any other manner the obligee in respect of such Indebtedness or other obligation of the payment or performance thereof or to protect such obligee against loss in respect thereof (whether in whole or in part);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“Guarantee” shall not include endorsements for collection or deposit, in each case, in the ordinary course of business, or customary and reasonable indemnity obligations in connection with any disposition of assets permitted under this Agreement (other than any such obligations with respect to Indebtedness).</w:t>
      </w:r>
    </w:p>
    <w:p>
      <w:pPr>
        <w:spacing w:after="0" w:line="136"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xml:space="preserve">” means, collectively, (a) the Subsidiaries of the Borrower listed on </w:t>
      </w:r>
      <w:r>
        <w:rPr>
          <w:rFonts w:ascii="Times New Roman" w:cs="Times New Roman" w:eastAsia="Times New Roman" w:hAnsi="Times New Roman"/>
          <w:sz w:val="17"/>
          <w:szCs w:val="17"/>
          <w:u w:val="single" w:color="auto"/>
          <w:color w:val="auto"/>
        </w:rPr>
        <w:t>Schedule 7.1</w:t>
      </w:r>
      <w:r>
        <w:rPr>
          <w:rFonts w:ascii="Times New Roman" w:cs="Times New Roman" w:eastAsia="Times New Roman" w:hAnsi="Times New Roman"/>
          <w:sz w:val="17"/>
          <w:szCs w:val="17"/>
          <w:color w:val="auto"/>
        </w:rPr>
        <w:t xml:space="preserve"> that are identified as a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xml:space="preserve">” and (b) each other Subsidiary of the Borrower that shall be required to execute and deliver a guaranty or guaranty supplement pursuant to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For the avoidance of doubt, “</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does not include any Excluded Subsidiary.</w:t>
      </w:r>
    </w:p>
    <w:p>
      <w:pPr>
        <w:spacing w:after="0" w:line="124"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Guaranty Agreement</w:t>
      </w:r>
      <w:r>
        <w:rPr>
          <w:rFonts w:ascii="Times New Roman" w:cs="Times New Roman" w:eastAsia="Times New Roman" w:hAnsi="Times New Roman"/>
          <w:sz w:val="17"/>
          <w:szCs w:val="17"/>
          <w:color w:val="auto"/>
        </w:rPr>
        <w:t>” means, the unconditional amended and restated guaranty agreement of even date herewith executed by the Guarantors in favor of the Administrative Agent, for the ratable benefit of the Secured Parties.</w:t>
      </w:r>
    </w:p>
    <w:p>
      <w:pPr>
        <w:spacing w:after="0" w:line="114"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1181" w:right="319" w:bottom="1440" w:gutter="0" w:footer="0" w:header="0"/>
        </w:sectPr>
      </w:pPr>
    </w:p>
    <w:bookmarkStart w:id="422" w:name="page423"/>
    <w:bookmarkEnd w:id="422"/>
    <w:p>
      <w:pPr>
        <w:jc w:val="both"/>
        <w:spacing w:after="0" w:line="234" w:lineRule="auto"/>
        <w:rPr>
          <w:sz w:val="20"/>
          <w:szCs w:val="20"/>
          <w:color w:val="auto"/>
        </w:rPr>
      </w:pPr>
      <w:r>
        <w:rPr>
          <w:rFonts w:ascii="Times New Roman" w:cs="Times New Roman" w:eastAsia="Times New Roman" w:hAnsi="Times New Roman"/>
          <w:sz w:val="17"/>
          <w:szCs w:val="17"/>
          <w:color w:val="auto"/>
        </w:rPr>
        <w:t>public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by a Governmental Authority to constitute a nuisance or a trespass which pose a health or safety hazard to Persons or neighboring properties, or (f) which contain, without limitation, asbestos, polychlorinated biphenyls, urea formaldehyde foam insulation, petroleum hydrocarbons, petroleum derived substances or waste, crude oil, nuclear fuel, natural gas or synthetic gas.</w:t>
      </w:r>
    </w:p>
    <w:p>
      <w:pPr>
        <w:spacing w:after="0" w:line="140" w:lineRule="exact"/>
        <w:rPr>
          <w:sz w:val="20"/>
          <w:szCs w:val="20"/>
          <w:color w:val="auto"/>
        </w:rPr>
      </w:pPr>
    </w:p>
    <w:p>
      <w:pPr>
        <w:jc w:val="both"/>
        <w:ind w:firstLine="505"/>
        <w:spacing w:after="0" w:line="23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Hedge Agreement</w:t>
      </w:r>
      <w:r>
        <w:rPr>
          <w:rFonts w:ascii="Times New Roman" w:cs="Times New Roman" w:eastAsia="Times New Roman" w:hAnsi="Times New Roman"/>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35" w:lineRule="exact"/>
        <w:rPr>
          <w:sz w:val="20"/>
          <w:szCs w:val="20"/>
          <w:color w:val="auto"/>
        </w:rPr>
      </w:pPr>
    </w:p>
    <w:p>
      <w:pPr>
        <w:jc w:val="both"/>
        <w:ind w:firstLine="505"/>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Hedge Termination Value</w:t>
      </w:r>
      <w:r>
        <w:rPr>
          <w:rFonts w:ascii="Times New Roman" w:cs="Times New Roman" w:eastAsia="Times New Roman" w:hAnsi="Times New Roman"/>
          <w:sz w:val="17"/>
          <w:szCs w:val="17"/>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Immaterial Domestic Subsidiary</w:t>
      </w:r>
      <w:r>
        <w:rPr>
          <w:rFonts w:ascii="Times New Roman" w:cs="Times New Roman" w:eastAsia="Times New Roman" w:hAnsi="Times New Roman"/>
          <w:sz w:val="16"/>
          <w:szCs w:val="16"/>
          <w:color w:val="auto"/>
        </w:rPr>
        <w:t>” means any Domestic Subsidiary designated in writing from time to time as such by the Borrower, so long as such Subsidiary</w:t>
      </w:r>
    </w:p>
    <w:p>
      <w:pPr>
        <w:spacing w:after="0" w:line="23" w:lineRule="exact"/>
        <w:rPr>
          <w:sz w:val="20"/>
          <w:szCs w:val="20"/>
          <w:color w:val="auto"/>
        </w:rPr>
      </w:pPr>
    </w:p>
    <w:p>
      <w:pPr>
        <w:jc w:val="both"/>
        <w:ind w:firstLine="4"/>
        <w:spacing w:after="0" w:line="232" w:lineRule="auto"/>
        <w:tabs>
          <w:tab w:leader="none" w:pos="239"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Wealthfront Home Lending and Wealthfront Holdings, does not own or hold assets individually exceeding 7.5% of the consolidated total assets of the Borrower and its Subsidiaries and (b) does not account for trailing twelve month EBITDA individually exceeding 7.5% of the trailing twelve month Consolidated EBITDA of the Borrower and its Subsidiaries.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Increase Effective Date</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5.13(c)</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Amendment</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5.13(f)</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Facility Limit</w:t>
      </w:r>
      <w:r>
        <w:rPr>
          <w:rFonts w:ascii="Times New Roman" w:cs="Times New Roman" w:eastAsia="Times New Roman" w:hAnsi="Times New Roman"/>
          <w:sz w:val="17"/>
          <w:szCs w:val="17"/>
          <w:color w:val="auto"/>
        </w:rPr>
        <w:t>” means $100,000,000, less the total aggregate initial principal amount (as of the date of incurrence thereof) of all previously incurred Incremental Increases.</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Increase</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5.13(a)</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Lender</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5.13(b)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180" w:right="319" w:bottom="1440" w:gutter="0" w:footer="0" w:header="0"/>
        </w:sectPr>
      </w:pPr>
    </w:p>
    <w:bookmarkStart w:id="423" w:name="page424"/>
    <w:bookmarkEnd w:id="423"/>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any Person at any date and without duplication, the sum of the following:</w:t>
      </w:r>
    </w:p>
    <w:p>
      <w:pPr>
        <w:spacing w:after="0" w:line="151" w:lineRule="exact"/>
        <w:rPr>
          <w:sz w:val="20"/>
          <w:szCs w:val="20"/>
          <w:color w:val="auto"/>
        </w:rPr>
      </w:pPr>
    </w:p>
    <w:p>
      <w:pPr>
        <w:ind w:firstLine="509"/>
        <w:spacing w:after="0" w:line="259" w:lineRule="auto"/>
        <w:tabs>
          <w:tab w:leader="none" w:pos="918"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liabilities, obligations and indebtedness of such Person for borrowed money, including obligations of such Person evidenced by bonds, debentures, notes or other similar instruments, of such Person;</w:t>
      </w:r>
    </w:p>
    <w:p>
      <w:pPr>
        <w:spacing w:after="0" w:line="114" w:lineRule="exact"/>
        <w:rPr>
          <w:rFonts w:ascii="Times New Roman" w:cs="Times New Roman" w:eastAsia="Times New Roman" w:hAnsi="Times New Roman"/>
          <w:sz w:val="17"/>
          <w:szCs w:val="17"/>
          <w:color w:val="auto"/>
        </w:rPr>
      </w:pPr>
    </w:p>
    <w:p>
      <w:pPr>
        <w:jc w:val="both"/>
        <w:ind w:firstLine="509"/>
        <w:spacing w:after="0" w:line="236" w:lineRule="auto"/>
        <w:tabs>
          <w:tab w:leader="none" w:pos="924"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to pay the deferred purchase price of property or services of such Person (including all payment obligations under non-competition, earn-out or similar agreements, solely to the extent any such payment obligation under non-competition, earnout or similar agreements becomes a liability on the balance sheet of such Person in accordance with GAAP),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w:t>
      </w:r>
    </w:p>
    <w:p>
      <w:pPr>
        <w:spacing w:after="0" w:line="132" w:lineRule="exact"/>
        <w:rPr>
          <w:rFonts w:ascii="Times New Roman" w:cs="Times New Roman" w:eastAsia="Times New Roman" w:hAnsi="Times New Roman"/>
          <w:sz w:val="17"/>
          <w:szCs w:val="17"/>
          <w:color w:val="auto"/>
        </w:rPr>
      </w:pPr>
    </w:p>
    <w:p>
      <w:pPr>
        <w:ind w:firstLine="509"/>
        <w:spacing w:after="0" w:line="259" w:lineRule="auto"/>
        <w:tabs>
          <w:tab w:leader="none" w:pos="966"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Attributable Indebtedness of such Person with respect to such Person’s Capital Lease Obligations and Synthetic Leases (regardless of whether accounted for as indebtedness under GAAP);</w:t>
      </w:r>
    </w:p>
    <w:p>
      <w:pPr>
        <w:spacing w:after="0" w:line="124" w:lineRule="exact"/>
        <w:rPr>
          <w:rFonts w:ascii="Times New Roman" w:cs="Times New Roman" w:eastAsia="Times New Roman" w:hAnsi="Times New Roman"/>
          <w:sz w:val="17"/>
          <w:szCs w:val="17"/>
          <w:color w:val="auto"/>
        </w:rPr>
      </w:pPr>
    </w:p>
    <w:p>
      <w:pPr>
        <w:ind w:firstLine="509"/>
        <w:spacing w:after="0" w:line="246" w:lineRule="auto"/>
        <w:tabs>
          <w:tab w:leader="none" w:pos="889"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35" w:lineRule="exact"/>
        <w:rPr>
          <w:rFonts w:ascii="Times New Roman" w:cs="Times New Roman" w:eastAsia="Times New Roman" w:hAnsi="Times New Roman"/>
          <w:sz w:val="17"/>
          <w:szCs w:val="17"/>
          <w:color w:val="auto"/>
        </w:rPr>
      </w:pPr>
    </w:p>
    <w:p>
      <w:pPr>
        <w:jc w:val="both"/>
        <w:ind w:firstLine="509"/>
        <w:spacing w:after="0" w:line="239" w:lineRule="auto"/>
        <w:tabs>
          <w:tab w:leader="none" w:pos="923"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141" w:lineRule="exact"/>
        <w:rPr>
          <w:rFonts w:ascii="Times New Roman" w:cs="Times New Roman" w:eastAsia="Times New Roman" w:hAnsi="Times New Roman"/>
          <w:sz w:val="17"/>
          <w:szCs w:val="17"/>
          <w:color w:val="auto"/>
        </w:rPr>
      </w:pPr>
    </w:p>
    <w:p>
      <w:pPr>
        <w:ind w:firstLine="509"/>
        <w:spacing w:after="0" w:line="246" w:lineRule="auto"/>
        <w:tabs>
          <w:tab w:leader="none" w:pos="842"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contingent or otherwise, of such Person relative to the face amount of letters of credit, whether or not drawn, including any Reimbursement Obligation, and banker’s acceptances issued for the account of such Person;</w:t>
      </w:r>
    </w:p>
    <w:p>
      <w:pPr>
        <w:spacing w:after="0" w:line="135"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in respect of Disqualified Equity Interests;</w:t>
      </w:r>
    </w:p>
    <w:p>
      <w:pPr>
        <w:spacing w:after="0" w:line="151"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net obligations of such Person under any Hedge Agreements; and</w:t>
      </w:r>
    </w:p>
    <w:p>
      <w:pPr>
        <w:spacing w:after="0" w:line="161"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Guarantees of such Person with respect to any of the foregoing.</w:t>
      </w:r>
    </w:p>
    <w:p>
      <w:pPr>
        <w:spacing w:after="0" w:line="162" w:lineRule="exact"/>
        <w:rPr>
          <w:sz w:val="20"/>
          <w:szCs w:val="20"/>
          <w:color w:val="auto"/>
        </w:rPr>
      </w:pPr>
    </w:p>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In respect of Indebtedness of another Person secured by a Lien on the assets of the specified Person, if such Indebtedness shall not have been assumed by such Person or is limited in recourse to the assets securing such Lien, the amount of such Indebtedness as of any date of determination will be the lesser of (x) the fair market value of such assets as of such date (as determined in good faith by the Borrower) and (y)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1181" w:right="319" w:bottom="1440" w:gutter="0" w:footer="0" w:header="0"/>
        </w:sectPr>
      </w:pPr>
    </w:p>
    <w:bookmarkStart w:id="424" w:name="page425"/>
    <w:bookmarkEnd w:id="424"/>
    <w:p>
      <w:pPr>
        <w:jc w:val="both"/>
        <w:spacing w:after="0" w:line="224" w:lineRule="auto"/>
        <w:rPr>
          <w:sz w:val="20"/>
          <w:szCs w:val="20"/>
          <w:color w:val="auto"/>
        </w:rPr>
      </w:pPr>
      <w:r>
        <w:rPr>
          <w:rFonts w:ascii="Times New Roman" w:cs="Times New Roman" w:eastAsia="Times New Roman" w:hAnsi="Times New Roman"/>
          <w:sz w:val="17"/>
          <w:szCs w:val="17"/>
          <w:color w:val="auto"/>
        </w:rPr>
        <w:t>such Indebtedness as of such date. The amount of any net obligation under any Hedge Agreement on any date shall be deemed to be the Hedge Termination Value thereof as of such date. The amount of obligations in respect of any Disqualified Equity Interests shall be valued, in the case of a redeemable preferred interest, at the</w:t>
      </w:r>
    </w:p>
    <w:p>
      <w:pPr>
        <w:spacing w:after="0"/>
        <w:rPr>
          <w:sz w:val="20"/>
          <w:szCs w:val="20"/>
          <w:color w:val="auto"/>
        </w:rPr>
      </w:pPr>
      <w:r>
        <w:rPr>
          <w:rFonts w:ascii="Times New Roman" w:cs="Times New Roman" w:eastAsia="Times New Roman" w:hAnsi="Times New Roman"/>
          <w:sz w:val="17"/>
          <w:szCs w:val="17"/>
          <w:color w:val="auto"/>
        </w:rPr>
        <w:t>greater of its voluntary or involuntary liquidation preference plus accrued and unpaid dividends that are past due.</w:t>
      </w:r>
    </w:p>
    <w:p>
      <w:pPr>
        <w:spacing w:after="0" w:line="133"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12.3(b)</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12.10</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Issuing Lenders</w:t>
      </w:r>
      <w:r>
        <w:rPr>
          <w:rFonts w:ascii="Times New Roman" w:cs="Times New Roman" w:eastAsia="Times New Roman" w:hAnsi="Times New Roman"/>
          <w:sz w:val="17"/>
          <w:szCs w:val="17"/>
          <w:color w:val="auto"/>
        </w:rPr>
        <w:t>” means (a) Wells Fargo, (b) Citibank, N.A., (c) Goldman Sachs Bank USA, (d) JPMorgan Chase Bank, N.A., (e) KeyBank National Association, (f) Royal Bank of Canada, New York Branch, and (g) First-Citizens Bank &amp; Trust Company.</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means as to any Base Rate Loan or SOFR Loan, the last Business Day of each calendar quarter and the Revolving Credit Maturity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Interstate Commerce Act</w:t>
      </w:r>
      <w:r>
        <w:rPr>
          <w:rFonts w:ascii="Times New Roman" w:cs="Times New Roman" w:eastAsia="Times New Roman" w:hAnsi="Times New Roman"/>
          <w:sz w:val="17"/>
          <w:szCs w:val="17"/>
          <w:color w:val="auto"/>
        </w:rPr>
        <w:t xml:space="preserve">” means the body of law commonly known as the Interstate Commerce Act (49 U.S.C. App. § 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firstLine="505"/>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means, with respect to any Person, that such Person (a) purchases, owns, invests in or otherwise acquires (in one transaction or a series of transactions), by division or otherwise, directly or indirectly, any Equity Interests, interests in any partnership or joint venture (including the creation or capitalization of any Subsidiary), evidence of Indebtedness or other obligation or security, substantially all or a portion of the business or assets of any other Person or any other</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investment or interest whatsoever in any other Person, (b) makes any Acquisition or (c) makes or holds, directly or indirectly, any loans, advances or extensions of credit to, or any investment in cash or by delivery of Property in, any Person.</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 Company Act</w:t>
      </w:r>
      <w:r>
        <w:rPr>
          <w:rFonts w:ascii="Times New Roman" w:cs="Times New Roman" w:eastAsia="Times New Roman" w:hAnsi="Times New Roman"/>
          <w:sz w:val="17"/>
          <w:szCs w:val="17"/>
          <w:color w:val="auto"/>
        </w:rPr>
        <w:t xml:space="preserve">” means the Investment Company Act of 1940 (15 U.S.C. § 80(a)(1),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means an initial public offering of Equity Interests by the Borrower registered with the Securities Exchange Commission under the Securities Act.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means the United States Internal Revenue Service.</w:t>
      </w:r>
    </w:p>
    <w:p>
      <w:pPr>
        <w:spacing w:after="0" w:line="151" w:lineRule="exact"/>
        <w:rPr>
          <w:sz w:val="20"/>
          <w:szCs w:val="20"/>
          <w:color w:val="auto"/>
        </w:rPr>
      </w:pPr>
    </w:p>
    <w:p>
      <w:pPr>
        <w:jc w:val="both"/>
        <w:ind w:firstLine="505"/>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ISP</w:t>
      </w:r>
      <w:r>
        <w:rPr>
          <w:rFonts w:ascii="Times New Roman" w:cs="Times New Roman" w:eastAsia="Times New Roman" w:hAnsi="Times New Roman"/>
          <w:sz w:val="17"/>
          <w:szCs w:val="17"/>
          <w:color w:val="auto"/>
        </w:rPr>
        <w:t>” means the International Standby Practices, International Chamber of Commerce Publication No. 590 (or such later version thereof as may be in effect at the applicable time).</w:t>
      </w:r>
    </w:p>
    <w:p>
      <w:pPr>
        <w:spacing w:after="0" w:line="131" w:lineRule="exact"/>
        <w:rPr>
          <w:sz w:val="20"/>
          <w:szCs w:val="20"/>
          <w:color w:val="auto"/>
        </w:rPr>
      </w:pPr>
    </w:p>
    <w:p>
      <w:pPr>
        <w:jc w:val="both"/>
        <w:ind w:firstLine="505"/>
        <w:spacing w:after="0" w:line="22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Issuing Lender</w:t>
      </w:r>
      <w:r>
        <w:rPr>
          <w:rFonts w:ascii="Times New Roman" w:cs="Times New Roman" w:eastAsia="Times New Roman" w:hAnsi="Times New Roman"/>
          <w:sz w:val="17"/>
          <w:szCs w:val="17"/>
          <w:color w:val="auto"/>
        </w:rPr>
        <w:t>” (a) with respect to Letters of Credit issued hereunder on or after the Closing Date, (i) the Initial Issuing Lenders and (ii) any other Revolving Credit Lender to the extent it has agreed in its sole discretion to act as an “Issuing Lender” hereunder and that has been approved in writing by the Borrower and the Administrative Agent (such approval by the Administrative Agent not to be unreasonably delayed or withheld) as an “Issuing Lender” hereunder, in each case in its</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 xml:space="preserve">capacity as issuer of any Letter of Credit (in each case, through itself or through one of its designated Affiliates or branch offices);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total number of Issuing Lenders under this clause (a) shall not exceed seven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1170" w:right="319" w:bottom="1440" w:gutter="0" w:footer="0" w:header="0"/>
        </w:sectPr>
      </w:pPr>
    </w:p>
    <w:bookmarkStart w:id="425" w:name="page426"/>
    <w:bookmarkEnd w:id="425"/>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Joinder Agreement</w:t>
      </w:r>
      <w:r>
        <w:rPr>
          <w:rFonts w:ascii="Times New Roman" w:cs="Times New Roman" w:eastAsia="Times New Roman" w:hAnsi="Times New Roman"/>
          <w:sz w:val="17"/>
          <w:szCs w:val="17"/>
          <w:color w:val="auto"/>
        </w:rPr>
        <w:t xml:space="preserve">” means a joinder agreement substantially in the form of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hereto or such other form as may be approved by the Administrative Agent and the Borrower.</w:t>
      </w:r>
    </w:p>
    <w:p>
      <w:pPr>
        <w:spacing w:after="0" w:line="125" w:lineRule="exact"/>
        <w:rPr>
          <w:sz w:val="20"/>
          <w:szCs w:val="20"/>
          <w:color w:val="auto"/>
        </w:rPr>
      </w:pPr>
    </w:p>
    <w:p>
      <w:pPr>
        <w:jc w:val="both"/>
        <w:ind w:firstLine="505"/>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Commitment</w:t>
      </w:r>
      <w:r>
        <w:rPr>
          <w:rFonts w:ascii="Times New Roman" w:cs="Times New Roman" w:eastAsia="Times New Roman" w:hAnsi="Times New Roman"/>
          <w:sz w:val="17"/>
          <w:szCs w:val="17"/>
          <w:color w:val="auto"/>
        </w:rPr>
        <w:t xml:space="preserve">” means, as to any Issuing Lender, the obligation of such Issuing Lender to issue Letters of Credit for the account of the Borrower or one or more of its Subsidiaries from time to time in an aggregate amount equal to (a) for each Initial Issuing Lender, the amount set forth opposite the name of such Initial Issuing Lender on </w:t>
      </w:r>
      <w:r>
        <w:rPr>
          <w:rFonts w:ascii="Times New Roman" w:cs="Times New Roman" w:eastAsia="Times New Roman" w:hAnsi="Times New Roman"/>
          <w:sz w:val="17"/>
          <w:szCs w:val="17"/>
          <w:u w:val="single" w:color="auto"/>
          <w:color w:val="auto"/>
        </w:rPr>
        <w:t>Schedule 1.1(b)</w:t>
      </w:r>
      <w:r>
        <w:rPr>
          <w:rFonts w:ascii="Times New Roman" w:cs="Times New Roman" w:eastAsia="Times New Roman" w:hAnsi="Times New Roman"/>
          <w:sz w:val="17"/>
          <w:szCs w:val="17"/>
          <w:color w:val="auto"/>
        </w:rPr>
        <w:t xml:space="preserve"> and (b) for any other Issuing Lender becoming an Issuing Lender after the Closing Date, such amount as separately agreed to in a written agreement between the Borrower and such Issuing Lender (which such agreement shall be promptly delivered to the Administrative Agent upon execution), in each case of clauses (a) and (b) above, any such amount may be changed after the Closing Date in a written agreement between the Borrower and such Issuing Lender (which such agreement shall be promptly delivered to the Administrative Agent upon execution);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r>
        <w:rPr>
          <w:rFonts w:ascii="Times New Roman" w:cs="Times New Roman" w:eastAsia="Times New Roman" w:hAnsi="Times New Roman"/>
          <w:sz w:val="17"/>
          <w:szCs w:val="17"/>
          <w:b w:val="1"/>
          <w:bCs w:val="1"/>
          <w:color w:val="auto"/>
        </w:rPr>
        <w: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Facility</w:t>
      </w:r>
      <w:r>
        <w:rPr>
          <w:rFonts w:ascii="Times New Roman" w:cs="Times New Roman" w:eastAsia="Times New Roman" w:hAnsi="Times New Roman"/>
          <w:sz w:val="17"/>
          <w:szCs w:val="17"/>
          <w:color w:val="auto"/>
        </w:rPr>
        <w:t xml:space="preserve">” means the letter of credit facility established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Obligations</w:t>
      </w:r>
      <w:r>
        <w:rPr>
          <w:rFonts w:ascii="Times New Roman" w:cs="Times New Roman" w:eastAsia="Times New Roman" w:hAnsi="Times New Roman"/>
          <w:sz w:val="17"/>
          <w:szCs w:val="17"/>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Participants</w:t>
      </w:r>
      <w:r>
        <w:rPr>
          <w:rFonts w:ascii="Times New Roman" w:cs="Times New Roman" w:eastAsia="Times New Roman" w:hAnsi="Times New Roman"/>
          <w:sz w:val="17"/>
          <w:szCs w:val="17"/>
          <w:color w:val="auto"/>
        </w:rPr>
        <w:t>” means, with respect to any Letter of Credit, the collective reference to all the Revolving Credit Lenders other than the applicable Issuing Lender.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Sublimit</w:t>
      </w:r>
      <w:r>
        <w:rPr>
          <w:rFonts w:ascii="Times New Roman" w:cs="Times New Roman" w:eastAsia="Times New Roman" w:hAnsi="Times New Roman"/>
          <w:sz w:val="17"/>
          <w:szCs w:val="17"/>
          <w:color w:val="auto"/>
        </w:rPr>
        <w:t>” means the lesser of (a) $25,000,000 and (b) the aggregate amount of the Revolving Credit Commitments.</w:t>
      </w:r>
    </w:p>
    <w:p>
      <w:pPr>
        <w:spacing w:after="0" w:line="183"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xml:space="preserve">” means the Persons listed on </w:t>
      </w:r>
      <w:r>
        <w:rPr>
          <w:rFonts w:ascii="Times New Roman" w:cs="Times New Roman" w:eastAsia="Times New Roman" w:hAnsi="Times New Roman"/>
          <w:sz w:val="17"/>
          <w:szCs w:val="17"/>
          <w:u w:val="single" w:color="auto"/>
          <w:color w:val="auto"/>
        </w:rPr>
        <w:t>Schedule 1.1(a)</w:t>
      </w:r>
      <w:r>
        <w:rPr>
          <w:rFonts w:ascii="Times New Roman" w:cs="Times New Roman" w:eastAsia="Times New Roman" w:hAnsi="Times New Roman"/>
          <w:sz w:val="17"/>
          <w:szCs w:val="17"/>
          <w:color w:val="auto"/>
        </w:rPr>
        <w:t xml:space="preserve"> and any other Person that shall have become a party to this Agreement as a Lender pursuant to an Assignment and Assumption or pursuant to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other than any Person that ceases to be a party hereto as a Lender pursuant to an Assignment and Assumption. Unless the context otherwise requires, the term “Lenders” includes the Swingline Lender.</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Lender Related Party</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12.5(e)</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Lending Office</w:t>
      </w:r>
      <w:r>
        <w:rPr>
          <w:rFonts w:ascii="Times New Roman" w:cs="Times New Roman" w:eastAsia="Times New Roman" w:hAnsi="Times New Roman"/>
          <w:sz w:val="17"/>
          <w:szCs w:val="17"/>
          <w:color w:val="auto"/>
        </w:rPr>
        <w:t>” means, with respect to any Lender, the office of such Lender maintaining such Lender’s Extensions of Credit, which office may, to the extent the applicable Lender notifies the Administrative Agent in writing, include an office of any Affiliate of such Lender or any domestic or foreign branch of such Lender or Affiliate.</w:t>
      </w:r>
    </w:p>
    <w:p>
      <w:pPr>
        <w:spacing w:after="0" w:line="130"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Application</w:t>
      </w:r>
      <w:r>
        <w:rPr>
          <w:rFonts w:ascii="Times New Roman" w:cs="Times New Roman" w:eastAsia="Times New Roman" w:hAnsi="Times New Roman"/>
          <w:sz w:val="17"/>
          <w:szCs w:val="17"/>
          <w:color w:val="auto"/>
        </w:rPr>
        <w:t>” means an application requesting the applicable Issuing Lender to issue a Letter of Credit in the form specified by the applicable Issuing Lender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1191" w:right="319" w:bottom="1440" w:gutter="0" w:footer="0" w:header="0"/>
        </w:sectPr>
      </w:pPr>
    </w:p>
    <w:bookmarkStart w:id="426" w:name="page427"/>
    <w:bookmarkEnd w:id="426"/>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Documents</w:t>
      </w:r>
      <w:r>
        <w:rPr>
          <w:rFonts w:ascii="Times New Roman" w:cs="Times New Roman" w:eastAsia="Times New Roman" w:hAnsi="Times New Roman"/>
          <w:sz w:val="17"/>
          <w:szCs w:val="17"/>
          <w:color w:val="auto"/>
        </w:rPr>
        <w:t>” means with respect to any Letter of Credit, such Letter of Credit, the Letter of Credit Application, a letter of credit agreement or reimbursement agreement and any other document, agreement and instrument required by the applicable Issuing Lender and relating to such Letter of Credit, in each case in the form specified by the applicable Issuing Lender from time to time.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Letters of Credit</w:t>
      </w:r>
      <w:r>
        <w:rPr>
          <w:rFonts w:ascii="Times New Roman" w:cs="Times New Roman" w:eastAsia="Times New Roman" w:hAnsi="Times New Roman"/>
          <w:sz w:val="17"/>
          <w:szCs w:val="17"/>
          <w:color w:val="auto"/>
        </w:rPr>
        <w:t xml:space="preserve">” means the collective reference to letters of credit issued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41"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 Documents</w:t>
      </w:r>
      <w:r>
        <w:rPr>
          <w:rFonts w:ascii="Times New Roman" w:cs="Times New Roman" w:eastAsia="Times New Roman" w:hAnsi="Times New Roman"/>
          <w:sz w:val="17"/>
          <w:szCs w:val="17"/>
          <w:color w:val="auto"/>
        </w:rPr>
        <w:t>” means, collectively, this Agreement, each Note, the Letter of Credit Documents, the Security Documents, the Guaranty Agreement, the Fee Letters,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means the collective reference to the Revolving Credit Loans and the Swingline Loans, and “Loan” means any of such Loans.</w:t>
      </w:r>
    </w:p>
    <w:p>
      <w:pPr>
        <w:spacing w:after="0" w:line="162" w:lineRule="exact"/>
        <w:rPr>
          <w:sz w:val="20"/>
          <w:szCs w:val="20"/>
          <w:color w:val="auto"/>
        </w:rPr>
      </w:pPr>
    </w:p>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means, with respect to the Borrower and its Subsidiaries, (a) a material adverse effect on the operations, business, assets, properties, liabilities (actual or contingent) or financial condition of any such Person, (b) a material impairment of the ability of any such Person to perform its payment obligations under the Loan Documents to which it is a party, (c) a material impairment of the rights and remedies of the Administrative Agent or any Lender under any Loan Document, or (d) a material impairment of the legality, validity, binding effect or enforceability against any Credit Party of any Loan Document to which it is a party.</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Asset</w:t>
      </w:r>
      <w:r>
        <w:rPr>
          <w:rFonts w:ascii="Times New Roman" w:cs="Times New Roman" w:eastAsia="Times New Roman" w:hAnsi="Times New Roman"/>
          <w:sz w:val="17"/>
          <w:szCs w:val="17"/>
          <w:color w:val="auto"/>
        </w:rPr>
        <w:t>” means any asset owned by any Credit Party that is material to the operation of the business of the Credit Parties, taken as a whole.</w:t>
      </w:r>
    </w:p>
    <w:p>
      <w:pPr>
        <w:spacing w:after="0" w:line="151"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Contract</w:t>
      </w:r>
      <w:r>
        <w:rPr>
          <w:rFonts w:ascii="Times New Roman" w:cs="Times New Roman" w:eastAsia="Times New Roman" w:hAnsi="Times New Roman"/>
          <w:sz w:val="17"/>
          <w:szCs w:val="17"/>
          <w:color w:val="auto"/>
        </w:rPr>
        <w:t>” means (a) any contract or agreement, of any Credit Party or any of its Subsidiaries involving monetary liability of or to any such Person in an amount in excess of $25,000,000 per annum in the immediately preceding twelve month period or (b) any other contract or agreement, written or oral, of any Credit Party or any of its Subsidiaries, the breach, non-performance, cancellation or failure to renew of which could reasonably be expected to have a Material Adverse Effect.</w:t>
      </w:r>
    </w:p>
    <w:p>
      <w:pPr>
        <w:spacing w:after="0" w:line="142"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Collateral Amount</w:t>
      </w:r>
      <w:r>
        <w:rPr>
          <w:rFonts w:ascii="Times New Roman" w:cs="Times New Roman" w:eastAsia="Times New Roman" w:hAnsi="Times New Roman"/>
          <w:sz w:val="17"/>
          <w:szCs w:val="17"/>
          <w:color w:val="auto"/>
        </w:rPr>
        <w:t>” means, at any time, (a) with respect to Cash Collateral consisting of cash or deposit account balances provided to reduce or eliminate Fronting Exposure during the existence of a Defaulting Lender, an amount equal to 105% of the Fronting Exposure of each of the Issuing Lenders with respect to Letters of Credit issued by it and outstanding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180" w:right="319" w:bottom="1440" w:gutter="0" w:footer="0" w:header="0"/>
        </w:sectPr>
      </w:pPr>
    </w:p>
    <w:bookmarkStart w:id="427" w:name="page428"/>
    <w:bookmarkEnd w:id="427"/>
    <w:p>
      <w:pPr>
        <w:jc w:val="both"/>
        <w:spacing w:after="0" w:line="239" w:lineRule="auto"/>
        <w:rPr>
          <w:sz w:val="20"/>
          <w:szCs w:val="20"/>
          <w:color w:val="auto"/>
        </w:rPr>
      </w:pPr>
      <w:r>
        <w:rPr>
          <w:rFonts w:ascii="Times New Roman" w:cs="Times New Roman" w:eastAsia="Times New Roman" w:hAnsi="Times New Roman"/>
          <w:sz w:val="17"/>
          <w:szCs w:val="17"/>
          <w:color w:val="auto"/>
        </w:rPr>
        <w:t xml:space="preserve">time, (b) with respect to Cash Collateral consisting of cash or deposit account balances provided in accordance with the provisions of </w:t>
      </w:r>
      <w:r>
        <w:rPr>
          <w:rFonts w:ascii="Times New Roman" w:cs="Times New Roman" w:eastAsia="Times New Roman" w:hAnsi="Times New Roman"/>
          <w:sz w:val="17"/>
          <w:szCs w:val="17"/>
          <w:u w:val="single" w:color="auto"/>
          <w:color w:val="auto"/>
        </w:rPr>
        <w:t>Section 10.2(b)</w:t>
      </w:r>
      <w:r>
        <w:rPr>
          <w:rFonts w:ascii="Times New Roman" w:cs="Times New Roman" w:eastAsia="Times New Roman" w:hAnsi="Times New Roman"/>
          <w:sz w:val="17"/>
          <w:szCs w:val="17"/>
          <w:color w:val="auto"/>
        </w:rPr>
        <w:t>, an amount equal to 105% of the aggregate outstanding amount of all L/C Obligations and (c) otherwise, an amount determined by the Administrative Agent and each of the applicable Issuing Lenders that is entitled to Cash Collateral hereunder at such time in their sole discretion.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Moody’s</w:t>
      </w:r>
      <w:r>
        <w:rPr>
          <w:rFonts w:ascii="Times New Roman" w:cs="Times New Roman" w:eastAsia="Times New Roman" w:hAnsi="Times New Roman"/>
          <w:sz w:val="17"/>
          <w:szCs w:val="17"/>
          <w:color w:val="auto"/>
        </w:rPr>
        <w:t>” means Moody’s Investors Service, Inc.</w:t>
      </w:r>
    </w:p>
    <w:p>
      <w:pPr>
        <w:spacing w:after="0" w:line="16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Mortgage Entities</w:t>
      </w:r>
      <w:r>
        <w:rPr>
          <w:rFonts w:ascii="Times New Roman" w:cs="Times New Roman" w:eastAsia="Times New Roman" w:hAnsi="Times New Roman"/>
          <w:sz w:val="17"/>
          <w:szCs w:val="17"/>
          <w:color w:val="auto"/>
        </w:rPr>
        <w:t>” means Wealthfront Home Lending, Wealthfront Holdings and any other Subsidiary of the Borrower in the consumer mortgage origination business.</w:t>
      </w:r>
    </w:p>
    <w:p>
      <w:pPr>
        <w:spacing w:after="0" w:line="114"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means a “multiemployer plan” as defined in Section 4001(a)(3) of ERISA to which any Credit Party or any ERISA Affiliate is making, or is accruing an obligation to make, or has accrued an obligation to make contributions within the preceding five (5) years, or to which any Credit Party or any ERISA Affiliate has any liability (contingent or otherwise).</w:t>
      </w:r>
    </w:p>
    <w:p>
      <w:pPr>
        <w:spacing w:after="0" w:line="141"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xml:space="preserve">” means any Lender that does not approve any consent, waiver, amendment, modification or termination that (a) requires the approval of all Lenders or all affected Lenders in accordance with the terms of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and (b) has been approved by the Required Lenders.</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Non-Defaulting Lender</w:t>
      </w:r>
      <w:r>
        <w:rPr>
          <w:rFonts w:ascii="Times New Roman" w:cs="Times New Roman" w:eastAsia="Times New Roman" w:hAnsi="Times New Roman"/>
          <w:sz w:val="17"/>
          <w:szCs w:val="17"/>
          <w:color w:val="auto"/>
        </w:rPr>
        <w:t>” means, at any time, each Lender that is not a Defaulting Lender at such time.</w:t>
      </w:r>
    </w:p>
    <w:p>
      <w:pPr>
        <w:spacing w:after="0" w:line="162"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Non-Deposit Trust Company</w:t>
      </w:r>
      <w:r>
        <w:rPr>
          <w:rFonts w:ascii="Times New Roman" w:cs="Times New Roman" w:eastAsia="Times New Roman" w:hAnsi="Times New Roman"/>
          <w:sz w:val="17"/>
          <w:szCs w:val="17"/>
          <w:color w:val="auto"/>
        </w:rPr>
        <w:t>” means any Subsidiary that engages as a trustee, fiduciary, or agent for individuals or businesses with respect to trusts, estates, and other fiduciary accounts. Such services may include, but are not limited to, asset management, estate planning, trust administration, and financial planning.</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Non-Wholly-Owned Subsidiary</w:t>
      </w:r>
      <w:r>
        <w:rPr>
          <w:rFonts w:ascii="Times New Roman" w:cs="Times New Roman" w:eastAsia="Times New Roman" w:hAnsi="Times New Roman"/>
          <w:sz w:val="17"/>
          <w:szCs w:val="17"/>
          <w:color w:val="auto"/>
        </w:rPr>
        <w:t>” means any Subsidiary of the Borrower that is not Wholly-Owned.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means the collective reference to the Revolving Credit Notes and the Swingline Notes.</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of Account Designation</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of Borrowing</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of Prepayment</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2.4(c)</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in each case, whether now in existence or hereafter arising: (a) the principal of and interest on (including interest accruing after the filing of any bankruptcy or similar petition) the Loans, (b) the L/C Obligations and (c) all other fees and commissions (including attorneys’ fees), charges, indebtedness, loans, liabilities, financial accommodations, obligations, covenants and duties owing by the Credit Parties to the Lenders, the Issuing Lenders or the Administrative Agent, in each case under any Loan Document, with respect to any Loan or Letter of Credit of every kind, nature and description, direct or indirect, absolute or contingent, due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1180" w:right="319" w:bottom="1440" w:gutter="0" w:footer="0" w:header="0"/>
        </w:sectPr>
      </w:pPr>
    </w:p>
    <w:bookmarkStart w:id="428" w:name="page429"/>
    <w:bookmarkEnd w:id="428"/>
    <w:p>
      <w:pPr>
        <w:jc w:val="both"/>
        <w:spacing w:after="0" w:line="246" w:lineRule="auto"/>
        <w:rPr>
          <w:sz w:val="20"/>
          <w:szCs w:val="20"/>
          <w:color w:val="auto"/>
        </w:rPr>
      </w:pPr>
      <w:r>
        <w:rPr>
          <w:rFonts w:ascii="Times New Roman" w:cs="Times New Roman" w:eastAsia="Times New Roman" w:hAnsi="Times New Roman"/>
          <w:sz w:val="17"/>
          <w:szCs w:val="17"/>
          <w:color w:val="auto"/>
        </w:rPr>
        <w:t>become due, contractual or tortious, liquidated or unliquidated, and whether or not evidenced by any note and including interest and fees that accrue after the commencement by or against any Credit Party of any proceeding under any Debtor Relief Laws, naming such Person as the debtor in such proceeding, regardless of whether such interest and fees are allowed claims in such proceeding.</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means the U.S. Department of the Treasury’s Office of Foreign Assets Control.</w:t>
      </w:r>
    </w:p>
    <w:p>
      <w:pPr>
        <w:spacing w:after="0" w:line="162" w:lineRule="exact"/>
        <w:rPr>
          <w:sz w:val="20"/>
          <w:szCs w:val="20"/>
          <w:color w:val="auto"/>
        </w:rPr>
      </w:pPr>
    </w:p>
    <w:p>
      <w:pPr>
        <w:jc w:val="both"/>
        <w:ind w:firstLine="505"/>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means, (a) with respect to any corporation, the certificate or articles of incorporation and the bylaws (or equivalent or comparable constitutive documents); (b) with respect to any limited liability company, the certificate or articles of formation or organization and operating agreement or limited liability company agreement (or equivalent or comparable documents);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2"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Connection Taxes</w:t>
      </w:r>
      <w:r>
        <w:rPr>
          <w:rFonts w:ascii="Times New Roman" w:cs="Times New Roman" w:eastAsia="Times New Roman" w:hAnsi="Times New Roman"/>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37"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5.12</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Outbound Investment Rules</w:t>
      </w:r>
      <w:r>
        <w:rPr>
          <w:rFonts w:ascii="Times New Roman" w:cs="Times New Roman" w:eastAsia="Times New Roman" w:hAnsi="Times New Roman"/>
          <w:sz w:val="17"/>
          <w:szCs w:val="17"/>
          <w:color w:val="auto"/>
        </w:rPr>
        <w:t>” means the regulations administered and enforced, together with any related public guidance issued, by the United States Treasury Department under U.S. Executive Order 14105 of August 9, 2023, or any similar law or regulation, and as codified at 31 C.F.R. § 850.101 et seq.</w:t>
      </w:r>
    </w:p>
    <w:p>
      <w:pPr>
        <w:spacing w:after="0" w:line="125"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Overnight Rate</w:t>
      </w:r>
      <w:r>
        <w:rPr>
          <w:rFonts w:ascii="Times New Roman" w:cs="Times New Roman" w:eastAsia="Times New Roman" w:hAnsi="Times New Roman"/>
          <w:sz w:val="17"/>
          <w:szCs w:val="17"/>
          <w:color w:val="auto"/>
        </w:rPr>
        <w:t>” means, for any day, the greater of (a) the Federal Funds Rate and (b) an overnight rate determined by the Administrative Agent in accordance with banking industry rules on interbank compensation.</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12.9(d)</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12.9(d)</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PATRIOT Act</w:t>
      </w:r>
      <w:r>
        <w:rPr>
          <w:rFonts w:ascii="Times New Roman" w:cs="Times New Roman" w:eastAsia="Times New Roman" w:hAnsi="Times New Roman"/>
          <w:sz w:val="17"/>
          <w:szCs w:val="17"/>
          <w:color w:val="auto"/>
        </w:rPr>
        <w:t>” means the USA PATRIOT Act (Title III of Pub. L. 107-56 (signed into law October 26,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181" w:right="319" w:bottom="1440" w:gutter="0" w:footer="0" w:header="0"/>
        </w:sectPr>
      </w:pPr>
    </w:p>
    <w:bookmarkStart w:id="429" w:name="page430"/>
    <w:bookmarkEnd w:id="429"/>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Payment Recipient</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11.12(a)</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PBGC</w:t>
      </w:r>
      <w:r>
        <w:rPr>
          <w:rFonts w:ascii="Times New Roman" w:cs="Times New Roman" w:eastAsia="Times New Roman" w:hAnsi="Times New Roman"/>
          <w:sz w:val="17"/>
          <w:szCs w:val="17"/>
          <w:color w:val="auto"/>
        </w:rPr>
        <w:t>” means the Pension Benefit Guaranty Corporation or any successor agency.</w:t>
      </w:r>
    </w:p>
    <w:p>
      <w:pPr>
        <w:spacing w:after="0" w:line="162" w:lineRule="exact"/>
        <w:rPr>
          <w:sz w:val="20"/>
          <w:szCs w:val="20"/>
          <w:color w:val="auto"/>
        </w:rPr>
      </w:pPr>
    </w:p>
    <w:p>
      <w:pPr>
        <w:jc w:val="both"/>
        <w:ind w:firstLine="505"/>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Pension Plan</w:t>
      </w:r>
      <w:r>
        <w:rPr>
          <w:rFonts w:ascii="Times New Roman" w:cs="Times New Roman" w:eastAsia="Times New Roman" w:hAnsi="Times New Roman"/>
          <w:sz w:val="17"/>
          <w:szCs w:val="17"/>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(b) has at any time within the preceding five (5) years been maintained, funded or administered for the employees of any Credit Party or any current or former ERISA Affiliates or (c) any Credit Party or any ERISA Affiliate has any liability (contingent or otherwise).</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means any Acquisition that meets all of the following requirements:</w:t>
      </w:r>
    </w:p>
    <w:p>
      <w:pPr>
        <w:spacing w:after="0" w:line="162" w:lineRule="exact"/>
        <w:rPr>
          <w:sz w:val="20"/>
          <w:szCs w:val="20"/>
          <w:color w:val="auto"/>
        </w:rPr>
      </w:pPr>
    </w:p>
    <w:p>
      <w:pPr>
        <w:jc w:val="both"/>
        <w:ind w:firstLine="509"/>
        <w:spacing w:after="0" w:line="252" w:lineRule="auto"/>
        <w:tabs>
          <w:tab w:leader="none" w:pos="878"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Permitted Acquisition Consideration for any such Acquisition (or series of related Acquisitions) exceeds $50,000,000 in the aggregate, no less than ten (10) Business Days prior to the proposed closing date of such Acquisition (or such shorter period as may be agreed to by the Administrative Agent), the Borrower shall have delivered written notice of such Acquisition to the Administrative Agent and the Lenders;</w:t>
      </w:r>
    </w:p>
    <w:p>
      <w:pPr>
        <w:spacing w:after="0" w:line="141"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or other similar governing body of the Person to be acquired shall have approved such Acquisition;</w:t>
      </w:r>
    </w:p>
    <w:p>
      <w:pPr>
        <w:spacing w:after="0" w:line="161" w:lineRule="exact"/>
        <w:rPr>
          <w:rFonts w:ascii="Times New Roman" w:cs="Times New Roman" w:eastAsia="Times New Roman" w:hAnsi="Times New Roman"/>
          <w:sz w:val="17"/>
          <w:szCs w:val="17"/>
          <w:color w:val="auto"/>
        </w:rPr>
      </w:pPr>
    </w:p>
    <w:p>
      <w:pPr>
        <w:ind w:firstLine="509"/>
        <w:spacing w:after="0" w:line="291" w:lineRule="auto"/>
        <w:tabs>
          <w:tab w:leader="none" w:pos="872"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Person or business to be acquired shall be in a line of business permitted pursuant to </w:t>
      </w:r>
      <w:r>
        <w:rPr>
          <w:rFonts w:ascii="Times New Roman" w:cs="Times New Roman" w:eastAsia="Times New Roman" w:hAnsi="Times New Roman"/>
          <w:sz w:val="16"/>
          <w:szCs w:val="16"/>
          <w:u w:val="single" w:color="auto"/>
          <w:color w:val="auto"/>
        </w:rPr>
        <w:t>Section 9.11</w:t>
      </w:r>
      <w:r>
        <w:rPr>
          <w:rFonts w:ascii="Times New Roman" w:cs="Times New Roman" w:eastAsia="Times New Roman" w:hAnsi="Times New Roman"/>
          <w:sz w:val="16"/>
          <w:szCs w:val="16"/>
          <w:color w:val="auto"/>
        </w:rPr>
        <w:t xml:space="preserve"> or, in the case of an Acquisition of assets, the assets acquired are useful in the business of the Borrower and its Subsidiaries as conducted immediately prior to such Acquisition or permitted pursuant to </w:t>
      </w:r>
      <w:r>
        <w:rPr>
          <w:rFonts w:ascii="Times New Roman" w:cs="Times New Roman" w:eastAsia="Times New Roman" w:hAnsi="Times New Roman"/>
          <w:sz w:val="16"/>
          <w:szCs w:val="16"/>
          <w:u w:val="single" w:color="auto"/>
          <w:color w:val="auto"/>
        </w:rPr>
        <w:t>Section 9.11</w:t>
      </w:r>
      <w:r>
        <w:rPr>
          <w:rFonts w:ascii="Times New Roman" w:cs="Times New Roman" w:eastAsia="Times New Roman" w:hAnsi="Times New Roman"/>
          <w:sz w:val="16"/>
          <w:szCs w:val="16"/>
          <w:color w:val="auto"/>
        </w:rPr>
        <w:t>;</w:t>
      </w:r>
    </w:p>
    <w:p>
      <w:pPr>
        <w:spacing w:after="0" w:line="110" w:lineRule="exact"/>
        <w:rPr>
          <w:rFonts w:ascii="Times New Roman" w:cs="Times New Roman" w:eastAsia="Times New Roman" w:hAnsi="Times New Roman"/>
          <w:sz w:val="16"/>
          <w:szCs w:val="16"/>
          <w:color w:val="auto"/>
        </w:rPr>
      </w:pPr>
    </w:p>
    <w:p>
      <w:pPr>
        <w:ind w:firstLine="509"/>
        <w:spacing w:after="0" w:line="259" w:lineRule="auto"/>
        <w:tabs>
          <w:tab w:leader="none" w:pos="95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Acquisition is a merger or consolidation, (i) if the Borrower is a party thereto then the Borrower shall be the surviving Person, and (ii) if a Guarantor is a party thereto then such Guarantor shall be the surviving Person or such surviving Person shall become a Guarantor in accordance with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w:t>
      </w:r>
    </w:p>
    <w:p>
      <w:pPr>
        <w:spacing w:after="0" w:line="135"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Change in Control shall have been effected thereby;</w:t>
      </w:r>
    </w:p>
    <w:p>
      <w:pPr>
        <w:spacing w:after="0" w:line="161"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is in compliance on a Pro Forma Basis (based on the most recently ended Reference Period) with each covenant contained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firstLine="509"/>
        <w:spacing w:after="0" w:line="242" w:lineRule="auto"/>
        <w:tabs>
          <w:tab w:leader="none" w:pos="877"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Permitted Acquisition Consideration for any such Acquisition (or series of related Acquisitions) exceeds $50,000,000 in the aggregate, no later than five (5) Business Days prior to the proposed closing date of such Acquisition (or such shorter period as may be agreed to by the Administrative Agent), the Borrower shall have delivered to the Administrative Agent a Compliance Certificate demonstrating, in form and substance reasonably satisfactory to the Administrative Agent, that the Borrower is in compliance on a Pro Forma Basis (based on the most recently ended Reference Period) with each covenant contained in Section 9.12 and that all of the requirements set forth in the definition of “Permitted Acquisition” have been satisfied or will be satisfied on or prior to the consummation of such Acquisition;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1180" w:right="319" w:bottom="1440" w:gutter="0" w:footer="0" w:header="0"/>
        </w:sectPr>
      </w:pPr>
    </w:p>
    <w:bookmarkStart w:id="430" w:name="page431"/>
    <w:bookmarkEnd w:id="430"/>
    <w:p>
      <w:pPr>
        <w:ind w:firstLine="509"/>
        <w:spacing w:after="0" w:line="246" w:lineRule="auto"/>
        <w:tabs>
          <w:tab w:leader="none" w:pos="953"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shall have occurred and be continuing both before and after giving effect to such Acquisition and any Indebtedness incurred in connection therewith.</w:t>
      </w:r>
    </w:p>
    <w:p>
      <w:pPr>
        <w:spacing w:after="0" w:line="135"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 Consideration</w:t>
      </w:r>
      <w:r>
        <w:rPr>
          <w:rFonts w:ascii="Times New Roman" w:cs="Times New Roman" w:eastAsia="Times New Roman" w:hAnsi="Times New Roman"/>
          <w:sz w:val="17"/>
          <w:szCs w:val="17"/>
          <w:color w:val="auto"/>
        </w:rPr>
        <w:t>” means the aggregate amount of the purchase price, including, but not limited to, any assumed debt, earn-outs (valued at the maximum amount payable thereunder), deferred payments, or Equity Interests of the Borrower, to be paid on a singular basis in connection with any applicable Permitted Acquisition as set forth in the applicable Permitted Acquisition Documents executed by the Borrower or any of its Subsidiaries in order to consummate the applicable Permitted Acquisition.</w:t>
      </w:r>
    </w:p>
    <w:p>
      <w:pPr>
        <w:spacing w:after="0" w:line="13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Investors</w:t>
      </w:r>
      <w:r>
        <w:rPr>
          <w:rFonts w:ascii="Times New Roman" w:cs="Times New Roman" w:eastAsia="Times New Roman" w:hAnsi="Times New Roman"/>
          <w:sz w:val="17"/>
          <w:szCs w:val="17"/>
          <w:color w:val="auto"/>
        </w:rPr>
        <w:t>” means (a) any Person that owns, directly or indirectly, Equity Interests of the Borrower as of the Closing Date and (b) any Affiliate of any Person referred to in the preceding clause (a).</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xml:space="preserve">” means the Liens permitted pursuant to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505"/>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Refinancing Indebtedness</w:t>
      </w:r>
      <w:r>
        <w:rPr>
          <w:rFonts w:ascii="Times New Roman" w:cs="Times New Roman" w:eastAsia="Times New Roman" w:hAnsi="Times New Roman"/>
          <w:sz w:val="16"/>
          <w:szCs w:val="16"/>
          <w:color w:val="auto"/>
        </w:rPr>
        <w:t>” means any Indebtedness (the “</w:t>
      </w:r>
      <w:r>
        <w:rPr>
          <w:rFonts w:ascii="Times New Roman" w:cs="Times New Roman" w:eastAsia="Times New Roman" w:hAnsi="Times New Roman"/>
          <w:sz w:val="16"/>
          <w:szCs w:val="16"/>
          <w:u w:val="single" w:color="auto"/>
          <w:color w:val="auto"/>
        </w:rPr>
        <w:t>Refinancing Indebtedness</w:t>
      </w:r>
      <w:r>
        <w:rPr>
          <w:rFonts w:ascii="Times New Roman" w:cs="Times New Roman" w:eastAsia="Times New Roman" w:hAnsi="Times New Roman"/>
          <w:sz w:val="16"/>
          <w:szCs w:val="16"/>
          <w:color w:val="auto"/>
        </w:rPr>
        <w:t>”), the proceeds of which are used to refinance, refund, renew, extend or replace outstanding Indebtedness (such outstanding Indebtedness, the “</w:t>
      </w:r>
      <w:r>
        <w:rPr>
          <w:rFonts w:ascii="Times New Roman" w:cs="Times New Roman" w:eastAsia="Times New Roman" w:hAnsi="Times New Roman"/>
          <w:sz w:val="16"/>
          <w:szCs w:val="16"/>
          <w:u w:val="single" w:color="auto"/>
          <w:color w:val="auto"/>
        </w:rPr>
        <w:t>Refinanced Indebtedness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the principal amount (or accreted value, if applicable) of such Refinancing Indebtedness (including any unused commitments thereunder) is not greater than the principal amount (or accreted value, if applicable) of the Refinanced Indebtedness at the time of such refinancing, refunding, renewal, extension or replacement, except by an amount equal to any original issue discount thereon and the amount of unpaid accrued interest and premium thereon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other reasonable amounts paid, and fees and expenses reasonably incurred, in connection with such refinancing, refunding, renewal, extension or replacement, and by an amount equal to any existing commitments thereunder that have not been utilized at the time of such refinancing, refunding, renewal, extension or replacement; (b) the final stated maturity and Weighted Average Life to Maturity of such Refinancing Indebtedness shall not be prior to or shorter than that applicable to the Refinanced Indebtedness and such Refinancing Indebtedness does not require any scheduled payment of principal, mandatory repayment, redemption or repurchase that is more favorable to the holders of the Refinancing Indebtedness than the corresponding terms (if any) of the Refinanced Indebtedness (including by virtue of such Refinancing Indebtedness participating on a greater basis in any mandatory repayment, redemption or repurchase as compared to the Refinanced Indebtedness, but excluding any scheduled payment of principal, mandatory repayment, redemption or repurchase occurring on or after the date that is 91 days after the latest scheduled maturity date of the Loans and Commitments); (c) such Refinancing Indebtedness shall not be secured by (i) Liens on assets other than assets securing the Refinanced Indebtedness at the time of such refinancing, refunding, renewal, extension or replacement or (ii) Liens having a higher priority than the Liens, if any, securing the Refinanced Indebtedness at the time of such refinancing, refunding, renewal, extension or replacement; (d) such Refinancing Indebtedness shall not be guaranteed by or otherwise recourse to any Person other than the Person(s) to whom the Refinanced Indebtedness is recourse or by whom it is guaranteed, in each case as of the time of such refinancing, refunding, renewal, extension or replacement; (e) to the extent such Refinanced Indebtedness is subordinated in right of payment to the Obligations (or the Liens securing such Indebtedness were originally contractually subordinated to the Liens securing the Collateral pursuant to the Security Documents), such refinancing, refunding, renewal,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80"/>
          </w:cols>
          <w:pgMar w:left="300" w:top="1181" w:right="319" w:bottom="1440" w:gutter="0" w:footer="0" w:header="0"/>
        </w:sectPr>
      </w:pPr>
    </w:p>
    <w:bookmarkStart w:id="431" w:name="page432"/>
    <w:bookmarkEnd w:id="431"/>
    <w:p>
      <w:pPr>
        <w:jc w:val="both"/>
        <w:spacing w:after="0" w:line="241" w:lineRule="auto"/>
        <w:rPr>
          <w:sz w:val="20"/>
          <w:szCs w:val="20"/>
          <w:color w:val="auto"/>
        </w:rPr>
      </w:pPr>
      <w:r>
        <w:rPr>
          <w:rFonts w:ascii="Times New Roman" w:cs="Times New Roman" w:eastAsia="Times New Roman" w:hAnsi="Times New Roman"/>
          <w:sz w:val="17"/>
          <w:szCs w:val="17"/>
          <w:color w:val="auto"/>
        </w:rPr>
        <w:t>or replacement is subordinated in right of payment to the Obligations (or the Liens securing such Indebtedness shall be subordinated to the Liens securing the Collateral pursuant to the Security Documents) on terms at least as favorable to the Lenders as those contained in the documentation governing such Refinanced Indebtedness or otherwise reasonably acceptable to the Administrative Agent; (f) the covenants with respect to such Refinancing Indebtedness, when taken as a whole, are not materially more restrictive to the Borrower and its Subsidiaries than those in the Refinanced Indebtedness (taken as a whole); (g) in the event that the Refinancing Indebtedness is unsecured Indebtedness (including unsecured Subordinated Indebtedness) such Refinancing Indebtedness does not include cross-defaults (but may include cross-payment defaults and cross-defaults at the final stated maturity thereof and cross-acceleration); and (h) no Default or Event of Default shall have occurred and be continuing at the time of, or would result from, such refinancing, refunding, renewal, extension or replacement.</w:t>
      </w:r>
    </w:p>
    <w:p>
      <w:pPr>
        <w:spacing w:after="0" w:line="140"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natural person, corporation, limited liability company, trust, joint venture, association, company, partnership, Governmental Authority or other entity.</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Platform</w:t>
      </w:r>
      <w:r>
        <w:rPr>
          <w:rFonts w:ascii="Times New Roman" w:cs="Times New Roman" w:eastAsia="Times New Roman" w:hAnsi="Times New Roman"/>
          <w:sz w:val="17"/>
          <w:szCs w:val="17"/>
          <w:color w:val="auto"/>
        </w:rPr>
        <w:t>” means SyndTrak or a substantially similar electronic transmission system.</w:t>
      </w:r>
    </w:p>
    <w:p>
      <w:pPr>
        <w:spacing w:after="0" w:line="172"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Prime Rate</w:t>
      </w:r>
      <w:r>
        <w:rPr>
          <w:rFonts w:ascii="Times New Roman" w:cs="Times New Roman" w:eastAsia="Times New Roman" w:hAnsi="Times New Roman"/>
          <w:sz w:val="17"/>
          <w:szCs w:val="17"/>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Forma Basis</w:t>
      </w:r>
      <w:r>
        <w:rPr>
          <w:rFonts w:ascii="Times New Roman" w:cs="Times New Roman" w:eastAsia="Times New Roman" w:hAnsi="Times New Roman"/>
          <w:sz w:val="17"/>
          <w:szCs w:val="17"/>
          <w:color w:val="auto"/>
        </w:rPr>
        <w:t>” means:</w:t>
      </w:r>
    </w:p>
    <w:p>
      <w:pPr>
        <w:spacing w:after="0" w:line="172" w:lineRule="exact"/>
        <w:rPr>
          <w:sz w:val="20"/>
          <w:szCs w:val="20"/>
          <w:color w:val="auto"/>
        </w:rPr>
      </w:pPr>
    </w:p>
    <w:p>
      <w:pPr>
        <w:jc w:val="both"/>
        <w:ind w:firstLine="509"/>
        <w:spacing w:after="0" w:line="239" w:lineRule="auto"/>
        <w:tabs>
          <w:tab w:leader="none" w:pos="965"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calculating Consolidated EBITDA for any period during which one or more Specified Transactions occurs, that (i) such Specified Transaction (and all other Specified Transactions that have been consummated during the applicable period) shall be deemed to have occurred as of the first day of the applicable Reference Period, (ii) there shall be included in determining Consolidated EBITDA for such period, without duplication, the Acquired EBITDA of any Person or business, or attributable to any property or asset, acquired by the Borrower or any Subsidiary during such period (but not the Acquired EBITDA of any related Person or business or any Acquired EBITDA attributable to any assets or property, in each case to the extent not so acquired) in connection with a Permitted Acquisition to the extent not subsequently sold, transferred, abandoned or otherwise disposed of by the Borrower or such Subsidiary during such period, based on the actual Acquired EBITDA of such acquired entity or business for such period (including the portion thereof occurring prior to such acquisition) and (iii) there shall be excluded in determining Consolidated EBITDA for such period, without duplication, the Disposed EBITDA of any Person or business, or attributable to any property or asset, disposed of by the Borrower or any Subsidiary during such period in connection with a Specified Disposition or discontinuation of operations, based on the Disposed EBITDA of such disposed entity or business or discontinued operations for such period (including the portion thereof occurring prior to such disposition or discontinuation);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amounts shall be without duplication of any adjustments that are already included in the calculation of Consolidated EBITDA;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80"/>
          </w:cols>
          <w:pgMar w:left="300" w:top="1181" w:right="319" w:bottom="1440" w:gutter="0" w:footer="0" w:header="0"/>
        </w:sectPr>
      </w:pPr>
    </w:p>
    <w:bookmarkStart w:id="432" w:name="page433"/>
    <w:bookmarkEnd w:id="432"/>
    <w:p>
      <w:pPr>
        <w:jc w:val="both"/>
        <w:ind w:firstLine="509"/>
        <w:spacing w:after="0" w:line="239" w:lineRule="auto"/>
        <w:tabs>
          <w:tab w:leader="none" w:pos="899"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Borrower or any Subsidiary thereof incurs (including by assumption or guarantees) or repays (including by redemption, repayment, retirement, discharge, defeasance or extinguishment) any Indebtedness included in the calculations of any financial ratio or test (in each case, other than Indebtedness incurred or repaid under any revolving credit facility in the ordinary course of business for working capital purposes), (i) during the applicable Reference Period or (ii) subsequent to the end of the applicable Reference Period and prior to or simultaneously with the event for which the calculation of any such ratio is made, then such financial ratio or test shall be calculated giving </w:t>
      </w:r>
      <w:r>
        <w:rPr>
          <w:rFonts w:ascii="Times New Roman" w:cs="Times New Roman" w:eastAsia="Times New Roman" w:hAnsi="Times New Roman"/>
          <w:sz w:val="17"/>
          <w:szCs w:val="17"/>
          <w:u w:val="single" w:color="auto"/>
          <w:color w:val="auto"/>
        </w:rPr>
        <w:t>pro forma</w:t>
      </w:r>
      <w:r>
        <w:rPr>
          <w:rFonts w:ascii="Times New Roman" w:cs="Times New Roman" w:eastAsia="Times New Roman" w:hAnsi="Times New Roman"/>
          <w:sz w:val="17"/>
          <w:szCs w:val="17"/>
          <w:color w:val="auto"/>
        </w:rPr>
        <w:t xml:space="preserve"> effect to such incurrence or repayment of Indebtedness, to the extent required, as if the same had occurred on the first day of the applicable Reference Period and any such Indebtedness that is incurred (including by assumption or guarantee) that has a floating or formula rate of interest shall have an implied rate of interest for the applicable period determined by utilizing the rate which is or would be in effect with respect to such Indebtedness as of the relevant date of determination.</w:t>
      </w:r>
    </w:p>
    <w:p>
      <w:pPr>
        <w:spacing w:after="0" w:line="156"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 means any right or interest in or to property of any kind whatsoever, whether real, personal or mixed and whether tangible or intangible, including Equity Interests.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Fund Adviser</w:t>
      </w:r>
      <w:r>
        <w:rPr>
          <w:rFonts w:ascii="Times New Roman" w:cs="Times New Roman" w:eastAsia="Times New Roman" w:hAnsi="Times New Roman"/>
          <w:sz w:val="17"/>
          <w:szCs w:val="17"/>
          <w:color w:val="auto"/>
        </w:rPr>
        <w:t>” means Wealthfront Strategies LLC.</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Lenders</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Qualified Equity Interests</w:t>
      </w:r>
      <w:r>
        <w:rPr>
          <w:rFonts w:ascii="Times New Roman" w:cs="Times New Roman" w:eastAsia="Times New Roman" w:hAnsi="Times New Roman"/>
          <w:sz w:val="17"/>
          <w:szCs w:val="17"/>
          <w:color w:val="auto"/>
        </w:rPr>
        <w:t>” means any Equity Interests that are not Disqualified Equity Interests.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w:t>
      </w:r>
      <w:r>
        <w:rPr>
          <w:rFonts w:ascii="Times New Roman" w:cs="Times New Roman" w:eastAsia="Times New Roman" w:hAnsi="Times New Roman"/>
          <w:sz w:val="17"/>
          <w:szCs w:val="17"/>
          <w:color w:val="auto"/>
        </w:rPr>
        <w:t>” means (a) the Administrative Agent, (b) any Lender or (c) any Issuing Lender, as applicable.</w:t>
      </w:r>
    </w:p>
    <w:p>
      <w:pPr>
        <w:spacing w:after="0" w:line="172"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Period</w:t>
      </w:r>
      <w:r>
        <w:rPr>
          <w:rFonts w:ascii="Times New Roman" w:cs="Times New Roman" w:eastAsia="Times New Roman" w:hAnsi="Times New Roman"/>
          <w:sz w:val="17"/>
          <w:szCs w:val="17"/>
          <w:color w:val="auto"/>
        </w:rPr>
        <w:t>” means, as of any date of determination, the period of four (4) consecutive fiscal quarters ended on or immediately prior to such date for which financial statements of the Borrower and its Subsidiaries have been delivered to the Administrative Agent hereunder.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12.9(c)</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Reimbursement Obligation</w:t>
      </w:r>
      <w:r>
        <w:rPr>
          <w:rFonts w:ascii="Times New Roman" w:cs="Times New Roman" w:eastAsia="Times New Roman" w:hAnsi="Times New Roman"/>
          <w:sz w:val="17"/>
          <w:szCs w:val="17"/>
          <w:color w:val="auto"/>
        </w:rPr>
        <w:t xml:space="preserve">” means the obligation of the Borrower to reimburse any Issuing Lender pursuant to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for amounts drawn under Letters of Credit issued by such Issuing Lender.</w:t>
      </w:r>
    </w:p>
    <w:p>
      <w:pPr>
        <w:spacing w:after="0" w:line="125" w:lineRule="exact"/>
        <w:rPr>
          <w:sz w:val="20"/>
          <w:szCs w:val="20"/>
          <w:color w:val="auto"/>
        </w:rPr>
      </w:pPr>
    </w:p>
    <w:p>
      <w:pPr>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14" w:lineRule="exact"/>
        <w:rPr>
          <w:sz w:val="20"/>
          <w:szCs w:val="20"/>
          <w:color w:val="auto"/>
        </w:rPr>
      </w:pPr>
    </w:p>
    <w:p>
      <w:pPr>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the FRB or the Federal Reserve Bank of New York, or a committee officially endorsed or convened by the FRB or the Federal Reserve Bank of New York,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80"/>
          </w:cols>
          <w:pgMar w:left="300" w:top="1181" w:right="319" w:bottom="1440" w:gutter="0" w:footer="0" w:header="0"/>
        </w:sectPr>
      </w:pPr>
    </w:p>
    <w:bookmarkStart w:id="433" w:name="page434"/>
    <w:bookmarkEnd w:id="433"/>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Removal Effective Date</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11.6(b).</w:t>
      </w:r>
    </w:p>
    <w:p>
      <w:pPr>
        <w:spacing w:after="0" w:line="16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means, at any time, Lenders having Total Credit Exposure representing more than fifty percent (50%) of the Total Credit Exposure of all Lenders. The Total Credit Exposure of any Defaulting Lender shall be disregarded in determining Required Lenders at any time.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Resignation Effective Date</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11.6(a)</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Resolution Authority</w:t>
      </w:r>
      <w:r>
        <w:rPr>
          <w:rFonts w:ascii="Times New Roman" w:cs="Times New Roman" w:eastAsia="Times New Roman" w:hAnsi="Times New Roman"/>
          <w:sz w:val="17"/>
          <w:szCs w:val="17"/>
          <w:color w:val="auto"/>
        </w:rPr>
        <w:t>” means an EEA Resolution Authority or, with respect to any UK Financial Institution, a UK Resolution Authority.</w:t>
      </w:r>
    </w:p>
    <w:p>
      <w:pPr>
        <w:spacing w:after="0" w:line="172" w:lineRule="exact"/>
        <w:rPr>
          <w:sz w:val="20"/>
          <w:szCs w:val="20"/>
          <w:color w:val="auto"/>
        </w:rPr>
      </w:pPr>
    </w:p>
    <w:p>
      <w:pPr>
        <w:jc w:val="both"/>
        <w:ind w:firstLine="505"/>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Responsible Officer</w:t>
      </w:r>
      <w:r>
        <w:rPr>
          <w:rFonts w:ascii="Times New Roman" w:cs="Times New Roman" w:eastAsia="Times New Roman" w:hAnsi="Times New Roman"/>
          <w:sz w:val="17"/>
          <w:szCs w:val="17"/>
          <w:color w:val="auto"/>
        </w:rPr>
        <w:t xml:space="preserve">” means, as to any Person, the chief executive officer, president, chief financial officer, controller, treasurer or assistant treasurer of such Person or any other officer of such Person designated in writing by the Borrower or such Person and reasonably acceptable to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requested thereby, the Administrative Agent shall have received a certificate of such Person certifying as to the incumbency and genuineness of the signature of each such officer. Any document delivered hereunder or under any other Loan Document that is signed by a Responsible Officer of a Person shall be conclusively presumed to have been authorized by all necessary corporate, limited liability company, partnership and/or other action on the part of such Person and such Responsible Officer shall be conclusively presumed to have acted on behalf of such Person.</w:t>
      </w:r>
    </w:p>
    <w:p>
      <w:pPr>
        <w:spacing w:after="0" w:line="142"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Payment</w:t>
      </w:r>
      <w:r>
        <w:rPr>
          <w:rFonts w:ascii="Times New Roman" w:cs="Times New Roman" w:eastAsia="Times New Roman" w:hAnsi="Times New Roman"/>
          <w:sz w:val="17"/>
          <w:szCs w:val="17"/>
          <w:color w:val="auto"/>
        </w:rPr>
        <w:t>” means any dividend on, or the making of any payment or other distribution on account of, or the purchase, redemption, retirement or other acquisition (directly or indirectly) of, or the setting apart assets for a sinking or other analogous fund for the purchase, redemption, retirement or other acquisition of, any class of Equity Interests of any Credit Party or any Subsidiary thereof, or the making of any distribution of cash, property or assets to the holders of any Equity Interests of any Credit Party or any Subsidiary thereof on account of such Equity Interests.</w:t>
      </w:r>
    </w:p>
    <w:p>
      <w:pPr>
        <w:spacing w:after="0" w:line="148"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Commitment</w:t>
      </w:r>
      <w:r>
        <w:rPr>
          <w:rFonts w:ascii="Times New Roman" w:cs="Times New Roman" w:eastAsia="Times New Roman" w:hAnsi="Times New Roman"/>
          <w:sz w:val="17"/>
          <w:szCs w:val="17"/>
          <w:color w:val="auto"/>
        </w:rPr>
        <w:t xml:space="preserve">” means (a) as to any Revolving Credit Lender, the obligation of such Revolving Credit Lender to make Revolving Credit Loans to, and to purchase participations in L/C Obligations and Swingline Loans for the account of, the Borrower hereunder in an aggregate principal amount at any time outstanding not to exceed the amount set forth opposite such Revolving Credit Lender’s name on the Register, as such amount may be modified at any time or from time to time pursuant to the terms hereof (including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and (b) as to all Revolving Credit Lenders, the aggregate commitment of all Revolving Credit Lenders to make Revolving Credit Loans, as such amount may be modified at any time or from time to time pursuant to the terms hereof (including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The aggregate Revolving Credit Commitment of all the Revolving Credit Lenders on the Closing Date shall be $250,000,000. The Revolving Credit Commitment of each Revolving Credit Lender on the Closing Date is set forth opposite the name of such Lender on </w:t>
      </w:r>
      <w:r>
        <w:rPr>
          <w:rFonts w:ascii="Times New Roman" w:cs="Times New Roman" w:eastAsia="Times New Roman" w:hAnsi="Times New Roman"/>
          <w:sz w:val="17"/>
          <w:szCs w:val="17"/>
          <w:u w:val="single" w:color="auto"/>
          <w:color w:val="auto"/>
        </w:rPr>
        <w:t>Schedule 1.1(a)</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Commitment Percentage</w:t>
      </w:r>
      <w:r>
        <w:rPr>
          <w:rFonts w:ascii="Times New Roman" w:cs="Times New Roman" w:eastAsia="Times New Roman" w:hAnsi="Times New Roman"/>
          <w:sz w:val="17"/>
          <w:szCs w:val="17"/>
          <w:color w:val="auto"/>
        </w:rPr>
        <w:t>” means, with respect to any Revolving Credit Lender at any time, the percentage of the total Revolving Credit Commitments of all the Revolving Credit Lenders represented by such Revolving Credit Lender’s Revolving Credit Commitment.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1180" w:right="319" w:bottom="1440" w:gutter="0" w:footer="0" w:header="0"/>
        </w:sectPr>
      </w:pPr>
    </w:p>
    <w:bookmarkStart w:id="434" w:name="page435"/>
    <w:bookmarkEnd w:id="434"/>
    <w:p>
      <w:pPr>
        <w:jc w:val="both"/>
        <w:spacing w:after="0" w:line="246" w:lineRule="auto"/>
        <w:rPr>
          <w:sz w:val="20"/>
          <w:szCs w:val="20"/>
          <w:color w:val="auto"/>
        </w:rPr>
      </w:pPr>
      <w:r>
        <w:rPr>
          <w:rFonts w:ascii="Times New Roman" w:cs="Times New Roman" w:eastAsia="Times New Roman" w:hAnsi="Times New Roman"/>
          <w:sz w:val="17"/>
          <w:szCs w:val="17"/>
          <w:color w:val="auto"/>
        </w:rPr>
        <w:t>the Revolving Credit Commitments have terminated or expired, the Revolving Credit Commitment Percentages shall be determined based upon the Revolving Credit Commitments most recently in effect, giving effect to any assignments.</w:t>
      </w:r>
    </w:p>
    <w:p>
      <w:pPr>
        <w:spacing w:after="0" w:line="135"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Exposure</w:t>
      </w:r>
      <w:r>
        <w:rPr>
          <w:rFonts w:ascii="Times New Roman" w:cs="Times New Roman" w:eastAsia="Times New Roman" w:hAnsi="Times New Roman"/>
          <w:sz w:val="17"/>
          <w:szCs w:val="17"/>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35"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Facility</w:t>
      </w:r>
      <w:r>
        <w:rPr>
          <w:rFonts w:ascii="Times New Roman" w:cs="Times New Roman" w:eastAsia="Times New Roman" w:hAnsi="Times New Roman"/>
          <w:sz w:val="17"/>
          <w:szCs w:val="17"/>
          <w:color w:val="auto"/>
        </w:rPr>
        <w:t xml:space="preserve">” means the revolving credit facility established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(including any increase in such revolving credit facility pursuant to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Lenders</w:t>
      </w:r>
      <w:r>
        <w:rPr>
          <w:rFonts w:ascii="Times New Roman" w:cs="Times New Roman" w:eastAsia="Times New Roman" w:hAnsi="Times New Roman"/>
          <w:sz w:val="17"/>
          <w:szCs w:val="17"/>
          <w:color w:val="auto"/>
        </w:rPr>
        <w:t>” means, collectively, all of the Lenders with a Revolving Credit Commitment or if the Revolving Credit Commitment has been terminated, all Lenders having Revolving Credit Exposure.</w:t>
      </w:r>
    </w:p>
    <w:p>
      <w:pPr>
        <w:spacing w:after="0" w:line="114"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Loan</w:t>
      </w:r>
      <w:r>
        <w:rPr>
          <w:rFonts w:ascii="Times New Roman" w:cs="Times New Roman" w:eastAsia="Times New Roman" w:hAnsi="Times New Roman"/>
          <w:sz w:val="17"/>
          <w:szCs w:val="17"/>
          <w:color w:val="auto"/>
        </w:rPr>
        <w:t xml:space="preserve">” means any revolving loan made to the Borrower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and all such revolving loans collectively as the context requires.</w:t>
      </w:r>
    </w:p>
    <w:p>
      <w:pPr>
        <w:spacing w:after="0" w:line="125"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Maturity Date</w:t>
      </w:r>
      <w:r>
        <w:rPr>
          <w:rFonts w:ascii="Times New Roman" w:cs="Times New Roman" w:eastAsia="Times New Roman" w:hAnsi="Times New Roman"/>
          <w:sz w:val="17"/>
          <w:szCs w:val="17"/>
          <w:color w:val="auto"/>
        </w:rPr>
        <w:t xml:space="preserve">” means the earliest to occur of (a) October 13, 2028, (b) the date of termination of the entire Revolving Credit Commitment by the Borrower pursuant to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(c) the date of termination of the Revolving Credit Commitment pursuant to </w:t>
      </w:r>
      <w:r>
        <w:rPr>
          <w:rFonts w:ascii="Times New Roman" w:cs="Times New Roman" w:eastAsia="Times New Roman" w:hAnsi="Times New Roman"/>
          <w:sz w:val="17"/>
          <w:szCs w:val="17"/>
          <w:u w:val="single" w:color="auto"/>
          <w:color w:val="auto"/>
        </w:rPr>
        <w:t>Section 10.2(a)</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Note</w:t>
      </w:r>
      <w:r>
        <w:rPr>
          <w:rFonts w:ascii="Times New Roman" w:cs="Times New Roman" w:eastAsia="Times New Roman" w:hAnsi="Times New Roman"/>
          <w:sz w:val="17"/>
          <w:szCs w:val="17"/>
          <w:color w:val="auto"/>
        </w:rPr>
        <w:t xml:space="preserve">” means a promissory note made by the Borrower in favor of a Revolving Credit Lender evidencing the Revolving Credit Loans made by such Revolving Credit Lender, substantially in the form attached as </w:t>
      </w:r>
      <w:r>
        <w:rPr>
          <w:rFonts w:ascii="Times New Roman" w:cs="Times New Roman" w:eastAsia="Times New Roman" w:hAnsi="Times New Roman"/>
          <w:sz w:val="17"/>
          <w:szCs w:val="17"/>
          <w:b w:val="1"/>
          <w:bCs w:val="1"/>
          <w:i w:val="1"/>
          <w:iCs w:val="1"/>
          <w:color w:val="auto"/>
        </w:rPr>
        <w:t>Exhibit A-1</w:t>
      </w:r>
      <w:r>
        <w:rPr>
          <w:rFonts w:ascii="Times New Roman" w:cs="Times New Roman" w:eastAsia="Times New Roman" w:hAnsi="Times New Roman"/>
          <w:sz w:val="17"/>
          <w:szCs w:val="17"/>
          <w:color w:val="auto"/>
        </w:rPr>
        <w:t>, and any substitutes therefor, and any replacements, restatements, renewals or extension thereof, in whole or in part.</w:t>
      </w:r>
    </w:p>
    <w:p>
      <w:pPr>
        <w:spacing w:after="0" w:line="141"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Outstandings</w:t>
      </w:r>
      <w:r>
        <w:rPr>
          <w:rFonts w:ascii="Times New Roman" w:cs="Times New Roman" w:eastAsia="Times New Roman" w:hAnsi="Times New Roman"/>
          <w:sz w:val="17"/>
          <w:szCs w:val="17"/>
          <w:color w:val="auto"/>
        </w:rPr>
        <w:t xml:space="preserve">” means the </w:t>
      </w:r>
      <w:r>
        <w:rPr>
          <w:rFonts w:ascii="Times New Roman" w:cs="Times New Roman" w:eastAsia="Times New Roman" w:hAnsi="Times New Roman"/>
          <w:sz w:val="17"/>
          <w:szCs w:val="17"/>
          <w:u w:val="single" w:color="auto"/>
          <w:color w:val="auto"/>
        </w:rPr>
        <w:t>sum</w:t>
      </w:r>
      <w:r>
        <w:rPr>
          <w:rFonts w:ascii="Times New Roman" w:cs="Times New Roman" w:eastAsia="Times New Roman" w:hAnsi="Times New Roman"/>
          <w:sz w:val="17"/>
          <w:szCs w:val="17"/>
          <w:color w:val="auto"/>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with respect to any L/C Obligations on any date,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S&amp;P</w:t>
      </w:r>
      <w:r>
        <w:rPr>
          <w:rFonts w:ascii="Times New Roman" w:cs="Times New Roman" w:eastAsia="Times New Roman" w:hAnsi="Times New Roman"/>
          <w:sz w:val="17"/>
          <w:szCs w:val="17"/>
          <w:color w:val="auto"/>
        </w:rPr>
        <w:t>” means Standard &amp; Poor’s Rating Service, a division of S&amp;P Global Inc. and any successor thereto.</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Country</w:t>
      </w:r>
      <w:r>
        <w:rPr>
          <w:rFonts w:ascii="Times New Roman" w:cs="Times New Roman" w:eastAsia="Times New Roman" w:hAnsi="Times New Roman"/>
          <w:sz w:val="17"/>
          <w:szCs w:val="17"/>
          <w:color w:val="auto"/>
        </w:rPr>
        <w:t>” means at any time, a country, region or territory which is itself (or whose government is) the subject or target of any Sanctions.</w:t>
      </w:r>
    </w:p>
    <w:p>
      <w:pPr>
        <w:spacing w:after="0" w:line="151"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1180" w:right="319" w:bottom="1440" w:gutter="0" w:footer="0" w:header="0"/>
        </w:sectPr>
      </w:pPr>
    </w:p>
    <w:bookmarkStart w:id="435" w:name="page436"/>
    <w:bookmarkEnd w:id="435"/>
    <w:p>
      <w:pPr>
        <w:jc w:val="both"/>
        <w:spacing w:after="0" w:line="254" w:lineRule="auto"/>
        <w:rPr>
          <w:sz w:val="20"/>
          <w:szCs w:val="20"/>
          <w:color w:val="auto"/>
        </w:rPr>
      </w:pPr>
      <w:r>
        <w:rPr>
          <w:rFonts w:ascii="Times New Roman" w:cs="Times New Roman" w:eastAsia="Times New Roman" w:hAnsi="Times New Roman"/>
          <w:sz w:val="17"/>
          <w:szCs w:val="17"/>
          <w:color w:val="auto"/>
        </w:rPr>
        <w:t>Majesty’s Treasury,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w:t>
      </w:r>
    </w:p>
    <w:p>
      <w:pPr>
        <w:spacing w:after="0" w:line="140"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or other relevant sanctions authority in any jurisdiction in which (a) the Borrower or any of its Subsidiaries or Affiliates is located or conducts business, (b) in which any of the proceeds of the Extensions of Credit will be used, or (c) from which repayment of the Extensions of Credit will be derived.</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U.S. Securities and Exchange Commission, or any Governmental Authority succeeding to any of its principal functions.</w:t>
      </w:r>
    </w:p>
    <w:p>
      <w:pPr>
        <w:spacing w:after="0" w:line="183"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Cash Management Agreement</w:t>
      </w:r>
      <w:r>
        <w:rPr>
          <w:rFonts w:ascii="Times New Roman" w:cs="Times New Roman" w:eastAsia="Times New Roman" w:hAnsi="Times New Roman"/>
          <w:sz w:val="17"/>
          <w:szCs w:val="17"/>
          <w:color w:val="auto"/>
        </w:rPr>
        <w:t>” means (a) any Cash Management Agreement in effect on the Closing Date between or among any Credit Party or any of its Subsidiaries and a counterparty that is (i) a Lender, (ii) the Administrative Agent or (iii) an Affiliate of a Lender or the Administrative Agent, in each case as determined as of the Closing Date or (b) any Cash Management Agreement entered into after the Closing Date between or among any Credit Party or any of its Subsidiaries and a counterparty that is (i) a Lender, (ii) the Administrative Agent or (iii) an Affiliate of a Lender or the Administrative Agent, in each case as determined at the time such Cash Management Agreement is entered into.</w:t>
      </w:r>
    </w:p>
    <w:p>
      <w:pPr>
        <w:spacing w:after="0" w:line="141" w:lineRule="exact"/>
        <w:rPr>
          <w:sz w:val="20"/>
          <w:szCs w:val="20"/>
          <w:color w:val="auto"/>
        </w:rPr>
      </w:pPr>
    </w:p>
    <w:p>
      <w:pPr>
        <w:jc w:val="both"/>
        <w:ind w:firstLine="505"/>
        <w:spacing w:after="0" w:line="28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Cash Management Obligations</w:t>
      </w:r>
      <w:r>
        <w:rPr>
          <w:rFonts w:ascii="Times New Roman" w:cs="Times New Roman" w:eastAsia="Times New Roman" w:hAnsi="Times New Roman"/>
          <w:sz w:val="17"/>
          <w:szCs w:val="17"/>
          <w:color w:val="auto"/>
        </w:rPr>
        <w:t>” means all existing or future payment and other obligations owing by any Credit Party or any of its Subsidiaries under any Secured Cash Management Agreement.</w:t>
      </w:r>
    </w:p>
    <w:p>
      <w:pPr>
        <w:spacing w:after="0" w:line="114"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Hedge Agreement</w:t>
      </w:r>
      <w:r>
        <w:rPr>
          <w:rFonts w:ascii="Times New Roman" w:cs="Times New Roman" w:eastAsia="Times New Roman" w:hAnsi="Times New Roman"/>
          <w:sz w:val="17"/>
          <w:szCs w:val="17"/>
          <w:color w:val="auto"/>
        </w:rPr>
        <w:t>” means (a) any Hedge Agreement in effect on the Closing Date between or among any Credit Party or any of its Subsidiaries and a counterparty that is (i) a Lender, (ii) the Administrative Agent or (iii) an Affiliate of a Lender or the Administrative Agent, in each case as determined as of the Closing Date or (b) any Hedge Agreement entered into after the Closing Date between or among any Credit Party or any of its Subsidiaries and a counterparty that is (i) a Lender, (ii) the Administrative Agent or (iii) an Affiliate of a Lender or the Administrative Agent, in each case as determined at the time such Hedge Agreement is entered into.</w:t>
      </w:r>
    </w:p>
    <w:p>
      <w:pPr>
        <w:spacing w:after="0" w:line="139"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Hedge Obligations</w:t>
      </w:r>
      <w:r>
        <w:rPr>
          <w:rFonts w:ascii="Times New Roman" w:cs="Times New Roman" w:eastAsia="Times New Roman" w:hAnsi="Times New Roman"/>
          <w:sz w:val="17"/>
          <w:szCs w:val="17"/>
          <w:color w:val="auto"/>
        </w:rPr>
        <w:t xml:space="preserve">” means all existing or future payment and other obligations owing by any Credit Party or any of its Subsidiaries under any Secured Hedge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“Secured Hedge Obligations” of a Credit Party shall exclude any Excluded Swap Obligations with respect to such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80"/>
          </w:cols>
          <w:pgMar w:left="300" w:top="1191" w:right="319" w:bottom="1440" w:gutter="0" w:footer="0" w:header="0"/>
        </w:sectPr>
      </w:pPr>
    </w:p>
    <w:bookmarkStart w:id="436" w:name="page437"/>
    <w:bookmarkEnd w:id="436"/>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Obligations</w:t>
      </w:r>
      <w:r>
        <w:rPr>
          <w:rFonts w:ascii="Times New Roman" w:cs="Times New Roman" w:eastAsia="Times New Roman" w:hAnsi="Times New Roman"/>
          <w:sz w:val="17"/>
          <w:szCs w:val="17"/>
          <w:color w:val="auto"/>
        </w:rPr>
        <w:t>” means, collectively, (a) the Obligations, (b) any Secured Hedge Obligations and (c) any Secured Cash Management Obligations.</w:t>
      </w:r>
    </w:p>
    <w:p>
      <w:pPr>
        <w:spacing w:after="0" w:line="162"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Parties</w:t>
      </w:r>
      <w:r>
        <w:rPr>
          <w:rFonts w:ascii="Times New Roman" w:cs="Times New Roman" w:eastAsia="Times New Roman" w:hAnsi="Times New Roman"/>
          <w:sz w:val="17"/>
          <w:szCs w:val="17"/>
          <w:color w:val="auto"/>
        </w:rPr>
        <w:t xml:space="preserve">” means, collectively, the Administrative Agent, the Lenders, the Issuing Lenders, the holders of any Secured Hedge Obligations, the holders of any Secured Cash Management Obligations, each co-agent or sub-agent appointed by the Administrative Agent from time to time pursuant to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any other holder from time to time of any of any Secured Obligations and, in each case, their respective successors and permitted assigns.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xml:space="preserve">” means the Securities Act of 1933 (15 U.S.C. § 77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 Documents</w:t>
      </w:r>
      <w:r>
        <w:rPr>
          <w:rFonts w:ascii="Times New Roman" w:cs="Times New Roman" w:eastAsia="Times New Roman" w:hAnsi="Times New Roman"/>
          <w:sz w:val="17"/>
          <w:szCs w:val="17"/>
          <w:color w:val="auto"/>
        </w:rPr>
        <w:t>” means the collective reference to the Collateral Agreement, and each other agreement or writing pursuant to which any Credit Party pledges or grants a security interest in any Property or assets securing the Secured Obligations.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Simple SOFR Rate Day</w:t>
      </w:r>
      <w:r>
        <w:rPr>
          <w:rFonts w:ascii="Times New Roman" w:cs="Times New Roman" w:eastAsia="Times New Roman" w:hAnsi="Times New Roman"/>
          <w:sz w:val="17"/>
          <w:szCs w:val="17"/>
          <w:color w:val="auto"/>
        </w:rPr>
        <w:t>” has the meaning specified in the definition of “</w:t>
      </w:r>
      <w:r>
        <w:rPr>
          <w:rFonts w:ascii="Times New Roman" w:cs="Times New Roman" w:eastAsia="Times New Roman" w:hAnsi="Times New Roman"/>
          <w:sz w:val="17"/>
          <w:szCs w:val="17"/>
          <w:i w:val="1"/>
          <w:iCs w:val="1"/>
          <w:color w:val="auto"/>
        </w:rPr>
        <w:t>Adjusted Daily Simple SOFR</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means a rate equal to the secured overnight financing rate as administered by the SOFR Administrator.</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Administrator</w:t>
      </w:r>
      <w:r>
        <w:rPr>
          <w:rFonts w:ascii="Times New Roman" w:cs="Times New Roman" w:eastAsia="Times New Roman" w:hAnsi="Times New Roman"/>
          <w:sz w:val="17"/>
          <w:szCs w:val="17"/>
          <w:color w:val="auto"/>
        </w:rPr>
        <w:t>” means the Federal Reserve Bank of New York (or a successor administrator of the secured overnight financing rate).</w:t>
      </w:r>
    </w:p>
    <w:p>
      <w:pPr>
        <w:spacing w:after="0" w:line="17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Administrator’s Website</w:t>
      </w:r>
      <w:r>
        <w:rPr>
          <w:rFonts w:ascii="Times New Roman" w:cs="Times New Roman" w:eastAsia="Times New Roman" w:hAnsi="Times New Roman"/>
          <w:sz w:val="17"/>
          <w:szCs w:val="17"/>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Determination Day</w:t>
      </w:r>
      <w:r>
        <w:rPr>
          <w:rFonts w:ascii="Times New Roman" w:cs="Times New Roman" w:eastAsia="Times New Roman" w:hAnsi="Times New Roman"/>
          <w:sz w:val="17"/>
          <w:szCs w:val="17"/>
          <w:color w:val="auto"/>
        </w:rPr>
        <w:t>” has the meaning specified in the definition of “</w:t>
      </w:r>
      <w:r>
        <w:rPr>
          <w:rFonts w:ascii="Times New Roman" w:cs="Times New Roman" w:eastAsia="Times New Roman" w:hAnsi="Times New Roman"/>
          <w:sz w:val="17"/>
          <w:szCs w:val="17"/>
          <w:i w:val="1"/>
          <w:iCs w:val="1"/>
          <w:color w:val="auto"/>
        </w:rPr>
        <w:t>Adjusted Daily Simple SOFR</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Loan</w:t>
      </w:r>
      <w:r>
        <w:rPr>
          <w:rFonts w:ascii="Times New Roman" w:cs="Times New Roman" w:eastAsia="Times New Roman" w:hAnsi="Times New Roman"/>
          <w:sz w:val="17"/>
          <w:szCs w:val="17"/>
          <w:color w:val="auto"/>
        </w:rPr>
        <w:t xml:space="preserve">” means any Loan bearing interest at a rate based on Adjusted Daily Simple SOFR as provided in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Solvent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Solvency</w:t>
      </w:r>
      <w:r>
        <w:rPr>
          <w:rFonts w:ascii="Times New Roman" w:cs="Times New Roman" w:eastAsia="Times New Roman" w:hAnsi="Times New Roman"/>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w:t>
      </w:r>
    </w:p>
    <w:p>
      <w:pPr>
        <w:jc w:val="both"/>
        <w:ind w:firstLine="4"/>
        <w:spacing w:after="0" w:line="241" w:lineRule="auto"/>
        <w:tabs>
          <w:tab w:leader="none" w:pos="231"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is able to pay its debts and liabilities, contingent obligations and other commitments as they mature in the ordinary course of business.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80"/>
          </w:cols>
          <w:pgMar w:left="300" w:top="1181" w:right="319" w:bottom="1440" w:gutter="0" w:footer="0" w:header="0"/>
        </w:sectPr>
      </w:pPr>
    </w:p>
    <w:bookmarkStart w:id="437" w:name="page438"/>
    <w:bookmarkEnd w:id="437"/>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Disposition</w:t>
      </w:r>
      <w:r>
        <w:rPr>
          <w:rFonts w:ascii="Times New Roman" w:cs="Times New Roman" w:eastAsia="Times New Roman" w:hAnsi="Times New Roman"/>
          <w:sz w:val="17"/>
          <w:szCs w:val="17"/>
          <w:color w:val="auto"/>
        </w:rPr>
        <w:t>” means any Asset Disposition having gross sales proceeds in excess of $25,000,000.</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Transactions</w:t>
      </w:r>
      <w:r>
        <w:rPr>
          <w:rFonts w:ascii="Times New Roman" w:cs="Times New Roman" w:eastAsia="Times New Roman" w:hAnsi="Times New Roman"/>
          <w:sz w:val="17"/>
          <w:szCs w:val="17"/>
          <w:color w:val="auto"/>
        </w:rPr>
        <w:t>” means (a) any Specified Disposition and (b) any Permitted Acquisition.</w:t>
      </w:r>
    </w:p>
    <w:p>
      <w:pPr>
        <w:spacing w:after="0" w:line="162"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Subordinated Indebtedness</w:t>
      </w:r>
      <w:r>
        <w:rPr>
          <w:rFonts w:ascii="Times New Roman" w:cs="Times New Roman" w:eastAsia="Times New Roman" w:hAnsi="Times New Roman"/>
          <w:sz w:val="17"/>
          <w:szCs w:val="17"/>
          <w:color w:val="auto"/>
        </w:rPr>
        <w:t>” means the collective reference to any Indebtedness incurred by the Borrower or any of its Subsidiaries that is subordinated in right and time of payment to the Obligations on terms and conditions reasonably satisfactory to the Administrative Agent.</w:t>
      </w:r>
    </w:p>
    <w:p>
      <w:pPr>
        <w:spacing w:after="0" w:line="135" w:lineRule="exact"/>
        <w:rPr>
          <w:sz w:val="20"/>
          <w:szCs w:val="20"/>
          <w:color w:val="auto"/>
        </w:rPr>
      </w:pPr>
    </w:p>
    <w:p>
      <w:pPr>
        <w:jc w:val="both"/>
        <w:ind w:firstLine="505"/>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as to any Person, any corporation, partnership, limited liability company or other entity (a)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(b)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Subsidiaries</w:t>
      </w:r>
      <w:r>
        <w:rPr>
          <w:rFonts w:ascii="Times New Roman" w:cs="Times New Roman" w:eastAsia="Times New Roman" w:hAnsi="Times New Roman"/>
          <w:sz w:val="16"/>
          <w:szCs w:val="16"/>
          <w:color w:val="auto"/>
        </w:rPr>
        <w:t>” herein shall refer to those of the Borrower. Notwithstanding anything to the contrary herein, neither Wealthfront Holdings nor Wealthfront Home Lending shall be a “</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pursuant to clause (b) of this definition on the Closing Date (until such later date as clause (a) above applies to them).</w:t>
      </w:r>
    </w:p>
    <w:p>
      <w:pPr>
        <w:spacing w:after="0" w:line="125"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Obligation</w:t>
      </w:r>
      <w:r>
        <w:rPr>
          <w:rFonts w:ascii="Times New Roman" w:cs="Times New Roman" w:eastAsia="Times New Roman" w:hAnsi="Times New Roman"/>
          <w:sz w:val="17"/>
          <w:szCs w:val="17"/>
          <w:color w:val="auto"/>
        </w:rPr>
        <w:t>” means, with respect to any Credit Party, any obligation to pay or perform under any agreement, contract or transaction that constitutes a “swap” within the meaning of Section 1a(47) of the Commodity Exchange Act.</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Commitment</w:t>
      </w:r>
      <w:r>
        <w:rPr>
          <w:rFonts w:ascii="Times New Roman" w:cs="Times New Roman" w:eastAsia="Times New Roman" w:hAnsi="Times New Roman"/>
          <w:sz w:val="17"/>
          <w:szCs w:val="17"/>
          <w:color w:val="auto"/>
        </w:rPr>
        <w:t>” means the lesser of (a) $25,000,000 and (b) the aggregate amount of the Revolving Credit Commitments.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Facility</w:t>
      </w:r>
      <w:r>
        <w:rPr>
          <w:rFonts w:ascii="Times New Roman" w:cs="Times New Roman" w:eastAsia="Times New Roman" w:hAnsi="Times New Roman"/>
          <w:sz w:val="17"/>
          <w:szCs w:val="17"/>
          <w:color w:val="auto"/>
        </w:rPr>
        <w:t xml:space="preserve">” means the swingline facility established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Lender</w:t>
      </w:r>
      <w:r>
        <w:rPr>
          <w:rFonts w:ascii="Times New Roman" w:cs="Times New Roman" w:eastAsia="Times New Roman" w:hAnsi="Times New Roman"/>
          <w:sz w:val="17"/>
          <w:szCs w:val="17"/>
          <w:color w:val="auto"/>
        </w:rPr>
        <w:t>” means Wells Fargo in its capacity as swingline lender hereunder or any successor thereto.</w:t>
      </w:r>
    </w:p>
    <w:p>
      <w:pPr>
        <w:spacing w:after="0" w:line="151"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Loan</w:t>
      </w:r>
      <w:r>
        <w:rPr>
          <w:rFonts w:ascii="Times New Roman" w:cs="Times New Roman" w:eastAsia="Times New Roman" w:hAnsi="Times New Roman"/>
          <w:sz w:val="17"/>
          <w:szCs w:val="17"/>
          <w:color w:val="auto"/>
        </w:rPr>
        <w:t xml:space="preserve">” means any swingline loan made by the Swingline Lender to the Borrower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and all such swingline loans collectively as the context requires.</w:t>
      </w:r>
    </w:p>
    <w:p>
      <w:pPr>
        <w:spacing w:after="0" w:line="114"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Note</w:t>
      </w:r>
      <w:r>
        <w:rPr>
          <w:rFonts w:ascii="Times New Roman" w:cs="Times New Roman" w:eastAsia="Times New Roman" w:hAnsi="Times New Roman"/>
          <w:sz w:val="17"/>
          <w:szCs w:val="17"/>
          <w:color w:val="auto"/>
        </w:rPr>
        <w:t xml:space="preserve">” means a promissory note made by the Borrower in favor of the Swingline Lender evidencing the Swingline Loans made by the Swingline Lender, substantially in the form attached as </w:t>
      </w:r>
      <w:r>
        <w:rPr>
          <w:rFonts w:ascii="Times New Roman" w:cs="Times New Roman" w:eastAsia="Times New Roman" w:hAnsi="Times New Roman"/>
          <w:sz w:val="17"/>
          <w:szCs w:val="17"/>
          <w:b w:val="1"/>
          <w:bCs w:val="1"/>
          <w:i w:val="1"/>
          <w:iCs w:val="1"/>
          <w:color w:val="auto"/>
        </w:rPr>
        <w:t>Exhibit A-2</w:t>
      </w:r>
      <w:r>
        <w:rPr>
          <w:rFonts w:ascii="Times New Roman" w:cs="Times New Roman" w:eastAsia="Times New Roman" w:hAnsi="Times New Roman"/>
          <w:sz w:val="17"/>
          <w:szCs w:val="17"/>
          <w:color w:val="auto"/>
        </w:rPr>
        <w:t>, and any substitutes therefor, and any replacements, restatements, renewals or extension thereof, in whole or in part.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Participation Amount</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2.2(b)(iii)</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Synthetic Lease</w:t>
      </w:r>
      <w:r>
        <w:rPr>
          <w:rFonts w:ascii="Times New Roman" w:cs="Times New Roman" w:eastAsia="Times New Roman" w:hAnsi="Times New Roman"/>
          <w:sz w:val="17"/>
          <w:szCs w:val="17"/>
          <w:color w:val="auto"/>
        </w:rPr>
        <w:t>” means any synthetic lease, tax retention operating lease, off-balance sheet loan or similar off-balance sheet financing product where such transaction is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80"/>
          </w:cols>
          <w:pgMar w:left="300" w:top="1181" w:right="31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7"/>
          <w:szCs w:val="17"/>
          <w:color w:val="auto"/>
        </w:rPr>
        <w:t>borrowed money indebtedness for tax purposes but is classified as an operating lease in accordance with GAAP.</w:t>
      </w:r>
    </w:p>
    <w:p>
      <w:pPr>
        <w:spacing w:after="0" w:line="162"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Tangible Net Worth</w:t>
      </w:r>
      <w:r>
        <w:rPr>
          <w:rFonts w:ascii="Times New Roman" w:cs="Times New Roman" w:eastAsia="Times New Roman" w:hAnsi="Times New Roman"/>
          <w:sz w:val="17"/>
          <w:szCs w:val="17"/>
          <w:color w:val="auto"/>
        </w:rPr>
        <w:t>” means, for the Borrower and its Subsidiaries on a Consolidated basis, Shareholders’ Equity of the Borrower and its Subsidiaries on that date minus the Intangible Assets of the Borrower and its Subsidiaries on that date. For purposes of this definition, (a) “</w:t>
      </w:r>
      <w:r>
        <w:rPr>
          <w:rFonts w:ascii="Times New Roman" w:cs="Times New Roman" w:eastAsia="Times New Roman" w:hAnsi="Times New Roman"/>
          <w:sz w:val="17"/>
          <w:szCs w:val="17"/>
          <w:i w:val="1"/>
          <w:iCs w:val="1"/>
          <w:color w:val="auto"/>
        </w:rPr>
        <w:t>Shareholders’ Equity</w:t>
      </w:r>
      <w:r>
        <w:rPr>
          <w:rFonts w:ascii="Times New Roman" w:cs="Times New Roman" w:eastAsia="Times New Roman" w:hAnsi="Times New Roman"/>
          <w:sz w:val="17"/>
          <w:szCs w:val="17"/>
          <w:color w:val="auto"/>
        </w:rPr>
        <w:t>” means, as of any date of determination, consolidated shareholders’ equity of the Borrower and its Subsidiaries as of that date determined in accordance with GAAP, and (b) “</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means assets that are considered to be intangible assets under GAAP, including customer lists, goodwill, software, copyrights, trade names, trademarks, patents, franchises, licenses, unamortized deferred charges, unamortized debt discount and capitalized research and development costs.</w:t>
      </w:r>
    </w:p>
    <w:p>
      <w:pPr>
        <w:spacing w:after="0" w:line="138"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35"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Event</w:t>
      </w:r>
      <w:r>
        <w:rPr>
          <w:rFonts w:ascii="Times New Roman" w:cs="Times New Roman" w:eastAsia="Times New Roman" w:hAnsi="Times New Roman"/>
          <w:sz w:val="17"/>
          <w:szCs w:val="17"/>
          <w:color w:val="auto"/>
        </w:rPr>
        <w:t>” means the occurrence of any of the following which, individually or in the aggregate, has resulted or could reasonably be expected to result in liability of the Credit Parties in an aggregate amount in excess of the Threshold Amount: (a) a “Reportable Event” described in Section 4043 of ERISA,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within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Threshold Amount</w:t>
      </w:r>
      <w:r>
        <w:rPr>
          <w:rFonts w:ascii="Times New Roman" w:cs="Times New Roman" w:eastAsia="Times New Roman" w:hAnsi="Times New Roman"/>
          <w:sz w:val="17"/>
          <w:szCs w:val="17"/>
          <w:color w:val="auto"/>
        </w:rPr>
        <w:t>” means $25,000,000.</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Credit Exposure</w:t>
      </w:r>
      <w:r>
        <w:rPr>
          <w:rFonts w:ascii="Times New Roman" w:cs="Times New Roman" w:eastAsia="Times New Roman" w:hAnsi="Times New Roman"/>
          <w:sz w:val="17"/>
          <w:szCs w:val="17"/>
          <w:color w:val="auto"/>
        </w:rPr>
        <w:t>” means, as to any Lender at any time, the unused Commitments and Revolving Credit Exposure of such Lender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1181" w:right="319" w:bottom="1440" w:gutter="0" w:footer="0" w:header="0"/>
        </w:sectPr>
      </w:pPr>
    </w:p>
    <w:bookmarkStart w:id="439" w:name="page440"/>
    <w:bookmarkEnd w:id="439"/>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 Date</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12.9(f)(i)</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means, collectively, (a) the initial Extensions of Credit and (b) the payment of all fees, expenses and costs incurred in connection with the foregoing.</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UCC</w:t>
      </w:r>
      <w:r>
        <w:rPr>
          <w:rFonts w:ascii="Times New Roman" w:cs="Times New Roman" w:eastAsia="Times New Roman" w:hAnsi="Times New Roman"/>
          <w:sz w:val="17"/>
          <w:szCs w:val="17"/>
          <w:color w:val="auto"/>
        </w:rPr>
        <w:t>” means the Uniform Commercial Code as in effect in the State of New York.</w:t>
      </w:r>
    </w:p>
    <w:p>
      <w:pPr>
        <w:spacing w:after="0" w:line="172"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UK Financial Institution</w:t>
      </w:r>
      <w:r>
        <w:rPr>
          <w:rFonts w:ascii="Times New Roman" w:cs="Times New Roman" w:eastAsia="Times New Roman" w:hAnsi="Times New Roman"/>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37"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UK Resolution Authority</w:t>
      </w:r>
      <w:r>
        <w:rPr>
          <w:rFonts w:ascii="Times New Roman" w:cs="Times New Roman" w:eastAsia="Times New Roman" w:hAnsi="Times New Roman"/>
          <w:sz w:val="17"/>
          <w:szCs w:val="17"/>
          <w:color w:val="auto"/>
        </w:rPr>
        <w:t>” means the Bank of England or any other public administrative authority having responsibility for the resolution of any UK Financial Institution.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Unadjusted Benchmark Replacement</w:t>
      </w:r>
      <w:r>
        <w:rPr>
          <w:rFonts w:ascii="Times New Roman" w:cs="Times New Roman" w:eastAsia="Times New Roman" w:hAnsi="Times New Roman"/>
          <w:sz w:val="17"/>
          <w:szCs w:val="17"/>
          <w:color w:val="auto"/>
        </w:rPr>
        <w:t>” means the applicable Benchmark Replacement excluding the related Benchmark Replacement Adjustment.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United States</w:t>
      </w:r>
      <w:r>
        <w:rPr>
          <w:rFonts w:ascii="Times New Roman" w:cs="Times New Roman" w:eastAsia="Times New Roman" w:hAnsi="Times New Roman"/>
          <w:sz w:val="17"/>
          <w:szCs w:val="17"/>
          <w:color w:val="auto"/>
        </w:rPr>
        <w:t>” means the United States of America.</w:t>
      </w:r>
    </w:p>
    <w:p>
      <w:pPr>
        <w:spacing w:after="0" w:line="172"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United States Person</w:t>
      </w:r>
      <w:r>
        <w:rPr>
          <w:rFonts w:ascii="Times New Roman" w:cs="Times New Roman" w:eastAsia="Times New Roman" w:hAnsi="Times New Roman"/>
          <w:sz w:val="17"/>
          <w:szCs w:val="17"/>
          <w:color w:val="auto"/>
        </w:rPr>
        <w:t>” means any United States citizen, lawful permanent resident, entity organized under the laws of the United States or any jurisdiction within the United States, including any foreign branch of any such entity, or any Person in the United States.</w:t>
      </w:r>
    </w:p>
    <w:p>
      <w:pPr>
        <w:spacing w:after="0" w:line="12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Unrestricted Cash and Cash Equivalents</w:t>
      </w:r>
      <w:r>
        <w:rPr>
          <w:rFonts w:ascii="Times New Roman" w:cs="Times New Roman" w:eastAsia="Times New Roman" w:hAnsi="Times New Roman"/>
          <w:sz w:val="17"/>
          <w:szCs w:val="17"/>
          <w:color w:val="auto"/>
        </w:rPr>
        <w:t xml:space="preserve">” means, as of any date of determination, the sum of 100% of all cash and Cash Equivalents of the Borrower and its Subsidiaries that are held in bank accounts or securities accounts located in the United States at Wells Fargo, in each case that are unrestricted and not subject to any Liens (other than Liens permitted under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proceeds of any Indebtedness incurred substantially concurrently with the determination of such amount shall be excluded.</w:t>
      </w:r>
    </w:p>
    <w:p>
      <w:pPr>
        <w:spacing w:after="0" w:line="13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Government Securities Business Day</w:t>
      </w:r>
      <w:r>
        <w:rPr>
          <w:rFonts w:ascii="Times New Roman" w:cs="Times New Roman" w:eastAsia="Times New Roman" w:hAnsi="Times New Roman"/>
          <w:sz w:val="17"/>
          <w:szCs w:val="17"/>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notice requirements in </w:t>
      </w:r>
      <w:r>
        <w:rPr>
          <w:rFonts w:ascii="Times New Roman" w:cs="Times New Roman" w:eastAsia="Times New Roman" w:hAnsi="Times New Roman"/>
          <w:sz w:val="17"/>
          <w:szCs w:val="17"/>
          <w:u w:val="single" w:color="auto"/>
          <w:color w:val="auto"/>
        </w:rPr>
        <w:t>Sections 2.3(a)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2.4(c)</w:t>
      </w:r>
      <w:r>
        <w:rPr>
          <w:rFonts w:ascii="Times New Roman" w:cs="Times New Roman" w:eastAsia="Times New Roman" w:hAnsi="Times New Roman"/>
          <w:sz w:val="17"/>
          <w:szCs w:val="17"/>
          <w:color w:val="auto"/>
        </w:rPr>
        <w:t>, in each case, such day is also a Business Day.</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Person</w:t>
      </w:r>
      <w:r>
        <w:rPr>
          <w:rFonts w:ascii="Times New Roman" w:cs="Times New Roman" w:eastAsia="Times New Roman" w:hAnsi="Times New Roman"/>
          <w:sz w:val="17"/>
          <w:szCs w:val="17"/>
          <w:color w:val="auto"/>
        </w:rPr>
        <w:t>” means any Person that is a “United States person” as defined in Section 7701(a)(30) of the Code.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xml:space="preserve">” has the meaning assigned thereto in </w:t>
      </w:r>
      <w:r>
        <w:rPr>
          <w:rFonts w:ascii="Times New Roman" w:cs="Times New Roman" w:eastAsia="Times New Roman" w:hAnsi="Times New Roman"/>
          <w:sz w:val="17"/>
          <w:szCs w:val="17"/>
          <w:u w:val="single" w:color="auto"/>
          <w:color w:val="auto"/>
        </w:rPr>
        <w:t>Section 5.11(g)</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Wealthfront Holdings</w:t>
      </w:r>
      <w:r>
        <w:rPr>
          <w:rFonts w:ascii="Times New Roman" w:cs="Times New Roman" w:eastAsia="Times New Roman" w:hAnsi="Times New Roman"/>
          <w:sz w:val="17"/>
          <w:szCs w:val="17"/>
          <w:color w:val="auto"/>
        </w:rPr>
        <w:t>” means Wealthfront Holdings LLC, a Delaware limited liability company, and the parent of Wealthfront Home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80"/>
          </w:cols>
          <w:pgMar w:left="300" w:top="1191" w:right="319" w:bottom="1440" w:gutter="0" w:footer="0" w:header="0"/>
        </w:sectPr>
      </w:pPr>
    </w:p>
    <w:bookmarkStart w:id="440" w:name="page441"/>
    <w:bookmarkEnd w:id="440"/>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Wealthfront Home Lending</w:t>
      </w:r>
      <w:r>
        <w:rPr>
          <w:rFonts w:ascii="Times New Roman" w:cs="Times New Roman" w:eastAsia="Times New Roman" w:hAnsi="Times New Roman"/>
          <w:sz w:val="17"/>
          <w:szCs w:val="17"/>
          <w:color w:val="auto"/>
        </w:rPr>
        <w:t>” means Wealthfront Home Lending, LLC, a Delaware limited liability company.</w:t>
      </w:r>
    </w:p>
    <w:p>
      <w:pPr>
        <w:spacing w:after="0" w:line="162"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Weighted Average Life to Maturity</w:t>
      </w:r>
      <w:r>
        <w:rPr>
          <w:rFonts w:ascii="Times New Roman" w:cs="Times New Roman" w:eastAsia="Times New Roman" w:hAnsi="Times New Roman"/>
          <w:sz w:val="17"/>
          <w:szCs w:val="17"/>
          <w:color w:val="auto"/>
        </w:rPr>
        <w:t>” means, when applied to any Indebtedness at any date, the number of years obtained by dividing: (a) the sum 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scheduled installment, sinking fund, serial maturity or other required scheduled payment of principal.</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Wells Fargo</w:t>
      </w:r>
      <w:r>
        <w:rPr>
          <w:rFonts w:ascii="Times New Roman" w:cs="Times New Roman" w:eastAsia="Times New Roman" w:hAnsi="Times New Roman"/>
          <w:sz w:val="17"/>
          <w:szCs w:val="17"/>
          <w:color w:val="auto"/>
        </w:rPr>
        <w:t>” means Wells Fargo Bank, National Association, a national banking association.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WF Brokerage</w:t>
      </w:r>
      <w:r>
        <w:rPr>
          <w:rFonts w:ascii="Times New Roman" w:cs="Times New Roman" w:eastAsia="Times New Roman" w:hAnsi="Times New Roman"/>
          <w:sz w:val="17"/>
          <w:szCs w:val="17"/>
          <w:color w:val="auto"/>
        </w:rPr>
        <w:t>” means Wealthfront Brokerage, LLC, a Delaware limited liability company, and a Subsidiary of the Borrower.</w:t>
      </w:r>
    </w:p>
    <w:p>
      <w:pPr>
        <w:spacing w:after="0" w:line="172"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Wholly-Owned</w:t>
      </w:r>
      <w:r>
        <w:rPr>
          <w:rFonts w:ascii="Times New Roman" w:cs="Times New Roman" w:eastAsia="Times New Roman" w:hAnsi="Times New Roman"/>
          <w:sz w:val="17"/>
          <w:szCs w:val="17"/>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 to be owned by a Person other than the Borrower and/or one or more of its Wholly-Owned Subsidiaries).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Withholding Agent</w:t>
      </w:r>
      <w:r>
        <w:rPr>
          <w:rFonts w:ascii="Times New Roman" w:cs="Times New Roman" w:eastAsia="Times New Roman" w:hAnsi="Times New Roman"/>
          <w:sz w:val="17"/>
          <w:szCs w:val="17"/>
          <w:color w:val="auto"/>
        </w:rPr>
        <w:t>” means any Credit Party and the Administrative Agent.</w:t>
      </w:r>
    </w:p>
    <w:p>
      <w:pPr>
        <w:spacing w:after="0" w:line="162" w:lineRule="exact"/>
        <w:rPr>
          <w:sz w:val="20"/>
          <w:szCs w:val="20"/>
          <w:color w:val="auto"/>
        </w:rPr>
      </w:pPr>
    </w:p>
    <w:p>
      <w:pPr>
        <w:jc w:val="both"/>
        <w:ind w:firstLine="505"/>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Write-Down and Conversion Powers</w:t>
      </w:r>
      <w:r>
        <w:rPr>
          <w:rFonts w:ascii="Times New Roman" w:cs="Times New Roman" w:eastAsia="Times New Roman" w:hAnsi="Times New Roman"/>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9"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Other Definitions and Provisions</w:t>
      </w:r>
      <w:r>
        <w:rPr>
          <w:rFonts w:ascii="Times New Roman" w:cs="Times New Roman" w:eastAsia="Times New Roman" w:hAnsi="Times New Roman"/>
          <w:sz w:val="17"/>
          <w:szCs w:val="17"/>
          <w:color w:val="auto"/>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80"/>
          </w:cols>
          <w:pgMar w:left="300" w:top="1180" w:right="319" w:bottom="1440" w:gutter="0" w:footer="0" w:header="0"/>
        </w:sectPr>
      </w:pPr>
    </w:p>
    <w:bookmarkStart w:id="441" w:name="page442"/>
    <w:bookmarkEnd w:id="441"/>
    <w:p>
      <w:pPr>
        <w:jc w:val="both"/>
        <w:spacing w:after="0" w:line="231" w:lineRule="auto"/>
        <w:rPr>
          <w:sz w:val="20"/>
          <w:szCs w:val="20"/>
          <w:color w:val="auto"/>
        </w:rPr>
      </w:pPr>
      <w:r>
        <w:rPr>
          <w:rFonts w:ascii="Times New Roman" w:cs="Times New Roman" w:eastAsia="Times New Roman" w:hAnsi="Times New Roman"/>
          <w:sz w:val="17"/>
          <w:szCs w:val="17"/>
          <w:color w:val="auto"/>
        </w:rPr>
        <w:t>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144"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1.3</w:t>
      </w:r>
      <w:r>
        <w:rPr>
          <w:sz w:val="20"/>
          <w:szCs w:val="20"/>
          <w:color w:val="auto"/>
        </w:rPr>
        <w:tab/>
      </w:r>
      <w:r>
        <w:rPr>
          <w:rFonts w:ascii="Times New Roman" w:cs="Times New Roman" w:eastAsia="Times New Roman" w:hAnsi="Times New Roman"/>
          <w:sz w:val="16"/>
          <w:szCs w:val="16"/>
          <w:u w:val="single" w:color="auto"/>
          <w:color w:val="auto"/>
        </w:rPr>
        <w:t>Accounting Terms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both"/>
        <w:ind w:firstLine="509"/>
        <w:spacing w:after="0" w:line="233" w:lineRule="auto"/>
        <w:tabs>
          <w:tab w:leader="none" w:pos="870" w:val="left"/>
        </w:tabs>
        <w:numPr>
          <w:ilvl w:val="1"/>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except</w:t>
      </w:r>
      <w:r>
        <w:rPr>
          <w:rFonts w:ascii="Times New Roman" w:cs="Times New Roman" w:eastAsia="Times New Roman" w:hAnsi="Times New Roman"/>
          <w:sz w:val="17"/>
          <w:szCs w:val="17"/>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43" w:lineRule="exact"/>
        <w:rPr>
          <w:rFonts w:ascii="Times New Roman" w:cs="Times New Roman" w:eastAsia="Times New Roman" w:hAnsi="Times New Roman"/>
          <w:sz w:val="17"/>
          <w:szCs w:val="17"/>
          <w:color w:val="auto"/>
        </w:rPr>
      </w:pPr>
    </w:p>
    <w:p>
      <w:pPr>
        <w:jc w:val="both"/>
        <w:ind w:firstLine="509"/>
        <w:spacing w:after="0" w:line="250" w:lineRule="auto"/>
        <w:tabs>
          <w:tab w:leader="none" w:pos="915"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until so amended,</w:t>
      </w:r>
    </w:p>
    <w:p>
      <w:pPr>
        <w:jc w:val="both"/>
        <w:ind w:firstLine="4"/>
        <w:spacing w:after="0" w:line="228" w:lineRule="auto"/>
        <w:tabs>
          <w:tab w:leader="none" w:pos="231"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all obligations of any Person that are or would have been treated as operating leases for purposes of GAAP prior to the effectiveness of FASB ASC 842 shall continue to be accounted for as operating leases for purposes of all financial definitions and calculations for purposes of this Agreement (whether or not such operating lease obligations were in effect on such date) notwithstanding the fact that such obligations are required in accordance with FASB ASC 842 (on a prospective or retroactive basis or otherwise) to be treated as Capital Lease Obligations in the financial statements.</w:t>
      </w:r>
    </w:p>
    <w:p>
      <w:pPr>
        <w:spacing w:after="0" w:line="143"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UCC Terms</w:t>
      </w:r>
      <w:r>
        <w:rPr>
          <w:rFonts w:ascii="Times New Roman" w:cs="Times New Roman" w:eastAsia="Times New Roman" w:hAnsi="Times New Roman"/>
          <w:sz w:val="16"/>
          <w:szCs w:val="16"/>
          <w:color w:val="auto"/>
        </w:rPr>
        <w:t>.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80"/>
          </w:cols>
          <w:pgMar w:left="300" w:top="1181" w:right="319" w:bottom="1440" w:gutter="0" w:footer="0" w:header="0"/>
        </w:sectPr>
      </w:pPr>
    </w:p>
    <w:bookmarkStart w:id="442" w:name="page443"/>
    <w:bookmarkEnd w:id="442"/>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Rounding</w:t>
      </w:r>
      <w:r>
        <w:rPr>
          <w:rFonts w:ascii="Times New Roman" w:cs="Times New Roman" w:eastAsia="Times New Roman" w:hAnsi="Times New Roman"/>
          <w:sz w:val="17"/>
          <w:szCs w:val="17"/>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31" w:lineRule="exact"/>
        <w:rPr>
          <w:sz w:val="20"/>
          <w:szCs w:val="20"/>
          <w:color w:val="auto"/>
        </w:rPr>
      </w:pPr>
    </w:p>
    <w:p>
      <w:pPr>
        <w:jc w:val="both"/>
        <w:ind w:firstLine="505"/>
        <w:spacing w:after="0" w:line="249"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References to Agreement and Laws</w:t>
      </w:r>
      <w:r>
        <w:rPr>
          <w:rFonts w:ascii="Times New Roman" w:cs="Times New Roman" w:eastAsia="Times New Roman" w:hAnsi="Times New Roman"/>
          <w:sz w:val="16"/>
          <w:szCs w:val="16"/>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Anti-Corruption Laws, Anti-Money Laundering Laws, the Bankruptcy Code, the Code, the Commodity Exchange Act, ERISA, the Exchange Act, the PATRIOT Act, the Securities Act, the UCC, the Investment Company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36"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Times of Day</w:t>
      </w:r>
      <w:r>
        <w:rPr>
          <w:rFonts w:ascii="Times New Roman" w:cs="Times New Roman" w:eastAsia="Times New Roman" w:hAnsi="Times New Roman"/>
          <w:sz w:val="17"/>
          <w:szCs w:val="17"/>
          <w:color w:val="auto"/>
        </w:rPr>
        <w:t>. Unless otherwise specified, all references herein to times of day shall be references to Eastern time (daylight or standard, as applicable).</w:t>
      </w:r>
    </w:p>
    <w:p>
      <w:pPr>
        <w:spacing w:after="0" w:line="135"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Guarantees/Earn-Outs</w:t>
      </w:r>
      <w:r>
        <w:rPr>
          <w:rFonts w:ascii="Times New Roman" w:cs="Times New Roman" w:eastAsia="Times New Roman" w:hAnsi="Times New Roman"/>
          <w:sz w:val="17"/>
          <w:szCs w:val="17"/>
          <w:color w:val="auto"/>
        </w:rPr>
        <w:t>.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132"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Covenant Compliance Generally</w:t>
      </w:r>
      <w:r>
        <w:rPr>
          <w:rFonts w:ascii="Times New Roman" w:cs="Times New Roman" w:eastAsia="Times New Roman" w:hAnsi="Times New Roman"/>
          <w:sz w:val="17"/>
          <w:szCs w:val="17"/>
          <w:color w:val="auto"/>
        </w:rPr>
        <w:t xml:space="preserve">. For purposes of determining compliance under </w:t>
      </w:r>
      <w:r>
        <w:rPr>
          <w:rFonts w:ascii="Times New Roman" w:cs="Times New Roman" w:eastAsia="Times New Roman" w:hAnsi="Times New Roman"/>
          <w:sz w:val="17"/>
          <w:szCs w:val="17"/>
          <w:u w:val="single" w:color="auto"/>
          <w:color w:val="auto"/>
        </w:rPr>
        <w:t>Sections 9.1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9.6</w:t>
      </w:r>
      <w:r>
        <w:rPr>
          <w:rFonts w:ascii="Times New Roman" w:cs="Times New Roman" w:eastAsia="Times New Roman" w:hAnsi="Times New Roman"/>
          <w:sz w:val="17"/>
          <w:szCs w:val="17"/>
          <w:color w:val="auto"/>
        </w:rPr>
        <w:t xml:space="preserve">, any amount in a currency other than Dollars will be converted to Dollars in a manner consistent with that used in calculating Consolidated Net Income in the most recent annual financial statements of the Borrower and its Subsidiaries delivered pursuant to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6.1(e)</w:t>
      </w:r>
      <w:r>
        <w:rPr>
          <w:rFonts w:ascii="Times New Roman" w:cs="Times New Roman" w:eastAsia="Times New Roman" w:hAnsi="Times New Roman"/>
          <w:sz w:val="17"/>
          <w:szCs w:val="17"/>
          <w:color w:val="auto"/>
        </w:rPr>
        <w:t xml:space="preserve">, as applicable. Notwithstanding the foregoing, for purposes of determining compliance with </w:t>
      </w:r>
      <w:r>
        <w:rPr>
          <w:rFonts w:ascii="Times New Roman" w:cs="Times New Roman" w:eastAsia="Times New Roman" w:hAnsi="Times New Roman"/>
          <w:sz w:val="17"/>
          <w:szCs w:val="17"/>
          <w:u w:val="single" w:color="auto"/>
          <w:color w:val="auto"/>
        </w:rPr>
        <w:t>Sections 9.1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9.3</w:t>
      </w:r>
      <w:r>
        <w:rPr>
          <w:rFonts w:ascii="Times New Roman" w:cs="Times New Roman" w:eastAsia="Times New Roman" w:hAnsi="Times New Roman"/>
          <w:sz w:val="17"/>
          <w:szCs w:val="17"/>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the foregoing provisions of this </w:t>
      </w:r>
      <w:r>
        <w:rPr>
          <w:rFonts w:ascii="Times New Roman" w:cs="Times New Roman" w:eastAsia="Times New Roman" w:hAnsi="Times New Roman"/>
          <w:sz w:val="17"/>
          <w:szCs w:val="17"/>
          <w:u w:val="single" w:color="auto"/>
          <w:color w:val="auto"/>
        </w:rPr>
        <w:t>Section 1.9</w:t>
      </w:r>
      <w:r>
        <w:rPr>
          <w:rFonts w:ascii="Times New Roman" w:cs="Times New Roman" w:eastAsia="Times New Roman" w:hAnsi="Times New Roman"/>
          <w:sz w:val="17"/>
          <w:szCs w:val="17"/>
          <w:color w:val="auto"/>
        </w:rPr>
        <w:t xml:space="preserve"> shall otherwise apply to such Sections, including with respect to determining whether any Indebtedness or Investment may be incurred at any time under such Sections.</w:t>
      </w:r>
    </w:p>
    <w:p>
      <w:pPr>
        <w:spacing w:after="0" w:line="133"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 xml:space="preserve">Section 1.10 </w:t>
      </w:r>
      <w:r>
        <w:rPr>
          <w:rFonts w:ascii="Times New Roman" w:cs="Times New Roman" w:eastAsia="Times New Roman" w:hAnsi="Times New Roman"/>
          <w:sz w:val="17"/>
          <w:szCs w:val="17"/>
          <w:u w:val="single" w:color="auto"/>
          <w:color w:val="auto"/>
        </w:rPr>
        <w:t>Rates</w:t>
      </w:r>
      <w:r>
        <w:rPr>
          <w:rFonts w:ascii="Times New Roman" w:cs="Times New Roman" w:eastAsia="Times New Roman" w:hAnsi="Times New Roman"/>
          <w:sz w:val="17"/>
          <w:szCs w:val="17"/>
          <w:color w:val="auto"/>
        </w:rPr>
        <w:t>. The Administrative Agent does not warrant or accept any responsibility for, and shall not have any liability with respect to, (a) the continuation of, administration of, submission of, calculation of or any other matter related to the Benchmark, or any component definition thereof or rates referred to in the definition thereof, or with respect to any alternative, successor or replacement rate thereto (including any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80"/>
          </w:cols>
          <w:pgMar w:left="300" w:top="1180" w:right="319" w:bottom="1440" w:gutter="0" w:footer="0" w:header="0"/>
        </w:sectPr>
      </w:pPr>
    </w:p>
    <w:bookmarkStart w:id="443" w:name="page444"/>
    <w:bookmarkEnd w:id="443"/>
    <w:p>
      <w:pPr>
        <w:jc w:val="both"/>
        <w:spacing w:after="0" w:line="239" w:lineRule="auto"/>
        <w:rPr>
          <w:sz w:val="20"/>
          <w:szCs w:val="20"/>
          <w:color w:val="auto"/>
        </w:rPr>
      </w:pPr>
      <w:r>
        <w:rPr>
          <w:rFonts w:ascii="Times New Roman" w:cs="Times New Roman" w:eastAsia="Times New Roman" w:hAnsi="Times New Roman"/>
          <w:sz w:val="17"/>
          <w:szCs w:val="17"/>
          <w:color w:val="auto"/>
        </w:rPr>
        <w:t xml:space="preserve">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7"/>
          <w:szCs w:val="17"/>
          <w:u w:val="single" w:color="auto"/>
          <w:color w:val="auto"/>
        </w:rPr>
        <w:t>Section 5.8(c)</w:t>
      </w:r>
      <w:r>
        <w:rPr>
          <w:rFonts w:ascii="Times New Roman" w:cs="Times New Roman" w:eastAsia="Times New Roman" w:hAnsi="Times New Roman"/>
          <w:sz w:val="17"/>
          <w:szCs w:val="17"/>
          <w:color w:val="auto"/>
        </w:rPr>
        <w:t>, will be similar to, or produce the same value or economic equivalence of, or have the same volume or liquidity as, the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the Benchmark,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Adjusted Daily Simple SOFR,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6"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Divisions</w:t>
      </w:r>
      <w:r>
        <w:rPr>
          <w:rFonts w:ascii="Times New Roman" w:cs="Times New Roman" w:eastAsia="Times New Roman" w:hAnsi="Times New Roman"/>
          <w:sz w:val="17"/>
          <w:szCs w:val="17"/>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REVOLVING CREDIT FACILITY</w:t>
      </w:r>
    </w:p>
    <w:p>
      <w:pPr>
        <w:spacing w:after="0" w:line="162"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Revolving Credit Loans</w:t>
      </w:r>
      <w:r>
        <w:rPr>
          <w:rFonts w:ascii="Times New Roman" w:cs="Times New Roman" w:eastAsia="Times New Roman" w:hAnsi="Times New Roman"/>
          <w:sz w:val="17"/>
          <w:szCs w:val="17"/>
          <w:color w:val="auto"/>
        </w:rPr>
        <w:t xml:space="preserve">. Subject to the terms and conditions of this Agreement and the other Loan Documents, and in reliance upon the representations and warranties set forth in this Agreement and the other Loan Documents, each Revolving Credit Lender severally agrees to make Revolving Credit Loans in Dollars to the Borrower from time to time from the Closing Date to, but not including, the Revolving Credit Maturity Date as requested by the Borrower in accordance with the terms of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 may borrow, repay and reborrow Revolving Credit Loans hereunder until the Revolving Credit Maturity Date.</w:t>
      </w:r>
    </w:p>
    <w:p>
      <w:pPr>
        <w:spacing w:after="0" w:line="143"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2.2</w:t>
      </w:r>
      <w:r>
        <w:rPr>
          <w:sz w:val="20"/>
          <w:szCs w:val="20"/>
          <w:color w:val="auto"/>
        </w:rPr>
        <w:tab/>
      </w:r>
      <w:r>
        <w:rPr>
          <w:rFonts w:ascii="Times New Roman" w:cs="Times New Roman" w:eastAsia="Times New Roman" w:hAnsi="Times New Roman"/>
          <w:sz w:val="16"/>
          <w:szCs w:val="16"/>
          <w:u w:val="single" w:color="auto"/>
          <w:color w:val="auto"/>
        </w:rPr>
        <w:t>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80"/>
          </w:cols>
          <w:pgMar w:left="300" w:top="1181" w:right="319" w:bottom="1440" w:gutter="0" w:footer="0" w:header="0"/>
        </w:sectPr>
      </w:pPr>
    </w:p>
    <w:bookmarkStart w:id="444" w:name="page445"/>
    <w:bookmarkEnd w:id="444"/>
    <w:p>
      <w:pPr>
        <w:jc w:val="both"/>
        <w:ind w:firstLine="509"/>
        <w:spacing w:after="0" w:line="242" w:lineRule="auto"/>
        <w:tabs>
          <w:tab w:leader="none" w:pos="859"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Availability</w:t>
      </w:r>
      <w:r>
        <w:rPr>
          <w:rFonts w:ascii="Times New Roman" w:cs="Times New Roman" w:eastAsia="Times New Roman" w:hAnsi="Times New Roman"/>
          <w:sz w:val="17"/>
          <w:szCs w:val="17"/>
          <w:color w:val="auto"/>
        </w:rPr>
        <w:t xml:space="preserve">. Subject to the terms and conditions of this Agreement and the other Loan Documents and in reliance upon the representations and warranties set forth in this Agreement and the other Loan Documents, the Swingline Lender may, in its sole discretion, make Swingline Loans in Dollars to the Borrower from time to time from the Closing Date to, but not including, the Revolving Credit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149"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Refunding</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left="500" w:firstLine="513"/>
        <w:spacing w:after="0"/>
        <w:tabs>
          <w:tab w:leader="none" w:pos="1423"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Swingline Lender, at any time and from time to time in its sole and absolute discretion may, on behalf of the Borrower (which hereby irrevocably directs the Swingline Lender to act on its behalf), by written notice given no later than 11:00 a.m. on any Business Day request each Revolving Credit Lender to make, and each Revolving Credit Lender hereby agrees to make, a Revolving Credit Loan as a Base Rate Loan in an amount equal to such Revolving Credit Lender’s Revolving Credit Commitment Percentage of the aggregate amount of the Swingline Loans outstanding on the date of such notice, to repay the Swingline Lender. Each Revolving Credit Lender shall make the amount of such Revolving Credit Loan available to the Administrative Agent in immediately available funds at the Administrative Agent’s Office not later than 1:00 p.m. on the day specified in such notice. The proceeds of such Revolving Credit Loans shall be immediately made available by the Administrative Agent to the Swingline Lender for application by the Swingline Lender to the repayment of the Swingline Loans.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141" w:lineRule="exact"/>
        <w:rPr>
          <w:rFonts w:ascii="Times New Roman" w:cs="Times New Roman" w:eastAsia="Times New Roman" w:hAnsi="Times New Roman"/>
          <w:sz w:val="17"/>
          <w:szCs w:val="17"/>
          <w:color w:val="auto"/>
        </w:rPr>
      </w:pPr>
    </w:p>
    <w:p>
      <w:pPr>
        <w:jc w:val="both"/>
        <w:ind w:left="500" w:firstLine="513"/>
        <w:spacing w:after="0" w:line="241" w:lineRule="auto"/>
        <w:tabs>
          <w:tab w:leader="none" w:pos="1416"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pay to the Swingline Lender on demand, and in any event on the Revolving Credit Maturity Date, in immediately available funds the amount of such Swingline Loans to the extent amounts received from the Revolving Credit Lenders are not sufficient to repay in full the outstanding Swingline Loans requested or required to be refunded. In addition, the Borrower irrevocably authorizes the Administrative Agent to charge any account maintained by the Borrower with the Swingline Lender (other than any account that constitutes an Excluded Asset)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Credit Lenders in accordance with their respective Revolving Credit Commitment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80"/>
          </w:cols>
          <w:pgMar w:left="300" w:top="1181" w:right="319" w:bottom="1440" w:gutter="0" w:footer="0" w:header="0"/>
        </w:sectPr>
      </w:pPr>
    </w:p>
    <w:bookmarkStart w:id="445" w:name="page446"/>
    <w:bookmarkEnd w:id="445"/>
    <w:p>
      <w:pPr>
        <w:jc w:val="both"/>
        <w:ind w:firstLine="513"/>
        <w:spacing w:after="0" w:line="229" w:lineRule="auto"/>
        <w:tabs>
          <w:tab w:leader="none" w:pos="971"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for any reason any Swingline Loan cannot be refinanced with a Revolving Credit Loan pursuant to </w:t>
      </w:r>
      <w:r>
        <w:rPr>
          <w:rFonts w:ascii="Times New Roman" w:cs="Times New Roman" w:eastAsia="Times New Roman" w:hAnsi="Times New Roman"/>
          <w:sz w:val="17"/>
          <w:szCs w:val="17"/>
          <w:u w:val="single" w:color="auto"/>
          <w:color w:val="auto"/>
        </w:rPr>
        <w:t>Section 2.2(b)(i)</w:t>
      </w:r>
      <w:r>
        <w:rPr>
          <w:rFonts w:ascii="Times New Roman" w:cs="Times New Roman" w:eastAsia="Times New Roman" w:hAnsi="Times New Roman"/>
          <w:sz w:val="17"/>
          <w:szCs w:val="17"/>
          <w:color w:val="auto"/>
        </w:rPr>
        <w:t xml:space="preserve">, each Revolving Credit Lender shall, on the date such Revolving Credit Loan was to have been made pursuant to the notice referred to in </w:t>
      </w:r>
      <w:r>
        <w:rPr>
          <w:rFonts w:ascii="Times New Roman" w:cs="Times New Roman" w:eastAsia="Times New Roman" w:hAnsi="Times New Roman"/>
          <w:sz w:val="17"/>
          <w:szCs w:val="17"/>
          <w:u w:val="single" w:color="auto"/>
          <w:color w:val="auto"/>
        </w:rPr>
        <w:t>Section 2.2(b)(i)</w:t>
      </w:r>
      <w:r>
        <w:rPr>
          <w:rFonts w:ascii="Times New Roman" w:cs="Times New Roman" w:eastAsia="Times New Roman" w:hAnsi="Times New Roman"/>
          <w:sz w:val="17"/>
          <w:szCs w:val="17"/>
          <w:color w:val="auto"/>
        </w:rPr>
        <w:t>, purchase for cash an undivided participating interest in the then outstanding Swingline Loans by paying to the Swingline Lender an amount (the “</w:t>
      </w:r>
      <w:r>
        <w:rPr>
          <w:rFonts w:ascii="Times New Roman" w:cs="Times New Roman" w:eastAsia="Times New Roman" w:hAnsi="Times New Roman"/>
          <w:sz w:val="17"/>
          <w:szCs w:val="17"/>
          <w:u w:val="single" w:color="auto"/>
          <w:color w:val="auto"/>
        </w:rPr>
        <w:t>Swingline Participation Amount</w:t>
      </w:r>
      <w:r>
        <w:rPr>
          <w:rFonts w:ascii="Times New Roman" w:cs="Times New Roman" w:eastAsia="Times New Roman" w:hAnsi="Times New Roman"/>
          <w:sz w:val="17"/>
          <w:szCs w:val="17"/>
          <w:color w:val="auto"/>
        </w:rPr>
        <w:t xml:space="preserve">”) equal to such Revolving Credit Lender’s Revolving Credit Commitment Percentage of the aggregate principal amount of Swingline Loans then outstanding. Each Revolving Credit Lender will immediately transfer to the Swingline Lender, in immediately available funds, the amount of its Swingline Participation Amount. Whenever, at any time after the Swingline Lender has received from any Revolving Credit Lender such Revolving Credit Lender’s Swingline Participation Amount, the Swingline Lender receives any payment on account of the Swingline Loans, the Swingline Lender will distribute to such Revolving Credit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Credit Lender’s pro rata portion of such payment if such payment is not sufficient to pay the principal of and interest on all Swingline Loans then due);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such payment received by the Swingline Lender is required to be returned, such Revolving Credit Lender will return to the Swingline Lender any portion thereof previously distributed to it by the Swingline Lender.</w:t>
      </w:r>
    </w:p>
    <w:p>
      <w:pPr>
        <w:spacing w:after="0" w:line="148" w:lineRule="exact"/>
        <w:rPr>
          <w:rFonts w:ascii="Times New Roman" w:cs="Times New Roman" w:eastAsia="Times New Roman" w:hAnsi="Times New Roman"/>
          <w:sz w:val="17"/>
          <w:szCs w:val="17"/>
          <w:color w:val="auto"/>
        </w:rPr>
      </w:pPr>
    </w:p>
    <w:p>
      <w:pPr>
        <w:jc w:val="both"/>
        <w:ind w:firstLine="513"/>
        <w:spacing w:after="0" w:line="231" w:lineRule="auto"/>
        <w:tabs>
          <w:tab w:leader="none" w:pos="986"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Revolving Credit Lender’s obligation to make the Revolving Credit Loans referred to in </w:t>
      </w:r>
      <w:r>
        <w:rPr>
          <w:rFonts w:ascii="Times New Roman" w:cs="Times New Roman" w:eastAsia="Times New Roman" w:hAnsi="Times New Roman"/>
          <w:sz w:val="17"/>
          <w:szCs w:val="17"/>
          <w:u w:val="single" w:color="auto"/>
          <w:color w:val="auto"/>
        </w:rPr>
        <w:t>Section 2.2(b)(i)</w:t>
      </w:r>
      <w:r>
        <w:rPr>
          <w:rFonts w:ascii="Times New Roman" w:cs="Times New Roman" w:eastAsia="Times New Roman" w:hAnsi="Times New Roman"/>
          <w:sz w:val="17"/>
          <w:szCs w:val="17"/>
          <w:color w:val="auto"/>
        </w:rPr>
        <w:t xml:space="preserve"> and to purchase participating interests pursuant to </w:t>
      </w:r>
      <w:r>
        <w:rPr>
          <w:rFonts w:ascii="Times New Roman" w:cs="Times New Roman" w:eastAsia="Times New Roman" w:hAnsi="Times New Roman"/>
          <w:sz w:val="17"/>
          <w:szCs w:val="17"/>
          <w:u w:val="single" w:color="auto"/>
          <w:color w:val="auto"/>
        </w:rPr>
        <w:t>Section 2.2(b)(iii)</w:t>
      </w:r>
      <w:r>
        <w:rPr>
          <w:rFonts w:ascii="Times New Roman" w:cs="Times New Roman" w:eastAsia="Times New Roman" w:hAnsi="Times New Roman"/>
          <w:sz w:val="17"/>
          <w:szCs w:val="17"/>
          <w:color w:val="auto"/>
        </w:rPr>
        <w:t xml:space="preserve"> shall be absolute and unconditional and shall not be affected by any circumstance, including (A) any setoff, counterclaim, recoupment, defense or other right that such Revolving Credit Lender or the Borrower may have against the Swingline Lender, the Borrower or any other Person for any reason whatsoever, (B) the occurrence or continuance of a Default or an Event of Default or the failure to satisfy any of the other conditions specified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(C) any adverse change in the condition (financial or otherwise) of the Borrower, (D) any breach of this Agreement or any other Loan Document by the Borrower, any other Credit Party or any other Revolving Credit Lender or (E) any other circumstance, happening or event whatsoever, whether or not similar to any of the foregoing.</w:t>
      </w:r>
    </w:p>
    <w:p>
      <w:pPr>
        <w:spacing w:after="0" w:line="144" w:lineRule="exact"/>
        <w:rPr>
          <w:rFonts w:ascii="Times New Roman" w:cs="Times New Roman" w:eastAsia="Times New Roman" w:hAnsi="Times New Roman"/>
          <w:sz w:val="17"/>
          <w:szCs w:val="17"/>
          <w:color w:val="auto"/>
        </w:rPr>
      </w:pPr>
    </w:p>
    <w:p>
      <w:pPr>
        <w:jc w:val="both"/>
        <w:ind w:firstLine="513"/>
        <w:spacing w:after="0" w:line="233" w:lineRule="auto"/>
        <w:tabs>
          <w:tab w:leader="none" w:pos="879"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Revolving Credit Lender fails to make available to the Administrative Agent, for the account of the Swingline Lender, any amount required to be paid by such Revolving Credit Lender pursuant to the foregoing provisions of this </w:t>
      </w: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 xml:space="preserve"> by the time specified in </w:t>
      </w:r>
      <w:r>
        <w:rPr>
          <w:rFonts w:ascii="Times New Roman" w:cs="Times New Roman" w:eastAsia="Times New Roman" w:hAnsi="Times New Roman"/>
          <w:sz w:val="17"/>
          <w:szCs w:val="17"/>
          <w:u w:val="single" w:color="auto"/>
          <w:color w:val="auto"/>
        </w:rPr>
        <w:t>Section 2.2(b)(i)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2.2(b)(iii)</w:t>
      </w:r>
      <w:r>
        <w:rPr>
          <w:rFonts w:ascii="Times New Roman" w:cs="Times New Roman" w:eastAsia="Times New Roman" w:hAnsi="Times New Roman"/>
          <w:sz w:val="17"/>
          <w:szCs w:val="17"/>
          <w:color w:val="auto"/>
        </w:rPr>
        <w:t>, as applicable, the Swingline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Swingline Lender at a rate per annum equal to the Overnight Rate, plus any administrative, processing or similar fees customarily charged by the Swingline Lender in connection with the foregoing. If such Revolving Credit Lender pays such amount (with interest and fees as aforesaid), the amount so paid shall constitute such Revolving Credit Lender’s Revolving Credit Loan or Swingline Participation Amount,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780"/>
          </w:cols>
          <w:pgMar w:left="800" w:top="1180" w:right="319" w:bottom="1440" w:gutter="0" w:footer="0" w:header="0"/>
        </w:sectPr>
      </w:pPr>
    </w:p>
    <w:bookmarkStart w:id="446" w:name="page447"/>
    <w:bookmarkEnd w:id="446"/>
    <w:p>
      <w:pPr>
        <w:ind w:left="500"/>
        <w:spacing w:after="0" w:line="259" w:lineRule="auto"/>
        <w:rPr>
          <w:sz w:val="20"/>
          <w:szCs w:val="20"/>
          <w:color w:val="auto"/>
        </w:rPr>
      </w:pPr>
      <w:r>
        <w:rPr>
          <w:rFonts w:ascii="Times New Roman" w:cs="Times New Roman" w:eastAsia="Times New Roman" w:hAnsi="Times New Roman"/>
          <w:sz w:val="17"/>
          <w:szCs w:val="17"/>
          <w:color w:val="auto"/>
        </w:rPr>
        <w:t>A certificate of the Swingline Lender submitted to any Revolving Credit Lender (through the Administrative Agent) with respect to any amounts owing under this clause (v) shall be conclusive absent manifest error.</w:t>
      </w:r>
    </w:p>
    <w:p>
      <w:pPr>
        <w:spacing w:after="0" w:line="125" w:lineRule="exact"/>
        <w:rPr>
          <w:sz w:val="20"/>
          <w:szCs w:val="20"/>
          <w:color w:val="auto"/>
        </w:rPr>
      </w:pPr>
    </w:p>
    <w:p>
      <w:pPr>
        <w:ind w:firstLine="509"/>
        <w:spacing w:after="0" w:line="272" w:lineRule="auto"/>
        <w:tabs>
          <w:tab w:leader="none" w:pos="859"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Lenders</w:t>
      </w:r>
      <w:r>
        <w:rPr>
          <w:rFonts w:ascii="Times New Roman" w:cs="Times New Roman" w:eastAsia="Times New Roman" w:hAnsi="Times New Roman"/>
          <w:sz w:val="17"/>
          <w:szCs w:val="17"/>
          <w:color w:val="auto"/>
        </w:rPr>
        <w:t xml:space="preserve">. Notwithstanding anything to the contrary contained in this Agreement,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be subject to the terms and conditions of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5.15</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2.3</w:t>
      </w:r>
      <w:r>
        <w:rPr>
          <w:sz w:val="20"/>
          <w:szCs w:val="20"/>
          <w:color w:val="auto"/>
        </w:rPr>
        <w:tab/>
      </w:r>
      <w:r>
        <w:rPr>
          <w:rFonts w:ascii="Times New Roman" w:cs="Times New Roman" w:eastAsia="Times New Roman" w:hAnsi="Times New Roman"/>
          <w:sz w:val="16"/>
          <w:szCs w:val="16"/>
          <w:u w:val="single" w:color="auto"/>
          <w:color w:val="auto"/>
        </w:rPr>
        <w:t>Procedure for Advances of Revolving Credit Loans and Swingline Loans.</w:t>
      </w:r>
    </w:p>
    <w:p>
      <w:pPr>
        <w:spacing w:after="0" w:line="168" w:lineRule="exact"/>
        <w:rPr>
          <w:sz w:val="20"/>
          <w:szCs w:val="20"/>
          <w:color w:val="auto"/>
        </w:rPr>
      </w:pPr>
    </w:p>
    <w:p>
      <w:pPr>
        <w:jc w:val="both"/>
        <w:ind w:firstLine="509"/>
        <w:spacing w:after="0" w:line="245" w:lineRule="auto"/>
        <w:tabs>
          <w:tab w:leader="none" w:pos="923"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Requests for Borrowing</w:t>
      </w:r>
      <w:r>
        <w:rPr>
          <w:rFonts w:ascii="Times New Roman" w:cs="Times New Roman" w:eastAsia="Times New Roman" w:hAnsi="Times New Roman"/>
          <w:sz w:val="17"/>
          <w:szCs w:val="17"/>
          <w:color w:val="auto"/>
        </w:rPr>
        <w:t xml:space="preserve">. The Borrower shall give the Administrative Agent irrevocable prior written notice substantially in the form of </w:t>
      </w:r>
      <w:r>
        <w:rPr>
          <w:rFonts w:ascii="Times New Roman" w:cs="Times New Roman" w:eastAsia="Times New Roman" w:hAnsi="Times New Roman"/>
          <w:sz w:val="17"/>
          <w:szCs w:val="17"/>
          <w:b w:val="1"/>
          <w:bCs w:val="1"/>
          <w:i w:val="1"/>
          <w:iCs w:val="1"/>
          <w:color w:val="auto"/>
        </w:rPr>
        <w:t>Exhibit B</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Notice of Borrowing</w:t>
      </w:r>
      <w:r>
        <w:rPr>
          <w:rFonts w:ascii="Times New Roman" w:cs="Times New Roman" w:eastAsia="Times New Roman" w:hAnsi="Times New Roman"/>
          <w:sz w:val="17"/>
          <w:szCs w:val="17"/>
          <w:color w:val="auto"/>
        </w:rPr>
        <w:t>”) not later than 11:00 a.m. (i) on the same Business Day as each Base Rate Loan and each Swingline Loan and (ii) at least three (3) U.S. Government Securities Business Days before each SOFR Loan, of its intention to borrow, specifying (A) the date of such borrowing, which shall be a Business Day,</w:t>
      </w:r>
    </w:p>
    <w:p>
      <w:pPr>
        <w:spacing w:after="0" w:line="1" w:lineRule="exact"/>
        <w:rPr>
          <w:rFonts w:ascii="Times New Roman" w:cs="Times New Roman" w:eastAsia="Times New Roman" w:hAnsi="Times New Roman"/>
          <w:sz w:val="17"/>
          <w:szCs w:val="17"/>
          <w:color w:val="auto"/>
        </w:rPr>
      </w:pPr>
    </w:p>
    <w:p>
      <w:pPr>
        <w:jc w:val="both"/>
        <w:ind w:firstLine="4"/>
        <w:spacing w:after="0" w:line="238" w:lineRule="auto"/>
        <w:tabs>
          <w:tab w:leader="none" w:pos="267"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such borrowing, which shall be, (x) with respect to Base Rate Loans (other than Swingline Loans) in an aggregate principal amount of $1,000,000 or a whole multiple of $500,000 in excess thereof, (y) with respect to SOFR Loans in an aggregate principal amount of $2,000,000 or a whole multiple of $1,000,000 in excess thereof and (z) with respect to Swingline Loans in an aggregate principal amount of $100,000 or a whole multiple of $100,000 in excess thereof (or, in each case, the remaining amount of the Revolving Credit Commitment or the Swingline Commitment, as applicable), (C) whether such Loan is to be a Revolving Credit Loan or Swingline Loan, and (D) in the case of a Revolving Credit Loan whether such Revolving Credit Loan is to be a SOFR Loan or a Base Rate Loan. If the Borrower fails to specify a type of Loan in a Notice of Borrowing, then the applicable Loans shall be made as Base Rate Loans. A Notice of Borrowing received after 11:00 a.m. shall be deemed received on the next Business Day or U.S. Government Securities Business Day, as applicable. The Administrative Agent shall promptly notify the Revolving Credit Lenders of each Notice of Borrowing.</w:t>
      </w:r>
    </w:p>
    <w:p>
      <w:pPr>
        <w:spacing w:after="0" w:line="144" w:lineRule="exact"/>
        <w:rPr>
          <w:rFonts w:ascii="Times New Roman" w:cs="Times New Roman" w:eastAsia="Times New Roman" w:hAnsi="Times New Roman"/>
          <w:sz w:val="17"/>
          <w:szCs w:val="17"/>
          <w:color w:val="auto"/>
        </w:rPr>
      </w:pPr>
    </w:p>
    <w:p>
      <w:pPr>
        <w:jc w:val="both"/>
        <w:ind w:firstLine="509"/>
        <w:spacing w:after="0" w:line="256" w:lineRule="auto"/>
        <w:tabs>
          <w:tab w:leader="none" w:pos="880"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Disbursement of Revolving Credit and Swingline Loans</w:t>
      </w:r>
      <w:r>
        <w:rPr>
          <w:rFonts w:ascii="Times New Roman" w:cs="Times New Roman" w:eastAsia="Times New Roman" w:hAnsi="Times New Roman"/>
          <w:sz w:val="16"/>
          <w:szCs w:val="16"/>
          <w:color w:val="auto"/>
        </w:rPr>
        <w:t xml:space="preserve">. Not later than 1:00 p.m. on the proposed borrowing date, (i) each Revolving Credit Lender will make available to the Administrative Agent, for the account of the Borrower, at the Administrative Agent’s Office in funds immediately available to the Administrative Agent, such Revolving Credit Lender’s Revolving Credit Commitment Percentage of the Revolving Credit Loans to be made on such borrowing date and (ii) the Swingline Lender will make available to the Administrative Agent, for the account of the Borrower, at the Administrative Agent’s Office in funds immediately available to the Administrative Agent, the Swingline Loans to be made on such borrowing date. The Borrower hereby irrevocably authorizes the Administrative Agent to disburse the proceeds of each borrowing requested pursuant to this Section in immediately available funds by crediting or wiring such proceeds to the deposit account of the Borrower identified in the most recent notice substantially in the form attached as </w:t>
      </w:r>
      <w:r>
        <w:rPr>
          <w:rFonts w:ascii="Times New Roman" w:cs="Times New Roman" w:eastAsia="Times New Roman" w:hAnsi="Times New Roman"/>
          <w:sz w:val="16"/>
          <w:szCs w:val="16"/>
          <w:b w:val="1"/>
          <w:bCs w:val="1"/>
          <w:i w:val="1"/>
          <w:iCs w:val="1"/>
          <w:color w:val="auto"/>
        </w:rPr>
        <w:t>Exhibit 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Notice of Account Designation</w:t>
      </w:r>
      <w:r>
        <w:rPr>
          <w:rFonts w:ascii="Times New Roman" w:cs="Times New Roman" w:eastAsia="Times New Roman" w:hAnsi="Times New Roman"/>
          <w:sz w:val="16"/>
          <w:szCs w:val="16"/>
          <w:color w:val="auto"/>
        </w:rPr>
        <w:t xml:space="preserve">”) delivered by the Borrower to the Administrative Agent or as may be otherwise agreed upon by the Borrower and the Administrative Agent from time to time. Subject to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80"/>
          </w:cols>
          <w:pgMar w:left="300" w:top="1181" w:right="31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7"/>
          <w:szCs w:val="17"/>
          <w:color w:val="auto"/>
        </w:rPr>
        <w:t xml:space="preserve">Revolving Credit Loans to be made for the purpose of refunding Swingline Loans shall be made by the Revolving Credit Lenders as provided in </w:t>
      </w: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2.4</w:t>
      </w:r>
      <w:r>
        <w:rPr>
          <w:sz w:val="20"/>
          <w:szCs w:val="20"/>
          <w:color w:val="auto"/>
        </w:rPr>
        <w:tab/>
      </w:r>
      <w:r>
        <w:rPr>
          <w:rFonts w:ascii="Times New Roman" w:cs="Times New Roman" w:eastAsia="Times New Roman" w:hAnsi="Times New Roman"/>
          <w:sz w:val="16"/>
          <w:szCs w:val="16"/>
          <w:u w:val="single" w:color="auto"/>
          <w:color w:val="auto"/>
        </w:rPr>
        <w:t>Repayment and Prepayment of Revolving Credit and Swingline Loans.</w:t>
      </w:r>
    </w:p>
    <w:p>
      <w:pPr>
        <w:spacing w:after="0" w:line="162" w:lineRule="exact"/>
        <w:rPr>
          <w:sz w:val="20"/>
          <w:szCs w:val="20"/>
          <w:color w:val="auto"/>
        </w:rPr>
      </w:pPr>
    </w:p>
    <w:p>
      <w:pPr>
        <w:jc w:val="both"/>
        <w:ind w:firstLine="509"/>
        <w:spacing w:after="0" w:line="252" w:lineRule="auto"/>
        <w:tabs>
          <w:tab w:leader="none" w:pos="881"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Repayment on Termination Date</w:t>
      </w:r>
      <w:r>
        <w:rPr>
          <w:rFonts w:ascii="Times New Roman" w:cs="Times New Roman" w:eastAsia="Times New Roman" w:hAnsi="Times New Roman"/>
          <w:sz w:val="17"/>
          <w:szCs w:val="17"/>
          <w:color w:val="auto"/>
        </w:rPr>
        <w:t xml:space="preserve">. The Borrower hereby agrees to repay the outstanding principal amount of (i) all Revolving Credit Loans in full on the Revolving Credit Maturity Date, and (ii) all Swingline Loans in accordance with </w:t>
      </w: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 xml:space="preserve"> (but, in any event, no later than the Revolving Credit Maturity Date), together, in each case, with all accrued but unpaid interest thereon.</w:t>
      </w:r>
    </w:p>
    <w:p>
      <w:pPr>
        <w:spacing w:after="0" w:line="141" w:lineRule="exact"/>
        <w:rPr>
          <w:rFonts w:ascii="Times New Roman" w:cs="Times New Roman" w:eastAsia="Times New Roman" w:hAnsi="Times New Roman"/>
          <w:sz w:val="17"/>
          <w:szCs w:val="17"/>
          <w:color w:val="auto"/>
        </w:rPr>
      </w:pPr>
    </w:p>
    <w:p>
      <w:pPr>
        <w:jc w:val="both"/>
        <w:ind w:firstLine="509"/>
        <w:spacing w:after="0" w:line="242" w:lineRule="auto"/>
        <w:tabs>
          <w:tab w:leader="none" w:pos="943"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Prepayments</w:t>
      </w:r>
      <w:r>
        <w:rPr>
          <w:rFonts w:ascii="Times New Roman" w:cs="Times New Roman" w:eastAsia="Times New Roman" w:hAnsi="Times New Roman"/>
          <w:sz w:val="17"/>
          <w:szCs w:val="17"/>
          <w:color w:val="auto"/>
        </w:rPr>
        <w:t xml:space="preserve">. If at any time the Revolving Credit Outstandings exceed the Revolving Credit Commitment, the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the principal amount of outstanding Swingline Loans,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the principal amount of outstanding Revolving Credit Loans and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with respect to any Letters of Credit then outstanding, as a payment of Cash Collateral into a Cash Collateral account opened by the Administrative Agent, for the benefit of the Revolving Credit Lenders, in an amount equal to such excess (such Cash Collateral to be applied in accordance with </w:t>
      </w:r>
      <w:r>
        <w:rPr>
          <w:rFonts w:ascii="Times New Roman" w:cs="Times New Roman" w:eastAsia="Times New Roman" w:hAnsi="Times New Roman"/>
          <w:sz w:val="17"/>
          <w:szCs w:val="17"/>
          <w:u w:val="single" w:color="auto"/>
          <w:color w:val="auto"/>
        </w:rPr>
        <w:t>Section 10.2(b)</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jc w:val="both"/>
        <w:ind w:firstLine="509"/>
        <w:spacing w:after="0" w:line="238" w:lineRule="auto"/>
        <w:tabs>
          <w:tab w:leader="none" w:pos="891"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Prepayments</w:t>
      </w:r>
      <w:r>
        <w:rPr>
          <w:rFonts w:ascii="Times New Roman" w:cs="Times New Roman" w:eastAsia="Times New Roman" w:hAnsi="Times New Roman"/>
          <w:sz w:val="17"/>
          <w:szCs w:val="17"/>
          <w:color w:val="auto"/>
        </w:rPr>
        <w:t xml:space="preserve">. The Borrower may at any time and from time to time prepay Revolving Credit Loans and Swingline Loans, in whole or in part, without premium or penalty, with irrevocable prior written notice to the Administrative Agent substantially in the form attached as </w:t>
      </w:r>
      <w:r>
        <w:rPr>
          <w:rFonts w:ascii="Times New Roman" w:cs="Times New Roman" w:eastAsia="Times New Roman" w:hAnsi="Times New Roman"/>
          <w:sz w:val="17"/>
          <w:szCs w:val="17"/>
          <w:b w:val="1"/>
          <w:bCs w:val="1"/>
          <w:i w:val="1"/>
          <w:iCs w:val="1"/>
          <w:color w:val="auto"/>
        </w:rPr>
        <w:t>Exhibit D</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Notice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Prepayment</w:t>
      </w:r>
      <w:r>
        <w:rPr>
          <w:rFonts w:ascii="Times New Roman" w:cs="Times New Roman" w:eastAsia="Times New Roman" w:hAnsi="Times New Roman"/>
          <w:sz w:val="17"/>
          <w:szCs w:val="17"/>
          <w:color w:val="auto"/>
        </w:rPr>
        <w:t xml:space="preserve">”) given not later than 11:00 a.m. (i) on the same Business Day as prepayment of each Base Rate Loan and each Swingline Loan and (ii) at least three (3) U.S. Government Securities Business Days before prepayment of each SOFR Loan, specifying the date and amount of prepayment and whether the prepayment is of SOFR Loans, Base Rate Loans,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a whole multiple of $500,000 in excess thereof with respect to Base Rate Loans (other than Swingline Loans), $2,000,000 or a whole multiple of $1,000,000 in excess thereof with respect to SOFR Loans and $100,000 or a whole multiple of $100,000 in excess thereof with respect to Swingline Loans. A Notice of Prepayment received after 11:00 a.m. shall be deemed received on the next Business Day or U.S. Government Securities Business Day, as applicable. Each such repayment shall be accompanied by any amount required to be paid pursuant to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hereof. Notwithstanding the foregoing, any Notice of Prepayment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of such contingency shall not relieve the Borrower from its obligations in respect thereof under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280"/>
          </w:cols>
          <w:pgMar w:left="300" w:top="1180" w:right="319" w:bottom="1440" w:gutter="0" w:footer="0" w:header="0"/>
        </w:sectPr>
      </w:pPr>
    </w:p>
    <w:bookmarkStart w:id="448" w:name="page449"/>
    <w:bookmarkEnd w:id="448"/>
    <w:p>
      <w:pPr>
        <w:ind w:firstLine="509"/>
        <w:spacing w:after="0" w:line="259" w:lineRule="auto"/>
        <w:tabs>
          <w:tab w:leader="none" w:pos="901"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Hedge Agreements</w:t>
      </w:r>
      <w:r>
        <w:rPr>
          <w:rFonts w:ascii="Times New Roman" w:cs="Times New Roman" w:eastAsia="Times New Roman" w:hAnsi="Times New Roman"/>
          <w:sz w:val="17"/>
          <w:szCs w:val="17"/>
          <w:color w:val="auto"/>
        </w:rPr>
        <w:t>. No repayment or prepayment of the Loans pursuant to this Section shall affect any of the Borrower’s obligations under any Hedge Agreement entered into with respect to the Loans.</w:t>
      </w:r>
    </w:p>
    <w:p>
      <w:pPr>
        <w:spacing w:after="0" w:line="125"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2.5</w:t>
      </w:r>
      <w:r>
        <w:rPr>
          <w:sz w:val="20"/>
          <w:szCs w:val="20"/>
          <w:color w:val="auto"/>
        </w:rPr>
        <w:tab/>
      </w:r>
      <w:r>
        <w:rPr>
          <w:rFonts w:ascii="Times New Roman" w:cs="Times New Roman" w:eastAsia="Times New Roman" w:hAnsi="Times New Roman"/>
          <w:sz w:val="16"/>
          <w:szCs w:val="16"/>
          <w:u w:val="single" w:color="auto"/>
          <w:color w:val="auto"/>
        </w:rPr>
        <w:t>Permanent Reduction of the Revolving Credit Commitment.</w:t>
      </w:r>
    </w:p>
    <w:p>
      <w:pPr>
        <w:spacing w:after="0" w:line="172" w:lineRule="exact"/>
        <w:rPr>
          <w:sz w:val="20"/>
          <w:szCs w:val="20"/>
          <w:color w:val="auto"/>
        </w:rPr>
      </w:pPr>
    </w:p>
    <w:p>
      <w:pPr>
        <w:jc w:val="both"/>
        <w:ind w:firstLine="509"/>
        <w:spacing w:after="0" w:line="239" w:lineRule="auto"/>
        <w:tabs>
          <w:tab w:leader="none" w:pos="881"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Reduction</w:t>
      </w:r>
      <w:r>
        <w:rPr>
          <w:rFonts w:ascii="Times New Roman" w:cs="Times New Roman" w:eastAsia="Times New Roman" w:hAnsi="Times New Roman"/>
          <w:sz w:val="17"/>
          <w:szCs w:val="17"/>
          <w:color w:val="auto"/>
        </w:rPr>
        <w:t>. The Borrower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$1,000,000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Notwithstanding the foregoing, any notice to reduce the Revolving Credit Commitment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identifiable event or condition and may be revoked by the Borrower in the event such contingency is not met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of such contingency shall not relieve the Borrower from its obligations in respect thereof under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w:t>
      </w:r>
    </w:p>
    <w:p>
      <w:pPr>
        <w:spacing w:after="0" w:line="155" w:lineRule="exact"/>
        <w:rPr>
          <w:rFonts w:ascii="Times New Roman" w:cs="Times New Roman" w:eastAsia="Times New Roman" w:hAnsi="Times New Roman"/>
          <w:sz w:val="17"/>
          <w:szCs w:val="17"/>
          <w:color w:val="auto"/>
        </w:rPr>
      </w:pPr>
    </w:p>
    <w:p>
      <w:pPr>
        <w:jc w:val="both"/>
        <w:ind w:firstLine="509"/>
        <w:spacing w:after="0"/>
        <w:tabs>
          <w:tab w:leader="none" w:pos="869"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Corresponding Payment</w:t>
      </w:r>
      <w:r>
        <w:rPr>
          <w:rFonts w:ascii="Times New Roman" w:cs="Times New Roman" w:eastAsia="Times New Roman" w:hAnsi="Times New Roman"/>
          <w:sz w:val="17"/>
          <w:szCs w:val="17"/>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Borrower shall be required to deposit Cash Collateral in a Cash Collateral account opened by the Administrative Agent in an amount equal to such excess. Such Cash Collateral shall be applied in accordance with </w:t>
      </w:r>
      <w:r>
        <w:rPr>
          <w:rFonts w:ascii="Times New Roman" w:cs="Times New Roman" w:eastAsia="Times New Roman" w:hAnsi="Times New Roman"/>
          <w:sz w:val="17"/>
          <w:szCs w:val="17"/>
          <w:u w:val="single" w:color="auto"/>
          <w:color w:val="auto"/>
        </w:rPr>
        <w:t>Section 10.2(b)</w:t>
      </w:r>
      <w:r>
        <w:rPr>
          <w:rFonts w:ascii="Times New Roman" w:cs="Times New Roman" w:eastAsia="Times New Roman" w:hAnsi="Times New Roman"/>
          <w:sz w:val="17"/>
          <w:szCs w:val="17"/>
          <w:color w:val="auto"/>
        </w:rPr>
        <w:t xml:space="preserve">. Any reduction of the Revolving Credit Commitment to zero (0) shall be accompanied by payment of all outstanding Revolving Credit Loans and Swingline Loans (and furnishing of Cash Collateral satisfactory to the Administrative Agent for all L/C Obligations or other arrangements satisfactory to the respective Issuing Lenders) and shall result in the termination of the Revolving Credit Commitment and the Swingline Commitment and the Revolving Credit Facility. If the reduction of the Revolving Credit Commitment requires the repayment of any SOFR Loan, such repayment shall be accompanied by any amount required to be paid pursuant to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hereof.</w:t>
      </w:r>
    </w:p>
    <w:p>
      <w:pPr>
        <w:spacing w:after="0" w:line="143"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Termination of Revolving Credit Facility</w:t>
      </w:r>
      <w:r>
        <w:rPr>
          <w:rFonts w:ascii="Times New Roman" w:cs="Times New Roman" w:eastAsia="Times New Roman" w:hAnsi="Times New Roman"/>
          <w:sz w:val="17"/>
          <w:szCs w:val="17"/>
          <w:color w:val="auto"/>
        </w:rPr>
        <w:t>. The Revolving Credit Facility and the Revolving Credit Commitments shall terminate on the Revolving Credit Maturity Date or if earlier, on the date that (i) Revolving Credit Commitments are reduced to zero (0) and (ii) payment of all outstanding Revolving Credit Loans and Swingline Loans (and furnishing of Cash Collateral satisfactory to the Administrative Agent for all L/C Obligations or other arrangements satisfactory to the respective Issuing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80"/>
          </w:cols>
          <w:pgMar w:left="300" w:top="1181" w:right="319" w:bottom="1440" w:gutter="0" w:footer="0" w:header="0"/>
        </w:sectPr>
      </w:pPr>
    </w:p>
    <w:bookmarkStart w:id="449" w:name="page450"/>
    <w:bookmarkEnd w:id="449"/>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LETTER OF CREDIT FACILITY</w:t>
      </w:r>
    </w:p>
    <w:p>
      <w:pPr>
        <w:spacing w:after="0" w:line="162"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3.1</w:t>
      </w:r>
      <w:r>
        <w:rPr>
          <w:sz w:val="20"/>
          <w:szCs w:val="20"/>
          <w:color w:val="auto"/>
        </w:rPr>
        <w:tab/>
      </w:r>
      <w:r>
        <w:rPr>
          <w:rFonts w:ascii="Times New Roman" w:cs="Times New Roman" w:eastAsia="Times New Roman" w:hAnsi="Times New Roman"/>
          <w:sz w:val="16"/>
          <w:szCs w:val="16"/>
          <w:u w:val="single" w:color="auto"/>
          <w:color w:val="auto"/>
        </w:rPr>
        <w:t>L/C Facility.</w:t>
      </w:r>
    </w:p>
    <w:p>
      <w:pPr>
        <w:spacing w:after="0" w:line="151" w:lineRule="exact"/>
        <w:rPr>
          <w:sz w:val="20"/>
          <w:szCs w:val="20"/>
          <w:color w:val="auto"/>
        </w:rPr>
      </w:pPr>
    </w:p>
    <w:p>
      <w:pPr>
        <w:jc w:val="both"/>
        <w:ind w:firstLine="509"/>
        <w:spacing w:after="0" w:line="226" w:lineRule="auto"/>
        <w:tabs>
          <w:tab w:leader="none" w:pos="891"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Availability</w:t>
      </w:r>
      <w:r>
        <w:rPr>
          <w:rFonts w:ascii="Times New Roman" w:cs="Times New Roman" w:eastAsia="Times New Roman" w:hAnsi="Times New Roman"/>
          <w:sz w:val="17"/>
          <w:szCs w:val="17"/>
          <w:color w:val="auto"/>
        </w:rPr>
        <w:t xml:space="preserve">. Subject to the terms and conditions hereof, each Issuing Lender, in reliance on the agreements of the Revolving Credit Lenders set forth in </w:t>
      </w:r>
      <w:r>
        <w:rPr>
          <w:rFonts w:ascii="Times New Roman" w:cs="Times New Roman" w:eastAsia="Times New Roman" w:hAnsi="Times New Roman"/>
          <w:sz w:val="17"/>
          <w:szCs w:val="17"/>
          <w:u w:val="single" w:color="auto"/>
          <w:color w:val="auto"/>
        </w:rPr>
        <w:t>Section 3.4(a)</w:t>
      </w:r>
      <w:r>
        <w:rPr>
          <w:rFonts w:ascii="Times New Roman" w:cs="Times New Roman" w:eastAsia="Times New Roman" w:hAnsi="Times New Roman"/>
          <w:sz w:val="17"/>
          <w:szCs w:val="17"/>
          <w:color w:val="auto"/>
        </w:rPr>
        <w:t xml:space="preserve">, agrees to issue standby Letters of Credit in an aggregate amount not to exceed its L/C Commitment for the account of the Borrower or, subject to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any Subsidiary thereof. Letters of Credit may be issued on any Business Day from the Closing Date to, but not including the fifteenth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Business Day prior to the Revolving Credit Maturity Date in such form as may be approved from time to time by the applicable Issuing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Issuing Lender shall issue any Letter of Credit if, after giving effect to such issuance (and upon issuance of each Letter of Credit the Borrower shall be deemed to represent that the following will not occur as a result of such issuance), (i) the aggregate amount of the outstanding Letters of Credit issued by such Issuing Lender would exceed its L/C Commitment, (ii) the Revolving Credit Outstandings of such Lender (including in its capacity as an Issuing Lender) would exceed such Lender’s Revolving Credit Commitment, (iii) the L/C Obligations would exceed the L/C Sublimit or (iv) the Revolving Credit Outstandings would exceed the Revolving Credit Commitment. Letters of Credit issued hereunder shall constitute utilization of the Revolving Credit Commitments.</w:t>
      </w:r>
    </w:p>
    <w:p>
      <w:pPr>
        <w:spacing w:after="0" w:line="139" w:lineRule="exact"/>
        <w:rPr>
          <w:rFonts w:ascii="Times New Roman" w:cs="Times New Roman" w:eastAsia="Times New Roman" w:hAnsi="Times New Roman"/>
          <w:sz w:val="17"/>
          <w:szCs w:val="17"/>
          <w:color w:val="auto"/>
        </w:rPr>
      </w:pPr>
    </w:p>
    <w:p>
      <w:pPr>
        <w:jc w:val="both"/>
        <w:ind w:firstLine="509"/>
        <w:spacing w:after="0" w:line="229" w:lineRule="auto"/>
        <w:tabs>
          <w:tab w:leader="none" w:pos="890"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of Letters of Credit</w:t>
      </w:r>
      <w:r>
        <w:rPr>
          <w:rFonts w:ascii="Times New Roman" w:cs="Times New Roman" w:eastAsia="Times New Roman" w:hAnsi="Times New Roman"/>
          <w:sz w:val="17"/>
          <w:szCs w:val="17"/>
          <w:color w:val="auto"/>
        </w:rPr>
        <w:t>. Each Letter of Credit shall (i) be denominated in Dollars in a minimum amount of $250,000 (or such lesser amount as agreed to by the applicable Issuing Lender and the Administrative Agent), (ii) expire on a date no more than twelve (12) months after the date of issuance or last renewal or extension of such Letter of Credit (subject to automatic renewal or extension for additional one (1) year periods (but not to a date later than the date set forth below) pursuant to the terms of the Letter of Credit Documents or other documentation acceptable to the applicable Issuing Lender which such documentation shall permit the applicable Issuing Lender to prevent any renewal or extension of such Letter of Credit at least once in each twelve (12) month period (commencing with the date of issuance of such Letter of Credit)), which date shall be no later than the fifth (5th) Business Day prior to the Revolving Credit Maturity Date, and (iii) unless otherwise expressly agreed by the applicable Issuing Lender and the Borrower when a Letter of Credit is issued by it, be subject to the ISP as set forth in the Letter of Credit Documents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or arbitrator or any Applicable Law applicable to such Issuing Lender or any request or directive (whether or not having the force of law) from any Governmental Authority with jurisdiction over such Issuing Lender (1) shall by its terms prohibit, purport to enjoin or restrain such Issuing Lender from issuing such Letter of Credit, or request that such Issuing Lender refrain from the issuance of letters of credit generally or such Letter of Credit in particular or (2)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or known to such Issuing Lender as of the Closing Date and that such Issuing Lender in good faith deems material to it, (B) the conditions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280"/>
          </w:cols>
          <w:pgMar w:left="300" w:top="1180" w:right="319" w:bottom="1440" w:gutter="0" w:footer="0" w:header="0"/>
        </w:sectPr>
      </w:pPr>
    </w:p>
    <w:bookmarkStart w:id="450" w:name="page451"/>
    <w:bookmarkEnd w:id="450"/>
    <w:p>
      <w:pPr>
        <w:jc w:val="both"/>
        <w:spacing w:after="0" w:line="230" w:lineRule="auto"/>
        <w:rPr>
          <w:sz w:val="20"/>
          <w:szCs w:val="20"/>
          <w:color w:val="auto"/>
        </w:rPr>
      </w:pP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are not satisfied or it has received notice from the Administrative Agent, any Lender or the Borrower that the conditions set forth in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will not be satisfied and directing such Issuing Lender not to issue such Letter of Credit, (C) the issuance of such Letter of Credit would violate one or more policies of such Issuing Lender applicable to letters of credit generally, (D) the proceeds of which would be made available to any Person (x) to fund any activity or business of or with any Sanctioned Person, or in any Sanctioned Country or (y) in any manner that would result in a violation of any Sanctions by any party to this Agreement, (E) the terms of such Letter of Credit do not comply with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(including, without limitation the minimum amounts required by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(F) any Revolving Credit Lender is at that time a Defaulting Lender, unless such Issuing Lender has entered into arrangements, including the delivery of Cash Collateral, satisfactory to such Issuing Lender (in its sole discretion) with the Borrower or such Lender to eliminate such Issuing Lender’s actual or potential Fronting Exposure (after giving effect to </w:t>
      </w:r>
      <w:r>
        <w:rPr>
          <w:rFonts w:ascii="Times New Roman" w:cs="Times New Roman" w:eastAsia="Times New Roman" w:hAnsi="Times New Roman"/>
          <w:sz w:val="17"/>
          <w:szCs w:val="17"/>
          <w:u w:val="single" w:color="auto"/>
          <w:color w:val="auto"/>
        </w:rPr>
        <w:t>Section 5.15(a)(iv)</w:t>
      </w:r>
      <w:r>
        <w:rPr>
          <w:rFonts w:ascii="Times New Roman" w:cs="Times New Roman" w:eastAsia="Times New Roman" w:hAnsi="Times New Roman"/>
          <w:sz w:val="17"/>
          <w:szCs w:val="17"/>
          <w:color w:val="auto"/>
        </w:rPr>
        <w:t>) with respect to the Defaulting Lender arising from either the Letter of Credit then proposed to be issued or that Letter of Credit and all other L/C Obligations as to which such Issuing Lender has actual or potential Fronting Exposure, as it may elect in its sole discretion. An Issuing Lender shall be under no obligation to amend or extend any Letter of Credit if (x) such Issuing Lender would have no obligation at such time to issue the Letter of Credit in its amended or extended form under the terms hereof or (y) the beneficiary of the Letter of Credit does not accept the proposed amendment to or extension of the Letter of Credit. References herein to “issue” and derivations thereof with respect to Letters of Credit shall also include extensions or modifications of any outstanding Letters of Credit, unless the context otherwise requires.</w:t>
      </w:r>
    </w:p>
    <w:p>
      <w:pPr>
        <w:spacing w:after="0" w:line="130" w:lineRule="exact"/>
        <w:rPr>
          <w:sz w:val="20"/>
          <w:szCs w:val="20"/>
          <w:color w:val="auto"/>
        </w:rPr>
      </w:pPr>
    </w:p>
    <w:p>
      <w:pPr>
        <w:ind w:firstLine="509"/>
        <w:spacing w:after="0" w:line="272" w:lineRule="auto"/>
        <w:tabs>
          <w:tab w:leader="none" w:pos="923"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Lenders</w:t>
      </w:r>
      <w:r>
        <w:rPr>
          <w:rFonts w:ascii="Times New Roman" w:cs="Times New Roman" w:eastAsia="Times New Roman" w:hAnsi="Times New Roman"/>
          <w:sz w:val="17"/>
          <w:szCs w:val="17"/>
          <w:color w:val="auto"/>
        </w:rPr>
        <w:t xml:space="preserve">. Notwithstanding anything to the contrary contained in this Agreement,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shall be subject to the terms and conditions of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5.15</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3.2</w:t>
      </w:r>
      <w:r>
        <w:rPr>
          <w:sz w:val="20"/>
          <w:szCs w:val="20"/>
          <w:color w:val="auto"/>
        </w:rPr>
        <w:tab/>
      </w:r>
      <w:r>
        <w:rPr>
          <w:rFonts w:ascii="Times New Roman" w:cs="Times New Roman" w:eastAsia="Times New Roman" w:hAnsi="Times New Roman"/>
          <w:sz w:val="16"/>
          <w:szCs w:val="16"/>
          <w:u w:val="single" w:color="auto"/>
          <w:color w:val="auto"/>
        </w:rPr>
        <w:t>Procedure for Issuance and Disbursement of Letters of Credit.</w:t>
      </w:r>
    </w:p>
    <w:p>
      <w:pPr>
        <w:spacing w:after="0" w:line="172" w:lineRule="exact"/>
        <w:rPr>
          <w:sz w:val="20"/>
          <w:szCs w:val="20"/>
          <w:color w:val="auto"/>
        </w:rPr>
      </w:pPr>
    </w:p>
    <w:p>
      <w:pPr>
        <w:jc w:val="both"/>
        <w:ind w:firstLine="509"/>
        <w:spacing w:after="0" w:line="239" w:lineRule="auto"/>
        <w:tabs>
          <w:tab w:leader="none" w:pos="9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from time to time request that any Issuing Lender issue, amend, renew or extend a Letter of Credit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Letter of Credit Documents and information as such Issuing Lender or the Administrative Agent may request, not later than 11:00 a.m. at least two (2) Business Days (or such later date and time as the Administrative Agent and such Issuing Lender may agree in their sole discretion) prior to the proposed date of issuance, amendment, renewal or extension, as the case may be. Such notice shall specify (i) the requested date of issuance, amendment, renewal or extension (which shall be a Business Day), (ii) the date on which such Letter of Credit is to expire (which shall comply with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(iii) the amount of such Letter of Credit, (iv) the name and address of the beneficiary thereof, (v) the purpose and nature of such Letter of Credit and (vi) such other information as shall be necessary to issue, amend, renew or extend such Letter of Credit. Upon receipt of any Letter of Credit Application, the applicable Issuing Lender shall, process such Letter of Credit Application and the certificates, documents and other Letter of Credit Documents and information delivered to it in connection therewith in accordance with its customary procedures and shall, subject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promptly issue, amend, renew or extend the Letter of Credit requested thereby (subject to the timing requirements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by issuing the original of such Letter of Credit to the beneficiary thereof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80"/>
          </w:cols>
          <w:pgMar w:left="300" w:top="1181" w:right="319" w:bottom="1440" w:gutter="0" w:footer="0" w:header="0"/>
        </w:sectPr>
      </w:pPr>
    </w:p>
    <w:bookmarkStart w:id="451" w:name="page452"/>
    <w:bookmarkEnd w:id="451"/>
    <w:p>
      <w:pPr>
        <w:jc w:val="both"/>
        <w:spacing w:after="0" w:line="242" w:lineRule="auto"/>
        <w:rPr>
          <w:sz w:val="20"/>
          <w:szCs w:val="20"/>
          <w:color w:val="auto"/>
        </w:rPr>
      </w:pPr>
      <w:r>
        <w:rPr>
          <w:rFonts w:ascii="Times New Roman" w:cs="Times New Roman" w:eastAsia="Times New Roman" w:hAnsi="Times New Roman"/>
          <w:sz w:val="17"/>
          <w:szCs w:val="17"/>
          <w:color w:val="auto"/>
        </w:rPr>
        <w:t>otherwise may be agreed by such Issuing Lender and the Borrower. Additionally, the Borrower shall furnish to the applicable Issuing Lender and the Administrative Agent such other documents and information pertaining to such requested Letter of Credit issuance or amendment, renewal or extension, including any Letter of Credit Documents, as the applicable Issuing Lender or the Administrative Agent may require. The applicable Issuing Lender shall promptly furnish to the Borrower and the Administrative Agent a copy of such Letter of Credit and the related Letter of Credit Documents and the Administrative Agent shall promptly notify each Revolving Credit Lender of the issuance and upon request by any Revolving Credit Lender, furnish to such Revolving Credit Lender a copy of such Letter of Credit and the amount of such Revolving Credit Lender’s participation therein.</w:t>
      </w:r>
    </w:p>
    <w:p>
      <w:pPr>
        <w:spacing w:after="0" w:line="142" w:lineRule="exact"/>
        <w:rPr>
          <w:sz w:val="20"/>
          <w:szCs w:val="20"/>
          <w:color w:val="auto"/>
        </w:rPr>
      </w:pPr>
    </w:p>
    <w:p>
      <w:pPr>
        <w:jc w:val="both"/>
        <w:ind w:firstLine="509"/>
        <w:spacing w:after="0" w:line="245" w:lineRule="auto"/>
        <w:tabs>
          <w:tab w:leader="none" w:pos="897"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Issuing Lender for any Letter of Credit shall, within the time allowed by Applicable Laws or the specific terms of the Letter of Credit following its receipt thereof, examine all documents purporting to represent a demand for payment under such Letter of Credit. Such Issuing Lender shall promptly after such examination notify the Administrative Agent and the Borrower in writing of such demand for payment if such Issuing Lender has or will honor such demand for payment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notice need not be given prior to payment by such Issuing Lender and any failure to give or delay in giving such notice shall not relieve the Borrower of its obligation to reimburse such Issuing Lender and the L/C Participants with respect to such payment.</w:t>
      </w:r>
    </w:p>
    <w:p>
      <w:pPr>
        <w:spacing w:after="0" w:line="138"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3.3</w:t>
      </w:r>
      <w:r>
        <w:rPr>
          <w:sz w:val="20"/>
          <w:szCs w:val="20"/>
          <w:color w:val="auto"/>
        </w:rPr>
        <w:tab/>
      </w:r>
      <w:r>
        <w:rPr>
          <w:rFonts w:ascii="Times New Roman" w:cs="Times New Roman" w:eastAsia="Times New Roman" w:hAnsi="Times New Roman"/>
          <w:sz w:val="16"/>
          <w:szCs w:val="16"/>
          <w:u w:val="single" w:color="auto"/>
          <w:color w:val="auto"/>
        </w:rPr>
        <w:t>Commissions and Other Charges.</w:t>
      </w:r>
    </w:p>
    <w:p>
      <w:pPr>
        <w:spacing w:after="0" w:line="162" w:lineRule="exact"/>
        <w:rPr>
          <w:sz w:val="20"/>
          <w:szCs w:val="20"/>
          <w:color w:val="auto"/>
        </w:rPr>
      </w:pPr>
    </w:p>
    <w:p>
      <w:pPr>
        <w:jc w:val="both"/>
        <w:ind w:firstLine="509"/>
        <w:spacing w:after="0" w:line="243" w:lineRule="auto"/>
        <w:tabs>
          <w:tab w:leader="none" w:pos="902"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 of Credit Commissions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5.15(a)(iii)(B)</w:t>
      </w:r>
      <w:r>
        <w:rPr>
          <w:rFonts w:ascii="Times New Roman" w:cs="Times New Roman" w:eastAsia="Times New Roman" w:hAnsi="Times New Roman"/>
          <w:sz w:val="17"/>
          <w:szCs w:val="17"/>
          <w:color w:val="auto"/>
        </w:rPr>
        <w:t xml:space="preserve">, the Borrower shall pay to the Administrative Agent, for the account of the applicable Issuing Lender and the L/C Participants, a letter of credit commission with respect to each Letter of Credit in the amount equal to the daily amount available to be drawn under such standby Letters of Credit times the Applicable Margin with respect to Revolving Credit Loans that are SOFR Loans (determined, in each case, on a per annum basis). Such commission shall be payable quarterly in arrears on the last Business Day of each calendar quarter (commencing with the first such date to occur after the issuance of such Letter of Credit),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in accordance with their respective Revolving Credit Commitment Percentages.</w:t>
      </w:r>
    </w:p>
    <w:p>
      <w:pPr>
        <w:spacing w:after="0" w:line="138" w:lineRule="exact"/>
        <w:rPr>
          <w:rFonts w:ascii="Times New Roman" w:cs="Times New Roman" w:eastAsia="Times New Roman" w:hAnsi="Times New Roman"/>
          <w:sz w:val="17"/>
          <w:szCs w:val="17"/>
          <w:color w:val="auto"/>
        </w:rPr>
      </w:pPr>
    </w:p>
    <w:p>
      <w:pPr>
        <w:jc w:val="both"/>
        <w:ind w:firstLine="509"/>
        <w:spacing w:after="0" w:line="245" w:lineRule="auto"/>
        <w:tabs>
          <w:tab w:leader="none" w:pos="89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Fee</w:t>
      </w:r>
      <w:r>
        <w:rPr>
          <w:rFonts w:ascii="Times New Roman" w:cs="Times New Roman" w:eastAsia="Times New Roman" w:hAnsi="Times New Roman"/>
          <w:sz w:val="17"/>
          <w:szCs w:val="17"/>
          <w:color w:val="auto"/>
        </w:rPr>
        <w:t>. In addition to the foregoing commission, the Borrower shall pay directly to the applicable Issuing Lender, for its own account, an issuance fee with respect to each Letter of Credit issued by such Issuing Lender in such amount as set forth in the Fee Letter or as otherwise agreed upon between such Issuing Lender and the Borrower.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w:t>
      </w:r>
    </w:p>
    <w:p>
      <w:pPr>
        <w:spacing w:after="0" w:line="147" w:lineRule="exact"/>
        <w:rPr>
          <w:rFonts w:ascii="Times New Roman" w:cs="Times New Roman" w:eastAsia="Times New Roman" w:hAnsi="Times New Roman"/>
          <w:sz w:val="17"/>
          <w:szCs w:val="17"/>
          <w:color w:val="auto"/>
        </w:rPr>
      </w:pPr>
    </w:p>
    <w:p>
      <w:pPr>
        <w:ind w:firstLine="509"/>
        <w:spacing w:after="0" w:line="259" w:lineRule="auto"/>
        <w:tabs>
          <w:tab w:leader="none" w:pos="859"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Fees, Costs, Charges and Expenses</w:t>
      </w:r>
      <w:r>
        <w:rPr>
          <w:rFonts w:ascii="Times New Roman" w:cs="Times New Roman" w:eastAsia="Times New Roman" w:hAnsi="Times New Roman"/>
          <w:sz w:val="17"/>
          <w:szCs w:val="17"/>
          <w:color w:val="auto"/>
        </w:rPr>
        <w:t>. In addition to the foregoing fees and commissions, the Borrower shall pay or reimburse each Issuing Lender for such normal and customary fees, costs, charges and expenses as are incurred or charged by such Issuing Lender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280"/>
          </w:cols>
          <w:pgMar w:left="300" w:top="1180" w:right="319" w:bottom="1440" w:gutter="0" w:footer="0" w:header="0"/>
        </w:sectPr>
      </w:pPr>
    </w:p>
    <w:bookmarkStart w:id="452" w:name="page453"/>
    <w:bookmarkEnd w:id="452"/>
    <w:p>
      <w:pPr>
        <w:spacing w:after="0" w:line="272" w:lineRule="auto"/>
        <w:rPr>
          <w:sz w:val="20"/>
          <w:szCs w:val="20"/>
          <w:color w:val="auto"/>
        </w:rPr>
      </w:pPr>
      <w:r>
        <w:rPr>
          <w:rFonts w:ascii="Times New Roman" w:cs="Times New Roman" w:eastAsia="Times New Roman" w:hAnsi="Times New Roman"/>
          <w:sz w:val="17"/>
          <w:szCs w:val="17"/>
          <w:color w:val="auto"/>
        </w:rPr>
        <w:t>issuing, effecting payment under, amending or otherwise administering any Letter of Credit issued by it. Such customary fees, costs, charges and expenses are due and payable on demand and are nonrefundable.</w:t>
      </w:r>
    </w:p>
    <w:p>
      <w:pPr>
        <w:spacing w:after="0" w:line="125"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3.4</w:t>
      </w:r>
      <w:r>
        <w:rPr>
          <w:sz w:val="20"/>
          <w:szCs w:val="20"/>
          <w:color w:val="auto"/>
        </w:rPr>
        <w:tab/>
      </w:r>
      <w:r>
        <w:rPr>
          <w:rFonts w:ascii="Times New Roman" w:cs="Times New Roman" w:eastAsia="Times New Roman" w:hAnsi="Times New Roman"/>
          <w:sz w:val="16"/>
          <w:szCs w:val="16"/>
          <w:u w:val="single" w:color="auto"/>
          <w:color w:val="auto"/>
        </w:rPr>
        <w:t>L/C Participations.</w:t>
      </w:r>
    </w:p>
    <w:p>
      <w:pPr>
        <w:spacing w:after="0" w:line="172" w:lineRule="exact"/>
        <w:rPr>
          <w:sz w:val="20"/>
          <w:szCs w:val="20"/>
          <w:color w:val="auto"/>
        </w:rPr>
      </w:pPr>
    </w:p>
    <w:p>
      <w:pPr>
        <w:jc w:val="both"/>
        <w:ind w:firstLine="509"/>
        <w:spacing w:after="0" w:line="251" w:lineRule="auto"/>
        <w:tabs>
          <w:tab w:leader="none" w:pos="891"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and without any further action on the part of the applicable Issuing Lender,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absolutely, unconditionally and irrevocably agrees with each Issuing Lender that, if a draft is paid under any Letter of Credit issued by such Issuing Lender for which such Issuing Lender is not reimbursed in full by the Borrower through a Revolving Credit Loan or otherwise in accordance with the terms of this Agreement or if any reimbursement payment is required to be refunded to the Borrower for any reason (including after the Revolving Credit Maturity Date),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42" w:lineRule="exact"/>
        <w:rPr>
          <w:rFonts w:ascii="Times New Roman" w:cs="Times New Roman" w:eastAsia="Times New Roman" w:hAnsi="Times New Roman"/>
          <w:sz w:val="17"/>
          <w:szCs w:val="17"/>
          <w:color w:val="auto"/>
        </w:rPr>
      </w:pPr>
    </w:p>
    <w:p>
      <w:pPr>
        <w:jc w:val="both"/>
        <w:ind w:firstLine="509"/>
        <w:spacing w:after="0" w:line="267" w:lineRule="auto"/>
        <w:tabs>
          <w:tab w:leader="none" w:pos="944"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becoming aware of any amount required to be paid by any L/C Participant to any Issuing Lender pursuant to </w:t>
      </w:r>
      <w:r>
        <w:rPr>
          <w:rFonts w:ascii="Times New Roman" w:cs="Times New Roman" w:eastAsia="Times New Roman" w:hAnsi="Times New Roman"/>
          <w:sz w:val="16"/>
          <w:szCs w:val="16"/>
          <w:u w:val="single" w:color="auto"/>
          <w:color w:val="auto"/>
        </w:rPr>
        <w:t>Section 3.4(a)</w:t>
      </w:r>
      <w:r>
        <w:rPr>
          <w:rFonts w:ascii="Times New Roman" w:cs="Times New Roman" w:eastAsia="Times New Roman" w:hAnsi="Times New Roman"/>
          <w:sz w:val="16"/>
          <w:szCs w:val="16"/>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the Administrative Agent, which in turn shall pay such Issuing Lender on demand, in addition to such amount, the product of (i) such amount,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Overnight Rate as determined by the Administrative Agent during the period from and including the date such payment is due to the date on which such payment is immediately available to such Issuing Lender,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(iii) a fraction the numerator of which is the number of days that elapse during such period and the denominator of which is three hundred sixty (360), plus any administrative, processing or similar fees customarily charged by such Issuing Lender in connection with the foregoing.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280"/>
          </w:cols>
          <w:pgMar w:left="300" w:top="1191" w:right="319" w:bottom="1440" w:gutter="0" w:footer="0" w:header="0"/>
        </w:sectPr>
      </w:pPr>
    </w:p>
    <w:bookmarkStart w:id="453" w:name="page454"/>
    <w:bookmarkEnd w:id="453"/>
    <w:p>
      <w:pPr>
        <w:jc w:val="both"/>
        <w:ind w:firstLine="509"/>
        <w:spacing w:after="0" w:line="233" w:lineRule="auto"/>
        <w:tabs>
          <w:tab w:leader="none" w:pos="887"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Administrative Agent or otherwise), or any payment of interest on account thereof, such Issuing Lender will distribute to such L/C Participant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event that any such payment received by such Issuing Lender shall be required to be returned by such Issuing Lender, such L/C Participant shall return to the Administrative Agent, which shall in turn pay to such Issuing Lender, the portion thereof previously distributed by such Issuing Lender to it.</w:t>
      </w:r>
    </w:p>
    <w:p>
      <w:pPr>
        <w:spacing w:after="0" w:line="133" w:lineRule="exact"/>
        <w:rPr>
          <w:rFonts w:ascii="Times New Roman" w:cs="Times New Roman" w:eastAsia="Times New Roman" w:hAnsi="Times New Roman"/>
          <w:sz w:val="17"/>
          <w:szCs w:val="17"/>
          <w:color w:val="auto"/>
        </w:rPr>
      </w:pPr>
    </w:p>
    <w:p>
      <w:pPr>
        <w:jc w:val="both"/>
        <w:ind w:firstLine="509"/>
        <w:spacing w:after="0" w:line="249" w:lineRule="auto"/>
        <w:tabs>
          <w:tab w:leader="none" w:pos="869"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L/C Participant’s obligation to make the Revolving Credit Loans and to purchase participating interests pursuant to this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as applicable, shall be absolute, unconditional and irrevocable and shall not be affected by any circumstance, including (i) any setoff, counterclaim, abatement, reduction, recoupment, defense or other right that such Revolving Credit Lender or the Borrower may have against the Issuing Lender, the Borrower or any other Person for any reason whatsoever, (ii) the occurrence or continuance of a Default or an Event of Default or the failure to satisfy any of the other conditions specified in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w:t>
      </w:r>
    </w:p>
    <w:p>
      <w:pPr>
        <w:jc w:val="both"/>
        <w:ind w:firstLine="4"/>
        <w:spacing w:after="0" w:line="229" w:lineRule="auto"/>
        <w:tabs>
          <w:tab w:leader="none" w:pos="296"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change in the condition (financial or otherwise) of the Borrower, (iv) any breach of this Agreement or any other Loan Document by the Borrower, any other Credit Party or any other Revolving Credit Lender, (v) any adverse change in the relevant exchange rates or in the availability of any relevant currency to any L/C Participant or in the relevant currency markets generally, (vi) any extension, reinstatement or amendment of any Letter of Credit, (vii) any reduction or termination of the Revolving Credit Commitments or (viii) any other circumstance, happening or event whatsoever, whether or not similar to any of the foregoing.</w:t>
      </w:r>
    </w:p>
    <w:p>
      <w:pPr>
        <w:spacing w:after="0" w:line="139" w:lineRule="exact"/>
        <w:rPr>
          <w:rFonts w:ascii="Times New Roman" w:cs="Times New Roman" w:eastAsia="Times New Roman" w:hAnsi="Times New Roman"/>
          <w:sz w:val="17"/>
          <w:szCs w:val="17"/>
          <w:color w:val="auto"/>
        </w:rPr>
      </w:pPr>
    </w:p>
    <w:p>
      <w:pPr>
        <w:ind w:firstLine="509"/>
        <w:spacing w:after="0" w:line="259" w:lineRule="auto"/>
        <w:tabs>
          <w:tab w:leader="none" w:pos="879"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payment made by a Lender pursuant to this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shall not constitute a Loan and shall not relieve the Borrower of its obligation to reimburse such Letter of Credit.</w:t>
      </w:r>
    </w:p>
    <w:p>
      <w:pPr>
        <w:spacing w:after="0" w:line="114" w:lineRule="exact"/>
        <w:rPr>
          <w:rFonts w:ascii="Times New Roman" w:cs="Times New Roman" w:eastAsia="Times New Roman" w:hAnsi="Times New Roman"/>
          <w:sz w:val="17"/>
          <w:szCs w:val="17"/>
          <w:color w:val="auto"/>
        </w:rPr>
      </w:pPr>
    </w:p>
    <w:p>
      <w:pPr>
        <w:jc w:val="both"/>
        <w:ind w:firstLine="509"/>
        <w:spacing w:after="0" w:line="237" w:lineRule="auto"/>
        <w:tabs>
          <w:tab w:leader="none" w:pos="854"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furtherance of the foregoing, each L/C Participant acknowledges and agrees that its participation in each Letter of Credit will be automatically adjusted to reflect such Lender’s Revolving Credit Commitment Percentage of the aggregate amount available to be drawn under such Letter of Credit at each time that such Lender’s Revolving Credit Commitment is amended pursuant to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as a result of an assignment in accordance with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 xml:space="preserve"> or otherwise in accordance with this Agreement.</w:t>
      </w:r>
    </w:p>
    <w:p>
      <w:pPr>
        <w:spacing w:after="0" w:line="142" w:lineRule="exact"/>
        <w:rPr>
          <w:sz w:val="20"/>
          <w:szCs w:val="20"/>
          <w:color w:val="auto"/>
        </w:rPr>
      </w:pPr>
    </w:p>
    <w:p>
      <w:pPr>
        <w:jc w:val="both"/>
        <w:ind w:firstLine="505"/>
        <w:spacing w:after="0" w:line="231"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Reimbursement</w:t>
      </w:r>
      <w:r>
        <w:rPr>
          <w:rFonts w:ascii="Times New Roman" w:cs="Times New Roman" w:eastAsia="Times New Roman" w:hAnsi="Times New Roman"/>
          <w:sz w:val="17"/>
          <w:szCs w:val="17"/>
          <w:color w:val="auto"/>
        </w:rPr>
        <w:t xml:space="preserve">. In the event of any drawing under any Letter of Credit, the Borrower agrees to reimburse (either with the proceeds of a Revolving Credit Loan as provided for in this Section or with funds from other sources), in same day funds, the applicable Issuing Lender by paying to the Administrative Agent the amount of such drawing not later than 12:00 noon on (i) the Business Day that the Borrower receives notice of such drawing, if such notice is received by the Borrower prior to 10:00 a.m., or (ii) the Business Day immediately following the day that the Borrower receives such notice, if such notice is not received prior to such time, for the amount of (x) such draft so paid and (y) any amounts referred to in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incurred by such Issuing Lender in connection with such payment. Unless the Borrower shall immediately notify the Administrative Agent and such Issuing Lender that the Borrower intends to reimburse such Issuing Lender for such drawing from other sources or funds, the Borrower shall be deemed to have timely given a Notice of Borrowing to the Administrative Agent requesting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280"/>
          </w:cols>
          <w:pgMar w:left="300" w:top="1181" w:right="319" w:bottom="1440" w:gutter="0" w:footer="0" w:header="0"/>
        </w:sectPr>
      </w:pPr>
    </w:p>
    <w:bookmarkStart w:id="454" w:name="page455"/>
    <w:bookmarkEnd w:id="454"/>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Revolving Credit Lenders make a Revolving Credit Loan as a Base Rate Loan on the applicable repayment date in the amount of (i) such draft so paid and (ii) any amounts referred to in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incurred by such Issuing Lender in connection with such payment, and the Revolving Credit Lenders shall make a Revolving Credit Loan as a Base Rate Loan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non-satisfaction of the conditions set forth in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If the Borrower has elected to pay the amount of such drawing with funds from other sources and shall fail to reimburse such Issuing Lender as provided above, or if the amount of such drawing is not fully refunded through a Base Rate Loan as provided above, the unreimbursed amount of such drawing shall bear interest at the rate which would be payable on any outstanding Base Rate Loans which were then overdue from the date such amounts become payable (whether at stated maturity, by acceleration or otherwise and inclusive of any amounts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5.1(b)</w:t>
      </w:r>
      <w:r>
        <w:rPr>
          <w:rFonts w:ascii="Times New Roman" w:cs="Times New Roman" w:eastAsia="Times New Roman" w:hAnsi="Times New Roman"/>
          <w:sz w:val="17"/>
          <w:szCs w:val="17"/>
          <w:color w:val="auto"/>
        </w:rPr>
        <w:t xml:space="preserve">) until paid in full and such interest shall be for the account of such Issuing Lender, except that interest accrued on and after the date of payment by any L/C Participant pursuant to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to reimburse such Issuing Lender for the amount of such drawing shall be for the account of such L/C Participant to the extent of such payment.</w:t>
      </w:r>
    </w:p>
    <w:p>
      <w:pPr>
        <w:spacing w:after="0" w:line="143"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3.6</w:t>
      </w:r>
      <w:r>
        <w:rPr>
          <w:sz w:val="20"/>
          <w:szCs w:val="20"/>
          <w:color w:val="auto"/>
        </w:rPr>
        <w:tab/>
      </w:r>
      <w:r>
        <w:rPr>
          <w:rFonts w:ascii="Times New Roman" w:cs="Times New Roman" w:eastAsia="Times New Roman" w:hAnsi="Times New Roman"/>
          <w:sz w:val="16"/>
          <w:szCs w:val="16"/>
          <w:u w:val="single" w:color="auto"/>
          <w:color w:val="auto"/>
        </w:rPr>
        <w:t>Obligations Absolute.</w:t>
      </w:r>
    </w:p>
    <w:p>
      <w:pPr>
        <w:spacing w:after="0" w:line="172" w:lineRule="exact"/>
        <w:rPr>
          <w:sz w:val="20"/>
          <w:szCs w:val="20"/>
          <w:color w:val="auto"/>
        </w:rPr>
      </w:pPr>
    </w:p>
    <w:p>
      <w:pPr>
        <w:ind w:firstLine="509"/>
        <w:spacing w:after="0" w:line="272" w:lineRule="auto"/>
        <w:tabs>
          <w:tab w:leader="none" w:pos="903"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Borrower’s obligations under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(including the Reimbursement Obligation) shall be absolute, unconditional and irrevocable under any and all circumstances whatsoever, and shall be performed strictly in accordance with the terms of this Agreement, and irrespective of:</w:t>
      </w:r>
    </w:p>
    <w:p>
      <w:pPr>
        <w:spacing w:after="0" w:line="124" w:lineRule="exact"/>
        <w:rPr>
          <w:rFonts w:ascii="Times New Roman" w:cs="Times New Roman" w:eastAsia="Times New Roman" w:hAnsi="Times New Roman"/>
          <w:sz w:val="17"/>
          <w:szCs w:val="17"/>
          <w:color w:val="auto"/>
        </w:rPr>
      </w:pPr>
    </w:p>
    <w:p>
      <w:pPr>
        <w:ind w:left="1360" w:hanging="347"/>
        <w:spacing w:after="0"/>
        <w:tabs>
          <w:tab w:leader="none" w:pos="1360"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lack of validity or enforceability of any Letter of Credit, any Letter of Credit Document or this Agreement, or any term or provision therein or</w:t>
      </w:r>
    </w:p>
    <w:p>
      <w:pPr>
        <w:spacing w:after="0" w:line="33"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herein;</w:t>
      </w:r>
    </w:p>
    <w:p>
      <w:pPr>
        <w:spacing w:after="0" w:line="164" w:lineRule="exact"/>
        <w:rPr>
          <w:rFonts w:ascii="Times New Roman" w:cs="Times New Roman" w:eastAsia="Times New Roman" w:hAnsi="Times New Roman"/>
          <w:sz w:val="16"/>
          <w:szCs w:val="16"/>
          <w:color w:val="auto"/>
        </w:rPr>
      </w:pPr>
    </w:p>
    <w:p>
      <w:pPr>
        <w:jc w:val="both"/>
        <w:ind w:left="500" w:firstLine="513"/>
        <w:spacing w:after="0" w:line="254" w:lineRule="auto"/>
        <w:tabs>
          <w:tab w:leader="none" w:pos="1441"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any claim, counterclaim, setoff, defense or other right that the Borrower may have or have had against the applicable Issuing Lender or any beneficiary of a Letter of Credit (or any Person for whom any such beneficiary or any such transferee may be acting), the applicable Issuing Lender or any other Person, whether in connection with this Agreement, the transactions contemplated hereby or by such Letter of Credit or any agreement or instrument relating thereto, or any unrelated transaction;</w:t>
      </w:r>
    </w:p>
    <w:p>
      <w:pPr>
        <w:spacing w:after="0" w:line="150" w:lineRule="exact"/>
        <w:rPr>
          <w:rFonts w:ascii="Times New Roman" w:cs="Times New Roman" w:eastAsia="Times New Roman" w:hAnsi="Times New Roman"/>
          <w:sz w:val="17"/>
          <w:szCs w:val="17"/>
          <w:color w:val="auto"/>
        </w:rPr>
      </w:pPr>
    </w:p>
    <w:p>
      <w:pPr>
        <w:jc w:val="both"/>
        <w:ind w:left="500" w:firstLine="513"/>
        <w:spacing w:after="0" w:line="258" w:lineRule="auto"/>
        <w:tabs>
          <w:tab w:leader="none" w:pos="1453"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validity or genuineness of any drafts or other documents or of any endorsements thereon, even though such documents shall in fact prove to be invalid, fraudulent, forged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280"/>
          </w:cols>
          <w:pgMar w:left="300" w:top="1191" w:right="319" w:bottom="1440" w:gutter="0" w:footer="0" w:header="0"/>
        </w:sectPr>
      </w:pPr>
    </w:p>
    <w:bookmarkStart w:id="455" w:name="page456"/>
    <w:bookmarkEnd w:id="455"/>
    <w:p>
      <w:pPr>
        <w:ind w:left="500" w:firstLine="513"/>
        <w:spacing w:after="0" w:line="246" w:lineRule="auto"/>
        <w:tabs>
          <w:tab w:leader="none" w:pos="1419"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by the applicable Issuing Lender under a Letter of Credit against presentation of a draft or other document that does not comply with the terms of such Letter of Credit; or</w:t>
      </w:r>
    </w:p>
    <w:p>
      <w:pPr>
        <w:spacing w:after="0" w:line="135" w:lineRule="exact"/>
        <w:rPr>
          <w:rFonts w:ascii="Times New Roman" w:cs="Times New Roman" w:eastAsia="Times New Roman" w:hAnsi="Times New Roman"/>
          <w:sz w:val="17"/>
          <w:szCs w:val="17"/>
          <w:color w:val="auto"/>
        </w:rPr>
      </w:pPr>
    </w:p>
    <w:p>
      <w:pPr>
        <w:ind w:left="500" w:firstLine="513"/>
        <w:spacing w:after="0" w:line="246" w:lineRule="auto"/>
        <w:tabs>
          <w:tab w:leader="none" w:pos="1434"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or circumstance whatsoever, whether or not similar to any of the foregoing, that might, but for the provisions of this Section, constitute a legal or equitable discharge of, or provide a right of setoff against, the Borrower’s obligations hereunder.</w:t>
      </w:r>
    </w:p>
    <w:p>
      <w:pPr>
        <w:spacing w:after="0" w:line="135" w:lineRule="exact"/>
        <w:rPr>
          <w:rFonts w:ascii="Times New Roman" w:cs="Times New Roman" w:eastAsia="Times New Roman" w:hAnsi="Times New Roman"/>
          <w:sz w:val="17"/>
          <w:szCs w:val="17"/>
          <w:color w:val="auto"/>
        </w:rPr>
      </w:pPr>
    </w:p>
    <w:p>
      <w:pPr>
        <w:jc w:val="both"/>
        <w:ind w:firstLine="509"/>
        <w:spacing w:after="0" w:line="228" w:lineRule="auto"/>
        <w:tabs>
          <w:tab w:leader="none" w:pos="914"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also agrees that none of the Administrative Agent, any Issuing Lender, the L/C Participants, any other Lender or any of their respective Related Parties shall be responsible for, and the Borrower’s Reimbursement Obligation under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None of the Administrative Agent, any Issuing Lender, the L/C Participants or any other Lender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clause (a)),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Issuing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be construed to excuse an Issuing Lender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the applicable Issuing Lender (as finally determined by a court of competent jurisdiction), such Issuing Lender shall be deemed to have exercised care in each such determination. Without limiting the foregoing, none of the Administrative Agent, any Issuing Lender, any L/C Participant, any other Lender or any of their respective Related Parties shall have any liability or responsibility by reason of (x) any presentation that includes forged or fraudulent documents or that is otherwise affected by the fraudulent, bad faith or illegal conduct of the beneficiary or other Person, (y) an Issuing Lender declining to take up documents and make payment (A) against documents that are fraudulent, forged or for other reasons by which it is entitled not to honor or (B) following the Borrower’s waiver of discrepancies with respect to such documents or request for honor of such documents or (z) an Issuing Lender’s retaining proceeds of a Letter of Credit based on an apparently applicable attachment order, blocking regulation or third-party claim notified to such Issuing Lender.</w:t>
      </w:r>
    </w:p>
    <w:p>
      <w:pPr>
        <w:spacing w:after="0" w:line="154" w:lineRule="exact"/>
        <w:rPr>
          <w:rFonts w:ascii="Times New Roman" w:cs="Times New Roman" w:eastAsia="Times New Roman" w:hAnsi="Times New Roman"/>
          <w:sz w:val="17"/>
          <w:szCs w:val="17"/>
          <w:color w:val="auto"/>
        </w:rPr>
      </w:pPr>
    </w:p>
    <w:p>
      <w:pPr>
        <w:ind w:firstLine="509"/>
        <w:spacing w:after="0" w:line="259" w:lineRule="auto"/>
        <w:tabs>
          <w:tab w:leader="none" w:pos="878"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foregoing and without limiting the generality thereof, the parties agree that (i) with respect to documents presented which appear on their face to be in substantial compliance with the terms of a Letter of Credit, the applicable Issuing Lender may,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280"/>
          </w:cols>
          <w:pgMar w:left="300" w:top="1181" w:right="319" w:bottom="1440" w:gutter="0" w:footer="0" w:header="0"/>
        </w:sectPr>
      </w:pPr>
    </w:p>
    <w:bookmarkStart w:id="456" w:name="page457"/>
    <w:bookmarkEnd w:id="456"/>
    <w:p>
      <w:pPr>
        <w:jc w:val="both"/>
        <w:spacing w:after="0"/>
        <w:rPr>
          <w:sz w:val="20"/>
          <w:szCs w:val="20"/>
          <w:color w:val="auto"/>
        </w:rPr>
      </w:pPr>
      <w:r>
        <w:rPr>
          <w:rFonts w:ascii="Times New Roman" w:cs="Times New Roman" w:eastAsia="Times New Roman" w:hAnsi="Times New Roman"/>
          <w:sz w:val="17"/>
          <w:szCs w:val="17"/>
          <w:color w:val="auto"/>
        </w:rPr>
        <w:t>its sole discretion, either accept and make payment upon such documents (even if not in strict compliance with the terms and conditions of such Letter of Credit) without responsibility for further investigation, regardless of any notice or information to the contrary and without regard to any non-documentary condition in such Letter of Credit, or refuse to accept and make payment upon such documents if such documents are not in strict compliance with the terms of such Letter of Credit, (ii) an Issuing Lender may act upon any instruction or request relative to a Letter of Credit or requested Letter of Credit that such Issuing Lender in good faith believes to have been given by a Person authorized to give such instruction or request and (iii) an Issuing Lender may replace a purportedly lost, stolen, or destroyed original Letter of Credit or missing amendment thereto with a certified true copy marked as such or waive a requirement for its presentation. The responsibility of any Issuing Lender to the Borrower in connection with any draft presented for payment under any Letter of Credit issued by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43" w:lineRule="exact"/>
        <w:rPr>
          <w:sz w:val="20"/>
          <w:szCs w:val="20"/>
          <w:color w:val="auto"/>
        </w:rPr>
      </w:pPr>
    </w:p>
    <w:p>
      <w:pPr>
        <w:jc w:val="both"/>
        <w:ind w:firstLine="509"/>
        <w:spacing w:after="0" w:line="242" w:lineRule="auto"/>
        <w:tabs>
          <w:tab w:leader="none" w:pos="967"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no Issuing Lender shall be responsible to the Borrower for, and such Issuing Lender’s rights and remedies against the Borrower shall not be impaired by, any action or inaction of such Issuing Lender required or permitted under any law, order, or practice that is required or permitted to be applied to any Letter of Credit or this Agreement, including the Applicable Laws or any order of a jurisdiction in which such Issuing Lender or the beneficiary is located, the practice stated in the ISP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152" w:lineRule="exact"/>
        <w:rPr>
          <w:rFonts w:ascii="Times New Roman" w:cs="Times New Roman" w:eastAsia="Times New Roman" w:hAnsi="Times New Roman"/>
          <w:sz w:val="17"/>
          <w:szCs w:val="17"/>
          <w:color w:val="auto"/>
        </w:rPr>
      </w:pPr>
    </w:p>
    <w:p>
      <w:pPr>
        <w:jc w:val="both"/>
        <w:ind w:firstLine="509"/>
        <w:spacing w:after="0"/>
        <w:tabs>
          <w:tab w:leader="none" w:pos="865"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shall establish the standard of care to be exercised by an Issuing Lender when determining whether drafts and other documents presented under a Letter of Credit comply with the terms thereof (and the parties hereto hereby waive, to the extent permitted by Applicable Law, any standard of care stricter than the foregoing). Each Issuing Lender shall have all of the benefits and immunities (but not the obligations) (i) provided to the Administrative Agent in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with respect to any acts taken or omissions suffered by such Issuing Lender in connection with Letters of Credit issued by it or proposed to be issued by it and the Letter of Credit Documents pertaining to such Letters of Credit as fully as if the term “Administrative Agent” as used in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included such Issuing Lender with respect to such acts or omissions and (ii) as additionally provided herein with respect to such Issuing Lender.</w:t>
      </w:r>
    </w:p>
    <w:p>
      <w:pPr>
        <w:spacing w:after="0" w:line="152"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3.7 </w:t>
      </w:r>
      <w:r>
        <w:rPr>
          <w:rFonts w:ascii="Times New Roman" w:cs="Times New Roman" w:eastAsia="Times New Roman" w:hAnsi="Times New Roman"/>
          <w:sz w:val="17"/>
          <w:szCs w:val="17"/>
          <w:u w:val="single" w:color="auto"/>
          <w:color w:val="auto"/>
        </w:rPr>
        <w:t>Effect of Letter of Credit Documents</w:t>
      </w:r>
      <w:r>
        <w:rPr>
          <w:rFonts w:ascii="Times New Roman" w:cs="Times New Roman" w:eastAsia="Times New Roman" w:hAnsi="Times New Roman"/>
          <w:sz w:val="17"/>
          <w:szCs w:val="17"/>
          <w:color w:val="auto"/>
        </w:rPr>
        <w:t xml:space="preserve">. To the extent that any provision of any Letter of Credit Document related to any Letter of Credit is inconsistent with the 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any other provisions of this Agreement, the provisions of this Agreement (including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shall apply.</w:t>
      </w:r>
    </w:p>
    <w:p>
      <w:pPr>
        <w:spacing w:after="0" w:line="135"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3.8</w:t>
      </w:r>
      <w:r>
        <w:rPr>
          <w:sz w:val="20"/>
          <w:szCs w:val="20"/>
          <w:color w:val="auto"/>
        </w:rPr>
        <w:tab/>
      </w:r>
      <w:r>
        <w:rPr>
          <w:rFonts w:ascii="Times New Roman" w:cs="Times New Roman" w:eastAsia="Times New Roman" w:hAnsi="Times New Roman"/>
          <w:sz w:val="16"/>
          <w:szCs w:val="16"/>
          <w:u w:val="single" w:color="auto"/>
          <w:color w:val="auto"/>
        </w:rPr>
        <w:t>Resignation of Issuing Lenders.</w:t>
      </w:r>
    </w:p>
    <w:p>
      <w:pPr>
        <w:spacing w:after="0" w:line="162" w:lineRule="exact"/>
        <w:rPr>
          <w:sz w:val="20"/>
          <w:szCs w:val="20"/>
          <w:color w:val="auto"/>
        </w:rPr>
      </w:pPr>
    </w:p>
    <w:p>
      <w:pPr>
        <w:ind w:firstLine="509"/>
        <w:spacing w:after="0" w:line="259" w:lineRule="auto"/>
        <w:tabs>
          <w:tab w:leader="none" w:pos="876"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Issuing Lender may resign at any time by giving thirty (30) days’ prior notice to the Administrative Agent, the Lenders and the Borrower. After the resignation of an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80"/>
          </w:cols>
          <w:pgMar w:left="300" w:top="1181" w:right="319" w:bottom="1440" w:gutter="0" w:footer="0" w:header="0"/>
        </w:sectPr>
      </w:pPr>
    </w:p>
    <w:bookmarkStart w:id="457" w:name="page458"/>
    <w:bookmarkEnd w:id="457"/>
    <w:p>
      <w:pPr>
        <w:jc w:val="both"/>
        <w:spacing w:after="0" w:line="239" w:lineRule="auto"/>
        <w:rPr>
          <w:sz w:val="20"/>
          <w:szCs w:val="20"/>
          <w:color w:val="auto"/>
        </w:rPr>
      </w:pPr>
      <w:r>
        <w:rPr>
          <w:rFonts w:ascii="Times New Roman" w:cs="Times New Roman" w:eastAsia="Times New Roman" w:hAnsi="Times New Roman"/>
          <w:sz w:val="17"/>
          <w:szCs w:val="17"/>
          <w:color w:val="auto"/>
        </w:rPr>
        <w:t>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the outstanding Letter of Credit.</w:t>
      </w:r>
    </w:p>
    <w:p>
      <w:pPr>
        <w:spacing w:after="0" w:line="131" w:lineRule="exact"/>
        <w:rPr>
          <w:sz w:val="20"/>
          <w:szCs w:val="20"/>
          <w:color w:val="auto"/>
        </w:rPr>
      </w:pPr>
    </w:p>
    <w:p>
      <w:pPr>
        <w:jc w:val="both"/>
        <w:ind w:firstLine="509"/>
        <w:spacing w:after="0" w:line="233" w:lineRule="auto"/>
        <w:tabs>
          <w:tab w:leader="none" w:pos="881"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resigning Issuing Lender shall retain all the rights, powers, privileges and duties of an Issuing Lender hereunder with respect to all Letters of Credit issued by it that are outstanding as of the effective date of its resignation as an Issuing Lender and all L/C Obligations with respect thereto (including the right to require the Revolving Credit Lenders to take such actions as are required under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Without limiting the foregoing, upon the resignation of a Lender as an Issuing Lender hereunder, the Borrower may, or at the request of such resigned Issuing Lender the Borrower shall, use commercially reasonable efforts to, arrange for one (1) or more of the other Issuing Lenders to issue Letters of Credit hereunder in substitution for the Letters of Credit, if any, issued by such resigned Issuing Lender and outstanding at the time of such resignation, or make other arrangements satisfactory to the resigned Issuing Lender to effectively cause another Issuing Lender to assume the obligations of the resigned Issuing Lender with respect to any such Letters of Credit.</w:t>
      </w:r>
    </w:p>
    <w:p>
      <w:pPr>
        <w:spacing w:after="0" w:line="143" w:lineRule="exact"/>
        <w:rPr>
          <w:sz w:val="20"/>
          <w:szCs w:val="20"/>
          <w:color w:val="auto"/>
        </w:rPr>
      </w:pPr>
    </w:p>
    <w:p>
      <w:pPr>
        <w:jc w:val="both"/>
        <w:ind w:firstLine="505"/>
        <w:spacing w:after="0" w:line="230"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Reporting of Letter of Credit Information and L/C Commitment</w:t>
      </w:r>
      <w:r>
        <w:rPr>
          <w:rFonts w:ascii="Times New Roman" w:cs="Times New Roman" w:eastAsia="Times New Roman" w:hAnsi="Times New Roman"/>
          <w:sz w:val="17"/>
          <w:szCs w:val="17"/>
          <w:color w:val="auto"/>
        </w:rPr>
        <w:t xml:space="preserve">. At any time that there is an Issuing Lender that is not also the financial institution acting as Administrative Agent, then (a) no later than the fifth Business Day following the last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shall limit the obligations of the Borrower or any Revolving Credit Lender hereunder with respect to its reimbursement and participation obligations hereunder.</w:t>
      </w:r>
    </w:p>
    <w:p>
      <w:pPr>
        <w:spacing w:after="0" w:line="145" w:lineRule="exact"/>
        <w:rPr>
          <w:sz w:val="20"/>
          <w:szCs w:val="20"/>
          <w:color w:val="auto"/>
        </w:rPr>
      </w:pPr>
    </w:p>
    <w:p>
      <w:pPr>
        <w:jc w:val="both"/>
        <w:ind w:firstLine="505"/>
        <w:spacing w:after="0" w:line="231" w:lineRule="auto"/>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u w:val="single" w:color="auto"/>
          <w:color w:val="auto"/>
        </w:rPr>
        <w:t>Letters of Credit Issued for Subsidiaries</w:t>
      </w:r>
      <w:r>
        <w:rPr>
          <w:rFonts w:ascii="Times New Roman" w:cs="Times New Roman" w:eastAsia="Times New Roman" w:hAnsi="Times New Roman"/>
          <w:sz w:val="17"/>
          <w:szCs w:val="17"/>
          <w:color w:val="auto"/>
        </w:rPr>
        <w:t>. Notwithstanding that a Letter of Credit issued or outstanding hereunder is in support of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Borrower (a) shall be obligated as a primary obligor to reimburse, or to cause the applicable Subsidiary to reimburse, the applicable Issuing Lender hereunder for any and all drawings under such Letter of Credit as if such Letter of Credit had been issued solely for the account of the Borrower and (b) irrevocably waives any and all defenses that might otherwise be available to it as a guarantor or surety of any or all of the obligations of such Subsidiary in respect of such Letter of Credit. The Borrower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280"/>
          </w:cols>
          <w:pgMar w:left="300" w:top="1181" w:right="319" w:bottom="1440" w:gutter="0" w:footer="0" w:header="0"/>
        </w:sectPr>
      </w:pPr>
    </w:p>
    <w:bookmarkStart w:id="458" w:name="page459"/>
    <w:bookmarkEnd w:id="458"/>
    <w:p>
      <w:pPr>
        <w:jc w:val="both"/>
        <w:spacing w:after="0"/>
        <w:rPr>
          <w:sz w:val="20"/>
          <w:szCs w:val="20"/>
          <w:color w:val="auto"/>
        </w:rPr>
      </w:pPr>
      <w:r>
        <w:rPr>
          <w:rFonts w:ascii="Times New Roman" w:cs="Times New Roman" w:eastAsia="Times New Roman" w:hAnsi="Times New Roman"/>
          <w:sz w:val="17"/>
          <w:szCs w:val="17"/>
          <w:color w:val="auto"/>
        </w:rPr>
        <w:t>acknowledges that the issuance of Letters of Credit for the account of any of its Subsidiaries inures to the benefit of the Borrower and that the Borrower’s business derives substantial benefits from the businesses of such Subsidiaries. To the extent that any Letter of Credit is issued for the account of any Subsidiary of the Borrower, the Borrower agrees that (i) such Subsidiary shall have no rights against any Issuing Lender, the Administrative Agent, any Lender or any of their respective Related Parties, (ii) the Borrower shall be responsible for the obligations in respect of such Letter of Credit under this Agreement, any Letter of Credit Documents and any application or reimbursement agreement with respect to such Letter of Credit, (iii) the Borrower shall have the sole right to give instructions and make agreements with respect to this Agreement, such Letter of Credit and any Letter of Credit Documents pertaining thereto and the disposition of any documents related thereto and (iv) the Borrower shall have all powers and rights in respect of any security arising in connection with such Letter of Credit and the transactions related thereto. The Borrower shall, at the request of the Issuing Lender, cause such Subsidiary to execute and deliver an agreement confirming the terms specified in the immediately preceding sentence and acknowledging that it is bound thereby.</w:t>
      </w:r>
    </w:p>
    <w:p>
      <w:pPr>
        <w:spacing w:after="0" w:line="143"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3.11 </w:t>
      </w:r>
      <w:r>
        <w:rPr>
          <w:rFonts w:ascii="Times New Roman" w:cs="Times New Roman" w:eastAsia="Times New Roman" w:hAnsi="Times New Roman"/>
          <w:sz w:val="17"/>
          <w:szCs w:val="17"/>
          <w:u w:val="single" w:color="auto"/>
          <w:color w:val="auto"/>
        </w:rPr>
        <w:t>Letter of Credit Amounts</w:t>
      </w:r>
      <w:r>
        <w:rPr>
          <w:rFonts w:ascii="Times New Roman" w:cs="Times New Roman" w:eastAsia="Times New Roman" w:hAnsi="Times New Roman"/>
          <w:sz w:val="17"/>
          <w:szCs w:val="17"/>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 (b) any amount which is drawn, reimbursed and no longer available under such Letter of Credit).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INTENTIONALLY OMITTED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LOAN PROVISIONS</w:t>
      </w:r>
    </w:p>
    <w:p>
      <w:pPr>
        <w:spacing w:after="0" w:line="162"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5.1</w:t>
      </w:r>
      <w:r>
        <w:rPr>
          <w:sz w:val="20"/>
          <w:szCs w:val="20"/>
          <w:color w:val="auto"/>
        </w:rPr>
        <w:tab/>
      </w:r>
      <w:r>
        <w:rPr>
          <w:rFonts w:ascii="Times New Roman" w:cs="Times New Roman" w:eastAsia="Times New Roman" w:hAnsi="Times New Roman"/>
          <w:sz w:val="16"/>
          <w:szCs w:val="16"/>
          <w:u w:val="single" w:color="auto"/>
          <w:color w:val="auto"/>
        </w:rPr>
        <w:t>Interest.</w:t>
      </w:r>
    </w:p>
    <w:p>
      <w:pPr>
        <w:spacing w:after="0" w:line="172" w:lineRule="exact"/>
        <w:rPr>
          <w:sz w:val="20"/>
          <w:szCs w:val="20"/>
          <w:color w:val="auto"/>
        </w:rPr>
      </w:pPr>
    </w:p>
    <w:p>
      <w:pPr>
        <w:jc w:val="both"/>
        <w:ind w:firstLine="509"/>
        <w:spacing w:after="0" w:line="242" w:lineRule="auto"/>
        <w:tabs>
          <w:tab w:leader="none" w:pos="891"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Rate Options</w:t>
      </w:r>
      <w:r>
        <w:rPr>
          <w:rFonts w:ascii="Times New Roman" w:cs="Times New Roman" w:eastAsia="Times New Roman" w:hAnsi="Times New Roman"/>
          <w:sz w:val="17"/>
          <w:szCs w:val="17"/>
          <w:color w:val="auto"/>
        </w:rPr>
        <w:t xml:space="preserve">. Subject to the provisions of this Section, at the election of the Borrower, (i) Revolving Credit Loans shall bear interest at (A)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Margin or (B) Adjusted Daily Simple SOFR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Margin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Adjusted Daily Simple SOFR shall not be available until three (3) U.S. Government Securities Business Days after the Closing Date unless the Borrower has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of this Agreement) and (ii) any Swingline Loan shall bear interest at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Margin. The Borrower shall select the rate of interest applicable to any Loan at the time a Notice of Borrowing is given.</w:t>
      </w:r>
    </w:p>
    <w:p>
      <w:pPr>
        <w:spacing w:after="0" w:line="141" w:lineRule="exact"/>
        <w:rPr>
          <w:rFonts w:ascii="Times New Roman" w:cs="Times New Roman" w:eastAsia="Times New Roman" w:hAnsi="Times New Roman"/>
          <w:sz w:val="17"/>
          <w:szCs w:val="17"/>
          <w:color w:val="auto"/>
        </w:rPr>
      </w:pPr>
    </w:p>
    <w:p>
      <w:pPr>
        <w:ind w:left="900" w:hanging="391"/>
        <w:spacing w:after="0"/>
        <w:tabs>
          <w:tab w:leader="none" w:pos="900"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(i) immediately upon the occurrence and during the continuance of an Event of Default under </w:t>
      </w:r>
      <w:r>
        <w:rPr>
          <w:rFonts w:ascii="Times New Roman" w:cs="Times New Roman" w:eastAsia="Times New Roman" w:hAnsi="Times New Roman"/>
          <w:sz w:val="17"/>
          <w:szCs w:val="17"/>
          <w:u w:val="single" w:color="auto"/>
          <w:color w:val="auto"/>
        </w:rPr>
        <w:t>Section 10.1(a)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w:t>
      </w:r>
    </w:p>
    <w:p>
      <w:pPr>
        <w:spacing w:after="0" w:line="11" w:lineRule="exact"/>
        <w:rPr>
          <w:rFonts w:ascii="Times New Roman" w:cs="Times New Roman" w:eastAsia="Times New Roman" w:hAnsi="Times New Roman"/>
          <w:sz w:val="17"/>
          <w:szCs w:val="17"/>
          <w:color w:val="auto"/>
        </w:rPr>
      </w:pPr>
    </w:p>
    <w:p>
      <w:pPr>
        <w:ind w:left="200" w:hanging="196"/>
        <w:spacing w:after="0"/>
        <w:tabs>
          <w:tab w:leader="none" w:pos="200" w:val="left"/>
        </w:tabs>
        <w:numPr>
          <w:ilvl w:val="0"/>
          <w:numId w:val="28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(j)</w:t>
      </w:r>
      <w:r>
        <w:rPr>
          <w:rFonts w:ascii="Times New Roman" w:cs="Times New Roman" w:eastAsia="Times New Roman" w:hAnsi="Times New Roman"/>
          <w:sz w:val="17"/>
          <w:szCs w:val="17"/>
          <w:color w:val="auto"/>
        </w:rPr>
        <w:t>, or (ii) at the election of the Required Lenders (or the Administrative Agent at the direction of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280"/>
          </w:cols>
          <w:pgMar w:left="300" w:top="1180" w:right="319" w:bottom="1440" w:gutter="0" w:footer="0" w:header="0"/>
        </w:sectPr>
      </w:pPr>
    </w:p>
    <w:bookmarkStart w:id="459" w:name="page460"/>
    <w:bookmarkEnd w:id="459"/>
    <w:p>
      <w:pPr>
        <w:jc w:val="both"/>
        <w:spacing w:after="0" w:line="239" w:lineRule="auto"/>
        <w:rPr>
          <w:sz w:val="20"/>
          <w:szCs w:val="20"/>
          <w:color w:val="auto"/>
        </w:rPr>
      </w:pPr>
      <w:r>
        <w:rPr>
          <w:rFonts w:ascii="Times New Roman" w:cs="Times New Roman" w:eastAsia="Times New Roman" w:hAnsi="Times New Roman"/>
          <w:sz w:val="17"/>
          <w:szCs w:val="17"/>
          <w:color w:val="auto"/>
        </w:rPr>
        <w:t>Lenders), upon the occurrence and during the continuance of any other Event of Default, (A) the Borrower shall no longer have the option to request SOFR Loans, Swingline Loans or Letters of Credit, (B) all outstanding SOFR Loans shall bear interest at a rate per annum of two percent (2%) in excess of the rate (including the Applicable Margin) then applicable to SOFR Loans until the applicable Interest Payment Date and thereafter at a rate per annum of two percent (2%) in excess of the rate (including the Applicable Margin) then applicable to Base Rate Loans, (C) all outstanding Base Rate Loans and other Obligations arising hereunder or under any other Loan Document shall bear interest at a rate per annum of two percent (2%) in excess of the rate (including the Applicable Margin) then applicable to Base Rate Loans or such other Obligations arising hereunder or under any other Loan Document and (D) all accrued and unpaid interest shall be due and payable on demand of the Administrative Agent. Interest shall continue to accrue on the Obligations after the filing by or against the Borrower of any petition seeking any relief in bankruptcy or under any Debtor Relief Law.</w:t>
      </w:r>
    </w:p>
    <w:p>
      <w:pPr>
        <w:spacing w:after="0" w:line="156" w:lineRule="exact"/>
        <w:rPr>
          <w:sz w:val="20"/>
          <w:szCs w:val="20"/>
          <w:color w:val="auto"/>
        </w:rPr>
      </w:pPr>
    </w:p>
    <w:p>
      <w:pPr>
        <w:jc w:val="both"/>
        <w:ind w:firstLine="754"/>
        <w:spacing w:after="0" w:line="261" w:lineRule="auto"/>
        <w:tabs>
          <w:tab w:leader="none" w:pos="1115"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Payment and Computation</w:t>
      </w:r>
      <w:r>
        <w:rPr>
          <w:rFonts w:ascii="Times New Roman" w:cs="Times New Roman" w:eastAsia="Times New Roman" w:hAnsi="Times New Roman"/>
          <w:sz w:val="16"/>
          <w:szCs w:val="16"/>
          <w:color w:val="auto"/>
        </w:rPr>
        <w:t>. Interest on each Revolving Credit Loan shall be due and payable in arrears on each Interest Payment Date (for the avoidance of doubt, Revolving Credit Loans may be repaid without repaying accrued interest thereon and no penalty, premium or interest shall be charged on accrued interest so long as such accrued interest is paid on the applicable Interest Payment Date).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134" w:lineRule="exact"/>
        <w:rPr>
          <w:rFonts w:ascii="Times New Roman" w:cs="Times New Roman" w:eastAsia="Times New Roman" w:hAnsi="Times New Roman"/>
          <w:sz w:val="16"/>
          <w:szCs w:val="16"/>
          <w:color w:val="auto"/>
        </w:rPr>
      </w:pPr>
    </w:p>
    <w:p>
      <w:pPr>
        <w:jc w:val="both"/>
        <w:ind w:firstLine="754"/>
        <w:spacing w:after="0" w:line="258" w:lineRule="auto"/>
        <w:tabs>
          <w:tab w:leader="none" w:pos="1125"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Maximum Rate</w:t>
      </w:r>
      <w:r>
        <w:rPr>
          <w:rFonts w:ascii="Times New Roman" w:cs="Times New Roman" w:eastAsia="Times New Roman" w:hAnsi="Times New Roman"/>
          <w:sz w:val="16"/>
          <w:szCs w:val="16"/>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 any interest received by the Lenders in excess of the maximum lawful rate or (ii) apply such excess to the principal balance of the Obligations. It is the intent hereof that the Borrower not pay or contract to pay, and that neither the Administrative Agent nor any Lender receive or contract to receive, directly or indirectly in any manner whatsoever, interest in excess of that which may be paid by the Borrower under Applicable Law.</w:t>
      </w:r>
    </w:p>
    <w:p>
      <w:pPr>
        <w:spacing w:after="0" w:line="129" w:lineRule="exact"/>
        <w:rPr>
          <w:rFonts w:ascii="Times New Roman" w:cs="Times New Roman" w:eastAsia="Times New Roman" w:hAnsi="Times New Roman"/>
          <w:sz w:val="16"/>
          <w:szCs w:val="16"/>
          <w:color w:val="auto"/>
        </w:rPr>
      </w:pPr>
    </w:p>
    <w:p>
      <w:pPr>
        <w:jc w:val="both"/>
        <w:ind w:firstLine="754"/>
        <w:spacing w:after="0" w:line="245" w:lineRule="auto"/>
        <w:tabs>
          <w:tab w:leader="none" w:pos="1115"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Adjusted Daily Simple SOFR Conforming Changes</w:t>
      </w:r>
      <w:r>
        <w:rPr>
          <w:rFonts w:ascii="Times New Roman" w:cs="Times New Roman" w:eastAsia="Times New Roman" w:hAnsi="Times New Roman"/>
          <w:sz w:val="17"/>
          <w:szCs w:val="17"/>
          <w:color w:val="auto"/>
        </w:rPr>
        <w:t>. In connection with the use or administration of Adjusted Daily Simple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Adjusted Daily Simple SOFR.</w:t>
      </w:r>
    </w:p>
    <w:p>
      <w:pPr>
        <w:spacing w:after="0" w:line="138"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5.2</w:t>
      </w:r>
      <w:r>
        <w:rPr>
          <w:sz w:val="20"/>
          <w:szCs w:val="20"/>
          <w:color w:val="auto"/>
        </w:rPr>
        <w:tab/>
      </w:r>
      <w:r>
        <w:rPr>
          <w:rFonts w:ascii="Times New Roman" w:cs="Times New Roman" w:eastAsia="Times New Roman" w:hAnsi="Times New Roman"/>
          <w:sz w:val="16"/>
          <w:szCs w:val="16"/>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280"/>
          </w:cols>
          <w:pgMar w:left="300" w:top="1181" w:right="319" w:bottom="1440" w:gutter="0" w:footer="0" w:header="0"/>
        </w:sectPr>
      </w:pPr>
    </w:p>
    <w:bookmarkStart w:id="460" w:name="page461"/>
    <w:bookmarkEnd w:id="460"/>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5.3</w:t>
      </w:r>
      <w:r>
        <w:rPr>
          <w:sz w:val="20"/>
          <w:szCs w:val="20"/>
          <w:color w:val="auto"/>
        </w:rPr>
        <w:tab/>
      </w:r>
      <w:r>
        <w:rPr>
          <w:rFonts w:ascii="Times New Roman" w:cs="Times New Roman" w:eastAsia="Times New Roman" w:hAnsi="Times New Roman"/>
          <w:sz w:val="16"/>
          <w:szCs w:val="16"/>
          <w:u w:val="single" w:color="auto"/>
          <w:color w:val="auto"/>
        </w:rPr>
        <w:t>Fees.</w:t>
      </w:r>
    </w:p>
    <w:p>
      <w:pPr>
        <w:spacing w:after="0" w:line="151" w:lineRule="exact"/>
        <w:rPr>
          <w:sz w:val="20"/>
          <w:szCs w:val="20"/>
          <w:color w:val="auto"/>
        </w:rPr>
      </w:pPr>
    </w:p>
    <w:p>
      <w:pPr>
        <w:jc w:val="both"/>
        <w:ind w:firstLine="509"/>
        <w:spacing w:after="0" w:line="231" w:lineRule="auto"/>
        <w:tabs>
          <w:tab w:leader="none" w:pos="944"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xml:space="preserve">. Commencing on the Closing Date, subject to </w:t>
      </w:r>
      <w:r>
        <w:rPr>
          <w:rFonts w:ascii="Times New Roman" w:cs="Times New Roman" w:eastAsia="Times New Roman" w:hAnsi="Times New Roman"/>
          <w:sz w:val="17"/>
          <w:szCs w:val="17"/>
          <w:u w:val="single" w:color="auto"/>
          <w:color w:val="auto"/>
        </w:rPr>
        <w:t>Section 5.15(a)(iii)(A)</w:t>
      </w:r>
      <w:r>
        <w:rPr>
          <w:rFonts w:ascii="Times New Roman" w:cs="Times New Roman" w:eastAsia="Times New Roman" w:hAnsi="Times New Roman"/>
          <w:sz w:val="17"/>
          <w:szCs w:val="17"/>
          <w:color w:val="auto"/>
        </w:rPr>
        <w:t>, the Borrower shall pay to the Administrative Agent, for the account of the Revolving Credit Lenders, a non-refundable commitment fee (the “</w:t>
      </w: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xml:space="preserve">”) at a rate per annum equal to the applicable amount for Commitment Fees as set forth in the definition of Applicable Margin on the average daily unused portion of the Revolving Credit Commitment of the Revolving Credit Lenders (other than the Defaulting Lenders, if 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and ending on the date upon which all Obligations (other than contingent indemnification obligations not then due) arising under the Revolving Credit Facility shall have been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such Revolving Credit Lenders’ respective Revolving Credit Commitment Percentages.</w:t>
      </w:r>
    </w:p>
    <w:p>
      <w:pPr>
        <w:spacing w:after="0" w:line="146" w:lineRule="exact"/>
        <w:rPr>
          <w:rFonts w:ascii="Times New Roman" w:cs="Times New Roman" w:eastAsia="Times New Roman" w:hAnsi="Times New Roman"/>
          <w:sz w:val="17"/>
          <w:szCs w:val="17"/>
          <w:color w:val="auto"/>
        </w:rPr>
      </w:pPr>
    </w:p>
    <w:p>
      <w:pPr>
        <w:jc w:val="both"/>
        <w:ind w:firstLine="509"/>
        <w:spacing w:after="0" w:line="239" w:lineRule="auto"/>
        <w:tabs>
          <w:tab w:leader="none" w:pos="89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Fees</w:t>
      </w:r>
      <w:r>
        <w:rPr>
          <w:rFonts w:ascii="Times New Roman" w:cs="Times New Roman" w:eastAsia="Times New Roman" w:hAnsi="Times New Roman"/>
          <w:sz w:val="17"/>
          <w:szCs w:val="17"/>
          <w:color w:val="auto"/>
        </w:rPr>
        <w:t>. The Borrower shall pay to the Arranger and the Administrative Agent for their own respective accounts fees in the amounts and at the times specified in their Fee Letter. The Borrower shall pay to the Lenders such fees as shall have been separately agreed upon in writing between Borrower, the Arranger and the Administrative Agent in the amounts and at the times so specified.</w:t>
      </w:r>
    </w:p>
    <w:p>
      <w:pPr>
        <w:spacing w:after="0" w:line="131"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xml:space="preserve">. Each payment by the Borrower on account of the principal of or interest on the Loans or of any fee, commission or other amounts (including the Reimbursement Obligation) payable to the Lenders under this Agreement shall be made not later than 1:00 p.m. on the date specified for payment under this Agreement to the Administrative Agent at the Administrative Agent’s Office for the account of the Lenders entitled to such payment in Dollars, in immediately available funds and shall be made without any setoff, counterclaim or deduction whatsoever. Any payment received after such time but before 2:00 p.m. on such day shall be deemed a payment on such date for the purposes of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Times New Roman" w:cs="Times New Roman" w:eastAsia="Times New Roman" w:hAnsi="Times New Roman"/>
          <w:sz w:val="16"/>
          <w:szCs w:val="16"/>
          <w:u w:val="single" w:color="auto"/>
          <w:color w:val="auto"/>
        </w:rPr>
        <w:t>Sections 5.9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12.3</w:t>
      </w:r>
      <w:r>
        <w:rPr>
          <w:rFonts w:ascii="Times New Roman" w:cs="Times New Roman" w:eastAsia="Times New Roman" w:hAnsi="Times New Roman"/>
          <w:sz w:val="16"/>
          <w:szCs w:val="16"/>
          <w:color w:val="auto"/>
        </w:rPr>
        <w:t xml:space="preserve"> shall be paid to the Administrative Agent for the account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280"/>
          </w:cols>
          <w:pgMar w:left="300" w:top="1180" w:right="319" w:bottom="1440" w:gutter="0" w:footer="0" w:header="0"/>
        </w:sectPr>
      </w:pPr>
    </w:p>
    <w:bookmarkStart w:id="461" w:name="page462"/>
    <w:bookmarkEnd w:id="461"/>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Lender. Subject to the definition of Interest Payment Date,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the Borrower to such Defaulting Lender hereunder shall be applied in accordance with </w:t>
      </w:r>
      <w:r>
        <w:rPr>
          <w:rFonts w:ascii="Times New Roman" w:cs="Times New Roman" w:eastAsia="Times New Roman" w:hAnsi="Times New Roman"/>
          <w:sz w:val="17"/>
          <w:szCs w:val="17"/>
          <w:u w:val="single" w:color="auto"/>
          <w:color w:val="auto"/>
        </w:rPr>
        <w:t>Section 5.15(a)(ii)</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5.5</w:t>
      </w:r>
      <w:r>
        <w:rPr>
          <w:sz w:val="20"/>
          <w:szCs w:val="20"/>
          <w:color w:val="auto"/>
        </w:rPr>
        <w:tab/>
      </w:r>
      <w:r>
        <w:rPr>
          <w:rFonts w:ascii="Times New Roman" w:cs="Times New Roman" w:eastAsia="Times New Roman" w:hAnsi="Times New Roman"/>
          <w:sz w:val="16"/>
          <w:szCs w:val="16"/>
          <w:u w:val="single" w:color="auto"/>
          <w:color w:val="auto"/>
        </w:rPr>
        <w:t>Evidence of Indebtedness</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jc w:val="both"/>
        <w:ind w:firstLine="509"/>
        <w:spacing w:after="0" w:line="239" w:lineRule="auto"/>
        <w:tabs>
          <w:tab w:leader="none" w:pos="881"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Extensions of Credit</w:t>
      </w:r>
      <w:r>
        <w:rPr>
          <w:rFonts w:ascii="Times New Roman" w:cs="Times New Roman" w:eastAsia="Times New Roman" w:hAnsi="Times New Roman"/>
          <w:sz w:val="17"/>
          <w:szCs w:val="17"/>
          <w:color w:val="auto"/>
        </w:rPr>
        <w:t>. The Extensions of Credit made by each Lender and each Issuing Lender shall be evidenced by one (1)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Revolving Credit Note and/or Swingline Note, as applicable, which shall evidence such Lender’s Revolving Credit Loans and/or Swingline Loans, as applicable, in addition to such accounts or records. Each Lender may attach schedules to its Notes and endorse thereon the date, amount and maturity of its Loans and payments with respect thereto.</w:t>
      </w:r>
    </w:p>
    <w:p>
      <w:pPr>
        <w:spacing w:after="0" w:line="155" w:lineRule="exact"/>
        <w:rPr>
          <w:rFonts w:ascii="Times New Roman" w:cs="Times New Roman" w:eastAsia="Times New Roman" w:hAnsi="Times New Roman"/>
          <w:sz w:val="17"/>
          <w:szCs w:val="17"/>
          <w:color w:val="auto"/>
        </w:rPr>
      </w:pPr>
    </w:p>
    <w:p>
      <w:pPr>
        <w:jc w:val="both"/>
        <w:ind w:firstLine="509"/>
        <w:spacing w:after="0" w:line="245" w:lineRule="auto"/>
        <w:tabs>
          <w:tab w:leader="none" w:pos="922"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37"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Sharing of Payments by Lenders</w:t>
      </w:r>
      <w:r>
        <w:rPr>
          <w:rFonts w:ascii="Times New Roman" w:cs="Times New Roman" w:eastAsia="Times New Roman" w:hAnsi="Times New Roman"/>
          <w:sz w:val="17"/>
          <w:szCs w:val="17"/>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 w:cs="Times New Roman" w:eastAsia="Times New Roman" w:hAnsi="Times New Roman"/>
          <w:sz w:val="17"/>
          <w:szCs w:val="17"/>
          <w:u w:val="single" w:color="auto"/>
          <w:color w:val="auto"/>
        </w:rPr>
        <w:t>Sections 5.9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12.3</w:t>
      </w:r>
      <w:r>
        <w:rPr>
          <w:rFonts w:ascii="Times New Roman" w:cs="Times New Roman" w:eastAsia="Times New Roman" w:hAnsi="Times New Roman"/>
          <w:sz w:val="17"/>
          <w:szCs w:val="17"/>
          <w:color w:val="auto"/>
        </w:rPr>
        <w:t xml:space="preserve">) greater than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280"/>
          </w:cols>
          <w:pgMar w:left="300" w:top="1181" w:right="319" w:bottom="1440" w:gutter="0" w:footer="0" w:header="0"/>
        </w:sectPr>
      </w:pPr>
    </w:p>
    <w:bookmarkStart w:id="462" w:name="page463"/>
    <w:bookmarkEnd w:id="462"/>
    <w:p>
      <w:pPr>
        <w:ind w:left="500" w:firstLine="513"/>
        <w:spacing w:after="0" w:line="246" w:lineRule="auto"/>
        <w:tabs>
          <w:tab w:leader="none" w:pos="1333"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35" w:lineRule="exact"/>
        <w:rPr>
          <w:rFonts w:ascii="Times New Roman" w:cs="Times New Roman" w:eastAsia="Times New Roman" w:hAnsi="Times New Roman"/>
          <w:sz w:val="17"/>
          <w:szCs w:val="17"/>
          <w:color w:val="auto"/>
        </w:rPr>
      </w:pPr>
    </w:p>
    <w:p>
      <w:pPr>
        <w:jc w:val="both"/>
        <w:ind w:left="500" w:firstLine="513"/>
        <w:spacing w:after="0" w:line="234" w:lineRule="auto"/>
        <w:tabs>
          <w:tab w:leader="none" w:pos="1394"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this paragraph shall not be construed to apply to (A) any payment made by the Borrower pursuant to and in accordance with the express terms of this Agreement (including the application of funds arising from the existence of a Defaulting Lender or a Disqualified Institution), (B) the application of Cash Collateral provided for in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or (C) any payment obtained by a Lender as consideration for the assignment of, or sale of, a participation in any of its Loans or participations in Swingline Loans and Letters of Credit to any assignee or participant, other than to the Borrower or any of its Subsidiaries or Affiliates (as to which the provisions of this paragraph shall apply).</w:t>
      </w:r>
    </w:p>
    <w:p>
      <w:pPr>
        <w:spacing w:after="0" w:line="140"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41"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5.7</w:t>
      </w:r>
      <w:r>
        <w:rPr>
          <w:sz w:val="20"/>
          <w:szCs w:val="20"/>
          <w:color w:val="auto"/>
        </w:rPr>
        <w:tab/>
      </w:r>
      <w:r>
        <w:rPr>
          <w:rFonts w:ascii="Times New Roman" w:cs="Times New Roman" w:eastAsia="Times New Roman" w:hAnsi="Times New Roman"/>
          <w:sz w:val="16"/>
          <w:szCs w:val="16"/>
          <w:u w:val="single" w:color="auto"/>
          <w:color w:val="auto"/>
        </w:rPr>
        <w:t>Administrative Agent’s Clawback</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both"/>
        <w:ind w:firstLine="509"/>
        <w:spacing w:after="0" w:line="246" w:lineRule="auto"/>
        <w:tabs>
          <w:tab w:leader="none" w:pos="859" w:val="left"/>
        </w:tabs>
        <w:numPr>
          <w:ilvl w:val="1"/>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Funding by Lenders; Presumption by Administrative Agent</w:t>
      </w:r>
      <w:r>
        <w:rPr>
          <w:rFonts w:ascii="Times New Roman" w:cs="Times New Roman" w:eastAsia="Times New Roman" w:hAnsi="Times New Roman"/>
          <w:sz w:val="16"/>
          <w:szCs w:val="16"/>
          <w:color w:val="auto"/>
        </w:rPr>
        <w:t xml:space="preserve">. In connection with any borrowing hereunder, the Administrative Agent may assume that each Lender has made its respective share of such borrowing available on such date in accordance with </w:t>
      </w:r>
      <w:r>
        <w:rPr>
          <w:rFonts w:ascii="Times New Roman" w:cs="Times New Roman" w:eastAsia="Times New Roman" w:hAnsi="Times New Roman"/>
          <w:sz w:val="16"/>
          <w:szCs w:val="16"/>
          <w:u w:val="single" w:color="auto"/>
          <w:color w:val="auto"/>
        </w:rPr>
        <w:t>Sections 2.3(b)</w:t>
      </w:r>
      <w:r>
        <w:rPr>
          <w:rFonts w:ascii="Times New Roman" w:cs="Times New Roman" w:eastAsia="Times New Roman" w:hAnsi="Times New Roman"/>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and the corresponding amount has been made available to the Borrower,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Overnight Rate and</w:t>
      </w:r>
    </w:p>
    <w:p>
      <w:pPr>
        <w:jc w:val="both"/>
        <w:ind w:firstLine="4"/>
        <w:spacing w:after="0" w:line="229" w:lineRule="auto"/>
        <w:tabs>
          <w:tab w:leader="none" w:pos="267"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42" w:lineRule="exact"/>
        <w:rPr>
          <w:rFonts w:ascii="Times New Roman" w:cs="Times New Roman" w:eastAsia="Times New Roman" w:hAnsi="Times New Roman"/>
          <w:sz w:val="17"/>
          <w:szCs w:val="17"/>
          <w:color w:val="auto"/>
        </w:rPr>
      </w:pPr>
    </w:p>
    <w:p>
      <w:pPr>
        <w:jc w:val="both"/>
        <w:ind w:firstLine="509"/>
        <w:spacing w:after="0" w:line="237" w:lineRule="auto"/>
        <w:tabs>
          <w:tab w:leader="none" w:pos="890"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by the Borrower; Presumptions by Administrative Agent</w:t>
      </w:r>
      <w:r>
        <w:rPr>
          <w:rFonts w:ascii="Times New Roman" w:cs="Times New Roman" w:eastAsia="Times New Roman" w:hAnsi="Times New Roman"/>
          <w:sz w:val="17"/>
          <w:szCs w:val="17"/>
          <w:color w:val="auto"/>
        </w:rPr>
        <w:t>. Unless the Administrative Agent shall have received notice from the Borrower prior to the date on which any payment is due to the Administrative Agent for the account of the Lenders, the Issuing Lenders or the Swingline Lender hereunder that the Borrower will not make such payment, the Administrative Agent may assume that the Borrower has made such payment on such date in accordance herewith and may, in reliance upon such assumption, distribute to the Lenders, the Issuing Lenders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280"/>
          </w:cols>
          <w:pgMar w:left="300" w:top="1181" w:right="319" w:bottom="1440" w:gutter="0" w:footer="0" w:header="0"/>
        </w:sectPr>
      </w:pPr>
    </w:p>
    <w:bookmarkStart w:id="463" w:name="page464"/>
    <w:bookmarkEnd w:id="463"/>
    <w:p>
      <w:pPr>
        <w:jc w:val="both"/>
        <w:spacing w:after="0" w:line="234" w:lineRule="auto"/>
        <w:rPr>
          <w:sz w:val="20"/>
          <w:szCs w:val="20"/>
          <w:color w:val="auto"/>
        </w:rPr>
      </w:pPr>
      <w:r>
        <w:rPr>
          <w:rFonts w:ascii="Times New Roman" w:cs="Times New Roman" w:eastAsia="Times New Roman" w:hAnsi="Times New Roman"/>
          <w:sz w:val="17"/>
          <w:szCs w:val="17"/>
          <w:color w:val="auto"/>
        </w:rPr>
        <w:t>Swingline Lender, as the case may be, the amount due. In such event, if the Borrower has not in fact made such payment, then each of the Lenders, the Issuing Lenders or the Swingline Lender, as the case maybe, severally agrees to repay to the Administrative Agent forthwith on demand the amount so distributed to such Lender, Issuing Lender or the Swingline Lender, with interest thereon, for each day from and including the date such amount is distributed to it to but excluding the date of payment to the Administrative Agent, at the Overnight Rate.</w:t>
      </w:r>
    </w:p>
    <w:p>
      <w:pPr>
        <w:spacing w:after="0" w:line="142" w:lineRule="exact"/>
        <w:rPr>
          <w:sz w:val="20"/>
          <w:szCs w:val="20"/>
          <w:color w:val="auto"/>
        </w:rPr>
      </w:pPr>
    </w:p>
    <w:p>
      <w:pPr>
        <w:jc w:val="both"/>
        <w:ind w:firstLine="509"/>
        <w:spacing w:after="0" w:line="234" w:lineRule="auto"/>
        <w:tabs>
          <w:tab w:leader="none" w:pos="87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Obligations of Lenders</w:t>
      </w:r>
      <w:r>
        <w:rPr>
          <w:rFonts w:ascii="Times New Roman" w:cs="Times New Roman" w:eastAsia="Times New Roman" w:hAnsi="Times New Roman"/>
          <w:sz w:val="17"/>
          <w:szCs w:val="17"/>
          <w:color w:val="auto"/>
        </w:rPr>
        <w:t xml:space="preserve">. The obligations of the Lenders under this Agreement to make the Loans, to issue or participate in Letters of Credit and to make payments under this Section, </w:t>
      </w:r>
      <w:r>
        <w:rPr>
          <w:rFonts w:ascii="Times New Roman" w:cs="Times New Roman" w:eastAsia="Times New Roman" w:hAnsi="Times New Roman"/>
          <w:sz w:val="17"/>
          <w:szCs w:val="17"/>
          <w:u w:val="single" w:color="auto"/>
          <w:color w:val="auto"/>
        </w:rPr>
        <w:t>Section 5.11(e)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12.3(c)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12.7</w:t>
      </w:r>
      <w:r>
        <w:rPr>
          <w:rFonts w:ascii="Times New Roman" w:cs="Times New Roman" w:eastAsia="Times New Roman" w:hAnsi="Times New Roman"/>
          <w:sz w:val="17"/>
          <w:szCs w:val="17"/>
          <w:color w:val="auto"/>
        </w:rPr>
        <w:t>, as applicable, are several and are not joint or joint and several. The failure of any Lender to make available its Commitment Percentage of any Loan requested by the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140"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5.8</w:t>
      </w:r>
      <w:r>
        <w:rPr>
          <w:sz w:val="20"/>
          <w:szCs w:val="20"/>
          <w:color w:val="auto"/>
        </w:rPr>
        <w:tab/>
      </w:r>
      <w:r>
        <w:rPr>
          <w:rFonts w:ascii="Times New Roman" w:cs="Times New Roman" w:eastAsia="Times New Roman" w:hAnsi="Times New Roman"/>
          <w:sz w:val="16"/>
          <w:szCs w:val="16"/>
          <w:u w:val="single" w:color="auto"/>
          <w:color w:val="auto"/>
        </w:rPr>
        <w:t>Changed Circumstances.</w:t>
      </w:r>
    </w:p>
    <w:p>
      <w:pPr>
        <w:spacing w:after="0" w:line="162" w:lineRule="exact"/>
        <w:rPr>
          <w:sz w:val="20"/>
          <w:szCs w:val="20"/>
          <w:color w:val="auto"/>
        </w:rPr>
      </w:pPr>
    </w:p>
    <w:p>
      <w:pPr>
        <w:jc w:val="both"/>
        <w:ind w:firstLine="509"/>
        <w:spacing w:after="0" w:line="229" w:lineRule="auto"/>
        <w:tabs>
          <w:tab w:leader="none" w:pos="891"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Circumstances Affecting Benchmark Availability</w:t>
      </w:r>
      <w:r>
        <w:rPr>
          <w:rFonts w:ascii="Times New Roman" w:cs="Times New Roman" w:eastAsia="Times New Roman" w:hAnsi="Times New Roman"/>
          <w:sz w:val="17"/>
          <w:szCs w:val="17"/>
          <w:color w:val="auto"/>
        </w:rPr>
        <w:t xml:space="preserve">. Subject to clause (c) below, in connection with any request for a SOFR Loan or otherwise, if for any reason (i) the Administrative Agent shall determine (which determination shall be conclusive and binding absent manifest error) that reasonable and adequate means do not exist for ascertaining Adjusted Daily Simple SOFR pursuant to the definition thereof or (ii) the Required Lenders shall determine (which determination shall be conclusive and binding absent manifest error) that Adjusted Daily Simple SOFR does not adequately and fairly reflect the cost to such Lenders of making or maintaining such Loans and, in the case of clause (ii),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shall be suspended (to the extent of the affected SOFR Loans) until the Administrative Agent (with respect to clause (ii), at the instruction of the Required Lenders) revokes such notice. Upon receipt of such notice, (A) the Borrower may revoke any pending request for a borrowing of SOFR Loans (to the extent of the affected SOFR Loans) or, failing that, the Borrower will be deemed to have converted any such request into a request for a borrowing of Base Rate Loans in the amount specified therein and (B) any outstanding affected SOFR Loans will be deemed to have been converted into Base Rate Loans immediately.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jc w:val="both"/>
        <w:ind w:firstLine="509"/>
        <w:spacing w:after="0" w:line="233" w:lineRule="auto"/>
        <w:tabs>
          <w:tab w:leader="none" w:pos="88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Laws Affecting SOFR Availability</w:t>
      </w:r>
      <w:r>
        <w:rPr>
          <w:rFonts w:ascii="Times New Roman" w:cs="Times New Roman" w:eastAsia="Times New Roman" w:hAnsi="Times New Roman"/>
          <w:sz w:val="17"/>
          <w:szCs w:val="17"/>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or Adjusted Daily Simple SOFR, such Lender shall promptly give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280"/>
          </w:cols>
          <w:pgMar w:left="300" w:top="1181" w:right="319" w:bottom="1440" w:gutter="0" w:footer="0" w:header="0"/>
        </w:sectPr>
      </w:pPr>
    </w:p>
    <w:bookmarkStart w:id="464" w:name="page465"/>
    <w:bookmarkEnd w:id="464"/>
    <w:p>
      <w:pPr>
        <w:jc w:val="both"/>
        <w:spacing w:after="0" w:line="230" w:lineRule="auto"/>
        <w:rPr>
          <w:sz w:val="20"/>
          <w:szCs w:val="20"/>
          <w:color w:val="auto"/>
        </w:rPr>
      </w:pPr>
      <w:r>
        <w:rPr>
          <w:rFonts w:ascii="Times New Roman" w:cs="Times New Roman" w:eastAsia="Times New Roman" w:hAnsi="Times New Roman"/>
          <w:sz w:val="17"/>
          <w:szCs w:val="17"/>
          <w:color w:val="auto"/>
        </w:rPr>
        <w:t>to the Administrative Agent and the Administrative Agent shall promptly give notice to the Borrower and the other Lenders (an “</w:t>
      </w:r>
      <w:r>
        <w:rPr>
          <w:rFonts w:ascii="Times New Roman" w:cs="Times New Roman" w:eastAsia="Times New Roman" w:hAnsi="Times New Roman"/>
          <w:sz w:val="17"/>
          <w:szCs w:val="17"/>
          <w:u w:val="single" w:color="auto"/>
          <w:color w:val="auto"/>
        </w:rPr>
        <w:t>Illegality Notice</w:t>
      </w:r>
      <w:r>
        <w:rPr>
          <w:rFonts w:ascii="Times New Roman" w:cs="Times New Roman" w:eastAsia="Times New Roman" w:hAnsi="Times New Roman"/>
          <w:sz w:val="17"/>
          <w:szCs w:val="17"/>
          <w:color w:val="auto"/>
        </w:rPr>
        <w:t xml:space="preserve">”). Thereafter, until each affected Lender notifies the Administrative Agent and the Administrative Agent notifies the Borrower that the circumstances giving rise to such determination no longer exist, (i) any obligation of the Lenders to make SOFR Loans,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prepay or, if applicable, convert all SOFR Loans to Base Rate Loans (in each case, if necessary to avoid such illegality, the Administrative Agent shall compute the Base Rate without reference to clause (c) of the definition of “Base Rate”), on the Interest Payment Date therefor, if all affected Lenders may lawfully continue to maintain such SOFR Loans to such day, or immediately, if any Lender may not lawfully continue to maintain such SOFR Loans to such day. Upon any such prepayment, the Borrower shall also pay accrued interest on the amount so prepaid or converted, together with any additional amounts required pursuant to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860" w:hanging="351"/>
        <w:spacing w:after="0"/>
        <w:tabs>
          <w:tab w:leader="none" w:pos="860"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Benchmark Replacement Setting.</w:t>
      </w:r>
    </w:p>
    <w:p>
      <w:pPr>
        <w:spacing w:after="0" w:line="161" w:lineRule="exact"/>
        <w:rPr>
          <w:rFonts w:ascii="Times New Roman" w:cs="Times New Roman" w:eastAsia="Times New Roman" w:hAnsi="Times New Roman"/>
          <w:sz w:val="17"/>
          <w:szCs w:val="17"/>
          <w:color w:val="auto"/>
        </w:rPr>
      </w:pPr>
    </w:p>
    <w:p>
      <w:pPr>
        <w:ind w:left="1340" w:hanging="327"/>
        <w:spacing w:after="0"/>
        <w:tabs>
          <w:tab w:leader="none" w:pos="1340" w:val="left"/>
        </w:tabs>
        <w:numPr>
          <w:ilvl w:val="1"/>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left="1020" w:firstLine="498"/>
        <w:spacing w:after="0" w:line="225" w:lineRule="auto"/>
        <w:tabs>
          <w:tab w:leader="none" w:pos="1961" w:val="left"/>
        </w:tabs>
        <w:numPr>
          <w:ilvl w:val="2"/>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7"/>
          <w:szCs w:val="17"/>
          <w:u w:val="single" w:color="auto"/>
          <w:color w:val="auto"/>
        </w:rPr>
        <w:t>Section 5.8(c)(i)(A)</w:t>
      </w:r>
      <w:r>
        <w:rPr>
          <w:rFonts w:ascii="Times New Roman" w:cs="Times New Roman" w:eastAsia="Times New Roman" w:hAnsi="Times New Roman"/>
          <w:sz w:val="17"/>
          <w:szCs w:val="17"/>
          <w:color w:val="auto"/>
        </w:rPr>
        <w:t xml:space="preserve"> will occur prior to the applicable Benchmark Transition Start Date.</w:t>
      </w:r>
    </w:p>
    <w:p>
      <w:pPr>
        <w:spacing w:after="0" w:line="139" w:lineRule="exact"/>
        <w:rPr>
          <w:rFonts w:ascii="Times New Roman" w:cs="Times New Roman" w:eastAsia="Times New Roman" w:hAnsi="Times New Roman"/>
          <w:sz w:val="17"/>
          <w:szCs w:val="17"/>
          <w:color w:val="auto"/>
        </w:rPr>
      </w:pPr>
    </w:p>
    <w:p>
      <w:pPr>
        <w:ind w:left="1920" w:hanging="402"/>
        <w:spacing w:after="0"/>
        <w:tabs>
          <w:tab w:leader="none" w:pos="1920" w:val="left"/>
        </w:tabs>
        <w:numPr>
          <w:ilvl w:val="2"/>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Hedge Agreement shall be deemed to be a “Loan Document” for purposes of this </w:t>
      </w:r>
      <w:r>
        <w:rPr>
          <w:rFonts w:ascii="Times New Roman" w:cs="Times New Roman" w:eastAsia="Times New Roman" w:hAnsi="Times New Roman"/>
          <w:sz w:val="17"/>
          <w:szCs w:val="17"/>
          <w:u w:val="single" w:color="auto"/>
          <w:color w:val="auto"/>
        </w:rPr>
        <w:t>Section 5.8(c)</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left="500" w:firstLine="513"/>
        <w:spacing w:after="0" w:line="237" w:lineRule="auto"/>
        <w:tabs>
          <w:tab w:leader="none" w:pos="1526" w:val="left"/>
        </w:tabs>
        <w:numPr>
          <w:ilvl w:val="1"/>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 Conforming Changes</w:t>
      </w:r>
      <w:r>
        <w:rPr>
          <w:rFonts w:ascii="Times New Roman" w:cs="Times New Roman" w:eastAsia="Times New Roman" w:hAnsi="Times New Roman"/>
          <w:sz w:val="17"/>
          <w:szCs w:val="17"/>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42" w:lineRule="exact"/>
        <w:rPr>
          <w:rFonts w:ascii="Times New Roman" w:cs="Times New Roman" w:eastAsia="Times New Roman" w:hAnsi="Times New Roman"/>
          <w:sz w:val="17"/>
          <w:szCs w:val="17"/>
          <w:color w:val="auto"/>
        </w:rPr>
      </w:pPr>
    </w:p>
    <w:p>
      <w:pPr>
        <w:jc w:val="both"/>
        <w:ind w:left="500" w:firstLine="513"/>
        <w:spacing w:after="0" w:line="239" w:lineRule="auto"/>
        <w:tabs>
          <w:tab w:leader="none" w:pos="1467" w:val="left"/>
        </w:tabs>
        <w:numPr>
          <w:ilvl w:val="1"/>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Standards for Decisions and Determinations</w:t>
      </w:r>
      <w:r>
        <w:rPr>
          <w:rFonts w:ascii="Times New Roman" w:cs="Times New Roman" w:eastAsia="Times New Roman" w:hAnsi="Times New Roman"/>
          <w:sz w:val="17"/>
          <w:szCs w:val="17"/>
          <w:color w:val="auto"/>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280"/>
          </w:cols>
          <w:pgMar w:left="300" w:top="1181" w:right="319" w:bottom="1440" w:gutter="0" w:footer="0" w:header="0"/>
        </w:sectPr>
      </w:pPr>
    </w:p>
    <w:bookmarkStart w:id="465" w:name="page466"/>
    <w:bookmarkEnd w:id="465"/>
    <w:p>
      <w:pPr>
        <w:jc w:val="both"/>
        <w:ind w:left="500"/>
        <w:spacing w:after="0" w:line="224" w:lineRule="auto"/>
        <w:rPr>
          <w:sz w:val="20"/>
          <w:szCs w:val="20"/>
          <w:color w:val="auto"/>
        </w:rPr>
      </w:pPr>
      <w:r>
        <w:rPr>
          <w:rFonts w:ascii="Times New Roman" w:cs="Times New Roman" w:eastAsia="Times New Roman" w:hAnsi="Times New Roman"/>
          <w:sz w:val="17"/>
          <w:szCs w:val="17"/>
          <w:color w:val="auto"/>
        </w:rPr>
        <w:t xml:space="preserve">reinstatement of any tenor of a Benchmark pursuant to </w:t>
      </w:r>
      <w:r>
        <w:rPr>
          <w:rFonts w:ascii="Times New Roman" w:cs="Times New Roman" w:eastAsia="Times New Roman" w:hAnsi="Times New Roman"/>
          <w:sz w:val="17"/>
          <w:szCs w:val="17"/>
          <w:u w:val="single" w:color="auto"/>
          <w:color w:val="auto"/>
        </w:rPr>
        <w:t>Section 5.8(c)(iv)</w:t>
      </w:r>
      <w:r>
        <w:rPr>
          <w:rFonts w:ascii="Times New Roman" w:cs="Times New Roman" w:eastAsia="Times New Roman" w:hAnsi="Times New Roman"/>
          <w:sz w:val="17"/>
          <w:szCs w:val="17"/>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7"/>
          <w:szCs w:val="17"/>
          <w:u w:val="single" w:color="auto"/>
          <w:color w:val="auto"/>
        </w:rPr>
        <w:t>Section</w:t>
      </w:r>
    </w:p>
    <w:p>
      <w:pPr>
        <w:jc w:val="both"/>
        <w:ind w:left="500"/>
        <w:spacing w:after="0" w:line="225" w:lineRule="auto"/>
        <w:rPr>
          <w:sz w:val="20"/>
          <w:szCs w:val="20"/>
          <w:color w:val="auto"/>
        </w:rPr>
      </w:pPr>
      <w:r>
        <w:rPr>
          <w:rFonts w:ascii="Times New Roman" w:cs="Times New Roman" w:eastAsia="Times New Roman" w:hAnsi="Times New Roman"/>
          <w:sz w:val="17"/>
          <w:szCs w:val="17"/>
          <w:u w:val="single" w:color="auto"/>
          <w:color w:val="auto"/>
        </w:rPr>
        <w:t>5.8(c)</w:t>
      </w:r>
      <w:r>
        <w:rPr>
          <w:rFonts w:ascii="Times New Roman" w:cs="Times New Roman" w:eastAsia="Times New Roman" w:hAnsi="Times New Roman"/>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7"/>
          <w:szCs w:val="17"/>
          <w:u w:val="single" w:color="auto"/>
          <w:color w:val="auto"/>
        </w:rPr>
        <w:t>Section 5.8(c)</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left="500" w:firstLine="513"/>
        <w:spacing w:after="0" w:line="220" w:lineRule="auto"/>
        <w:tabs>
          <w:tab w:leader="none" w:pos="1426"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Unavailability of Tenor of Benchmark</w:t>
      </w:r>
      <w:r>
        <w:rPr>
          <w:rFonts w:ascii="Times New Roman" w:cs="Times New Roman" w:eastAsia="Times New Roman" w:hAnsi="Times New Roman"/>
          <w:sz w:val="17"/>
          <w:szCs w:val="17"/>
          <w:color w:val="auto"/>
        </w:rPr>
        <w:t>. Notwithstanding anything to the contrary herein or in any other Loan Document, at any time (including in connection with the implementation of a Benchmark Replacement), (A) if the then-current Benchmark is a term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w:t>
      </w:r>
    </w:p>
    <w:p>
      <w:pPr>
        <w:spacing w:after="0" w:line="4" w:lineRule="exact"/>
        <w:rPr>
          <w:rFonts w:ascii="Times New Roman" w:cs="Times New Roman" w:eastAsia="Times New Roman" w:hAnsi="Times New Roman"/>
          <w:sz w:val="17"/>
          <w:szCs w:val="17"/>
          <w:color w:val="auto"/>
        </w:rPr>
      </w:pPr>
    </w:p>
    <w:p>
      <w:pPr>
        <w:jc w:val="both"/>
        <w:ind w:left="500" w:firstLine="9"/>
        <w:spacing w:after="0" w:line="225" w:lineRule="auto"/>
        <w:tabs>
          <w:tab w:leader="none" w:pos="768"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21" w:lineRule="exact"/>
        <w:rPr>
          <w:rFonts w:ascii="Times New Roman" w:cs="Times New Roman" w:eastAsia="Times New Roman" w:hAnsi="Times New Roman"/>
          <w:sz w:val="17"/>
          <w:szCs w:val="17"/>
          <w:color w:val="auto"/>
        </w:rPr>
      </w:pPr>
    </w:p>
    <w:p>
      <w:pPr>
        <w:jc w:val="both"/>
        <w:ind w:left="500" w:firstLine="513"/>
        <w:spacing w:after="0" w:line="225" w:lineRule="auto"/>
        <w:tabs>
          <w:tab w:leader="none" w:pos="1422"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Unavailability Period</w:t>
      </w:r>
      <w:r>
        <w:rPr>
          <w:rFonts w:ascii="Times New Roman" w:cs="Times New Roman" w:eastAsia="Times New Roman" w:hAnsi="Times New Roman"/>
          <w:sz w:val="17"/>
          <w:szCs w:val="17"/>
          <w:color w:val="auto"/>
        </w:rPr>
        <w:t>. Upon the Borrower’s receipt of notice of the commencement of a Benchmark Unavailability Period, (A) the Borrower may revoke any pending request for a borrowing of SOFR Loans to be made during any Benchmark Unavailability Period and, failing that, the Borrower will be deemed to have converted any such request into a request for a borrowing of or conversion to Base Rate Loans and (B) any outstanding affected SOFR Loans will be deemed to have been converted to Base Rate Loans immediately.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30" w:lineRule="exact"/>
        <w:rPr>
          <w:sz w:val="20"/>
          <w:szCs w:val="20"/>
          <w:color w:val="auto"/>
        </w:rPr>
      </w:pPr>
    </w:p>
    <w:p>
      <w:pPr>
        <w:jc w:val="both"/>
        <w:ind w:firstLine="509"/>
        <w:spacing w:after="0" w:line="226" w:lineRule="auto"/>
        <w:tabs>
          <w:tab w:leader="none" w:pos="88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If, in any applicable jurisdiction, the Administrative Agent, any Issuing Lender or any Lender determines that any Applicable Law has made it unlawful, or that any Governmental Authority has asserted that it is unlawful, for the Administrative Agent, any Issuing Lender or any Lender to (i) perform any of its obligations hereunder or under any other Loan Document, (ii) to fund or maintain its participation in any Loan or (iii) issue, make, maintain, fund or charge interest or fees with respect to any Extension of Credit, such Person shall promptly notify the Administrative Agent, then, upon the Administrative Agent notifying the Borrower, and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280"/>
          </w:cols>
          <w:pgMar w:left="300" w:top="1170" w:right="319" w:bottom="1440" w:gutter="0" w:footer="0" w:header="0"/>
        </w:sectPr>
      </w:pPr>
    </w:p>
    <w:bookmarkStart w:id="466" w:name="page467"/>
    <w:bookmarkEnd w:id="466"/>
    <w:p>
      <w:pPr>
        <w:jc w:val="both"/>
        <w:spacing w:after="0" w:line="233" w:lineRule="auto"/>
        <w:rPr>
          <w:sz w:val="20"/>
          <w:szCs w:val="20"/>
          <w:color w:val="auto"/>
        </w:rPr>
      </w:pPr>
      <w:r>
        <w:rPr>
          <w:rFonts w:ascii="Times New Roman" w:cs="Times New Roman" w:eastAsia="Times New Roman" w:hAnsi="Times New Roman"/>
          <w:sz w:val="17"/>
          <w:szCs w:val="17"/>
          <w:color w:val="auto"/>
        </w:rPr>
        <w:t>such notice by such Person is revoked, any obligation of such Person to issue, make, maintain, fund or charge interest or fees with respect to any such Extension of Credit shall be suspended, and to the extent required by Applicable Law, cancelled. Upon receipt of such notice, the Credit Parties shall, (A) repay that Person’s participation in the Loans or other applicable Obligations on the Interest Payment Date for each Loan, or on another applicable date with respect to another Obligation, occurring after the Administrative Agent has notified the Borrower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33" w:lineRule="exact"/>
        <w:rPr>
          <w:sz w:val="20"/>
          <w:szCs w:val="20"/>
          <w:color w:val="auto"/>
        </w:rPr>
      </w:pPr>
    </w:p>
    <w:p>
      <w:pPr>
        <w:jc w:val="both"/>
        <w:ind w:firstLine="505"/>
        <w:spacing w:after="0" w:line="231" w:lineRule="auto"/>
        <w:rPr>
          <w:sz w:val="20"/>
          <w:szCs w:val="20"/>
          <w:color w:val="auto"/>
        </w:rPr>
      </w:pPr>
      <w:r>
        <w:rPr>
          <w:rFonts w:ascii="Times New Roman" w:cs="Times New Roman" w:eastAsia="Times New Roman" w:hAnsi="Times New Roman"/>
          <w:sz w:val="17"/>
          <w:szCs w:val="17"/>
          <w:color w:val="auto"/>
        </w:rPr>
        <w:t xml:space="preserve">Section 5.9 </w:t>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xml:space="preserve">. The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Borrower to make any payment when due of any amount due hereunder in connection with a SOFR Loan, (b) any failure of the Borrower to borrow a SOFR Loan on a date specified therefor in a Notice of Borrowing or (c) any failure of the Borrower to prepay any SOFR Loan on a date specified therefor in any Notice of Prepayment (regardless of whether any such Notice of Prepayment may be revoked under </w:t>
      </w:r>
      <w:r>
        <w:rPr>
          <w:rFonts w:ascii="Times New Roman" w:cs="Times New Roman" w:eastAsia="Times New Roman" w:hAnsi="Times New Roman"/>
          <w:sz w:val="17"/>
          <w:szCs w:val="17"/>
          <w:u w:val="single" w:color="auto"/>
          <w:color w:val="auto"/>
        </w:rPr>
        <w:t>Section 2.4(c)</w:t>
      </w:r>
      <w:r>
        <w:rPr>
          <w:rFonts w:ascii="Times New Roman" w:cs="Times New Roman" w:eastAsia="Times New Roman" w:hAnsi="Times New Roman"/>
          <w:sz w:val="17"/>
          <w:szCs w:val="17"/>
          <w:color w:val="auto"/>
        </w:rPr>
        <w:t xml:space="preserve"> and is revoked in accordance therewith). A certificate of such Lender setting forth the basis for determining such amount or amounts necessary to compensate such Lender shall be forwarded to the Borrower through the Administrative Agent and shall be conclusively presumed to be correct save for manifest error. All of the obligations of the Credit Parties under this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46"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5.10</w:t>
      </w:r>
      <w:r>
        <w:rPr>
          <w:sz w:val="20"/>
          <w:szCs w:val="20"/>
          <w:color w:val="auto"/>
        </w:rPr>
        <w:tab/>
      </w:r>
      <w:r>
        <w:rPr>
          <w:rFonts w:ascii="Times New Roman" w:cs="Times New Roman" w:eastAsia="Times New Roman" w:hAnsi="Times New Roman"/>
          <w:sz w:val="16"/>
          <w:szCs w:val="16"/>
          <w:u w:val="single" w:color="auto"/>
          <w:color w:val="auto"/>
        </w:rPr>
        <w:t>Increased Costs.</w:t>
      </w:r>
    </w:p>
    <w:p>
      <w:pPr>
        <w:spacing w:after="0" w:line="151" w:lineRule="exact"/>
        <w:rPr>
          <w:sz w:val="20"/>
          <w:szCs w:val="20"/>
          <w:color w:val="auto"/>
        </w:rPr>
      </w:pPr>
    </w:p>
    <w:p>
      <w:pPr>
        <w:ind w:left="860" w:hanging="351"/>
        <w:spacing w:after="0"/>
        <w:tabs>
          <w:tab w:leader="none" w:pos="860"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Increased Costs Generally</w:t>
      </w:r>
      <w:r>
        <w:rPr>
          <w:rFonts w:ascii="Times New Roman" w:cs="Times New Roman" w:eastAsia="Times New Roman" w:hAnsi="Times New Roman"/>
          <w:sz w:val="17"/>
          <w:szCs w:val="17"/>
          <w:color w:val="auto"/>
        </w:rPr>
        <w:t>. If any Change in Law shall:</w:t>
      </w:r>
    </w:p>
    <w:p>
      <w:pPr>
        <w:spacing w:after="0" w:line="161" w:lineRule="exact"/>
        <w:rPr>
          <w:rFonts w:ascii="Times New Roman" w:cs="Times New Roman" w:eastAsia="Times New Roman" w:hAnsi="Times New Roman"/>
          <w:sz w:val="17"/>
          <w:szCs w:val="17"/>
          <w:color w:val="auto"/>
        </w:rPr>
      </w:pPr>
    </w:p>
    <w:p>
      <w:pPr>
        <w:jc w:val="both"/>
        <w:ind w:left="500" w:firstLine="513"/>
        <w:spacing w:after="0" w:line="234" w:lineRule="auto"/>
        <w:tabs>
          <w:tab w:leader="none" w:pos="1426"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or any Issuing Lender;</w:t>
      </w:r>
    </w:p>
    <w:p>
      <w:pPr>
        <w:spacing w:after="0" w:line="140" w:lineRule="exact"/>
        <w:rPr>
          <w:rFonts w:ascii="Times New Roman" w:cs="Times New Roman" w:eastAsia="Times New Roman" w:hAnsi="Times New Roman"/>
          <w:sz w:val="17"/>
          <w:szCs w:val="17"/>
          <w:color w:val="auto"/>
        </w:rPr>
      </w:pPr>
    </w:p>
    <w:p>
      <w:pPr>
        <w:jc w:val="both"/>
        <w:ind w:left="500" w:firstLine="513"/>
        <w:spacing w:after="0" w:line="239" w:lineRule="auto"/>
        <w:tabs>
          <w:tab w:leader="none" w:pos="1386"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41" w:lineRule="exact"/>
        <w:rPr>
          <w:rFonts w:ascii="Times New Roman" w:cs="Times New Roman" w:eastAsia="Times New Roman" w:hAnsi="Times New Roman"/>
          <w:sz w:val="17"/>
          <w:szCs w:val="17"/>
          <w:color w:val="auto"/>
        </w:rPr>
      </w:pPr>
    </w:p>
    <w:p>
      <w:pPr>
        <w:ind w:left="500" w:firstLine="513"/>
        <w:spacing w:after="0" w:line="246" w:lineRule="auto"/>
        <w:tabs>
          <w:tab w:leader="none" w:pos="1445"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on any Lender or any Issuing Lender any other condition, cost or expense (other than Taxes) affecting this Agreement or Loans made by such Lender or any Letter of Credit or participation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1280"/>
          </w:cols>
          <w:pgMar w:left="300" w:top="1181" w:right="319" w:bottom="1440" w:gutter="0" w:footer="0" w:header="0"/>
        </w:sectPr>
      </w:pPr>
    </w:p>
    <w:bookmarkStart w:id="467" w:name="page468"/>
    <w:bookmarkEnd w:id="467"/>
    <w:p>
      <w:pPr>
        <w:jc w:val="both"/>
        <w:spacing w:after="0" w:line="241" w:lineRule="auto"/>
        <w:rPr>
          <w:sz w:val="20"/>
          <w:szCs w:val="20"/>
          <w:color w:val="auto"/>
        </w:rPr>
      </w:pPr>
      <w:r>
        <w:rPr>
          <w:rFonts w:ascii="Times New Roman" w:cs="Times New Roman" w:eastAsia="Times New Roman" w:hAnsi="Times New Roman"/>
          <w:sz w:val="17"/>
          <w:szCs w:val="17"/>
          <w:color w:val="auto"/>
        </w:rPr>
        <w:t>and the result of any of the foregoing shall be to increase the cost to such Lender, any Issuing Lender or such other Recipient of making,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40" w:lineRule="exact"/>
        <w:rPr>
          <w:sz w:val="20"/>
          <w:szCs w:val="20"/>
          <w:color w:val="auto"/>
        </w:rPr>
      </w:pPr>
    </w:p>
    <w:p>
      <w:pPr>
        <w:jc w:val="both"/>
        <w:ind w:firstLine="509"/>
        <w:spacing w:after="0" w:line="259" w:lineRule="auto"/>
        <w:tabs>
          <w:tab w:leader="none" w:pos="932"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 Requirements</w:t>
      </w:r>
      <w:r>
        <w:rPr>
          <w:rFonts w:ascii="Times New Roman" w:cs="Times New Roman" w:eastAsia="Times New Roman" w:hAnsi="Times New Roman"/>
          <w:sz w:val="16"/>
          <w:szCs w:val="16"/>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Borrower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26" w:lineRule="exact"/>
        <w:rPr>
          <w:rFonts w:ascii="Times New Roman" w:cs="Times New Roman" w:eastAsia="Times New Roman" w:hAnsi="Times New Roman"/>
          <w:sz w:val="16"/>
          <w:szCs w:val="16"/>
          <w:color w:val="auto"/>
        </w:rPr>
      </w:pPr>
    </w:p>
    <w:p>
      <w:pPr>
        <w:jc w:val="both"/>
        <w:ind w:firstLine="509"/>
        <w:spacing w:after="0" w:line="265" w:lineRule="auto"/>
        <w:tabs>
          <w:tab w:leader="none" w:pos="881"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Certificates for Reimbursement</w:t>
      </w:r>
      <w:r>
        <w:rPr>
          <w:rFonts w:ascii="Times New Roman" w:cs="Times New Roman" w:eastAsia="Times New Roman" w:hAnsi="Times New Roman"/>
          <w:sz w:val="16"/>
          <w:szCs w:val="16"/>
          <w:color w:val="auto"/>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w:t>
      </w:r>
    </w:p>
    <w:p>
      <w:pPr>
        <w:ind w:firstLine="4"/>
        <w:spacing w:after="0" w:line="238" w:lineRule="auto"/>
        <w:tabs>
          <w:tab w:leader="none" w:pos="244"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Section and delivered to the Borrower, shall be conclusive absent manifest error. The Borrower shall pay such Lender or such Issuing Lender or such other Recipient, as the case may be, the amount shown as due on any such certificate within ten (10) Business Days after receipt thereof.</w:t>
      </w:r>
    </w:p>
    <w:p>
      <w:pPr>
        <w:spacing w:after="0" w:line="140" w:lineRule="exact"/>
        <w:rPr>
          <w:rFonts w:ascii="Times New Roman" w:cs="Times New Roman" w:eastAsia="Times New Roman" w:hAnsi="Times New Roman"/>
          <w:sz w:val="17"/>
          <w:szCs w:val="17"/>
          <w:color w:val="auto"/>
        </w:rPr>
      </w:pPr>
    </w:p>
    <w:p>
      <w:pPr>
        <w:jc w:val="both"/>
        <w:ind w:firstLine="509"/>
        <w:spacing w:after="0" w:line="242" w:lineRule="auto"/>
        <w:tabs>
          <w:tab w:leader="none" w:pos="911"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Delay in Requests</w:t>
      </w:r>
      <w:r>
        <w:rPr>
          <w:rFonts w:ascii="Times New Roman" w:cs="Times New Roman" w:eastAsia="Times New Roman" w:hAnsi="Times New Roman"/>
          <w:sz w:val="17"/>
          <w:szCs w:val="17"/>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 of the Change in Law giving rise to such increased costs or reductions, and of such Lender’s or such Issuing Lender’s or such other Recipient’s intention to claim compensation therefor (except that if the Change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1280"/>
          </w:cols>
          <w:pgMar w:left="300" w:top="1180" w:right="319" w:bottom="1440" w:gutter="0" w:footer="0" w:header="0"/>
        </w:sectPr>
      </w:pPr>
    </w:p>
    <w:bookmarkStart w:id="468" w:name="page469"/>
    <w:bookmarkEnd w:id="468"/>
    <w:p>
      <w:pPr>
        <w:spacing w:after="0" w:line="259" w:lineRule="auto"/>
        <w:rPr>
          <w:sz w:val="20"/>
          <w:szCs w:val="20"/>
          <w:color w:val="auto"/>
        </w:rPr>
      </w:pPr>
      <w:r>
        <w:rPr>
          <w:rFonts w:ascii="Times New Roman" w:cs="Times New Roman" w:eastAsia="Times New Roman" w:hAnsi="Times New Roman"/>
          <w:sz w:val="17"/>
          <w:szCs w:val="17"/>
          <w:color w:val="auto"/>
        </w:rPr>
        <w:t>giving rise to such increased costs or reductions is retroactive, then the six-month period referred to above shall be extended to include the period of retroactive effect thereof).</w:t>
      </w:r>
    </w:p>
    <w:p>
      <w:pPr>
        <w:spacing w:after="0" w:line="125" w:lineRule="exact"/>
        <w:rPr>
          <w:sz w:val="20"/>
          <w:szCs w:val="20"/>
          <w:color w:val="auto"/>
        </w:rPr>
      </w:pPr>
    </w:p>
    <w:p>
      <w:pPr>
        <w:jc w:val="both"/>
        <w:ind w:firstLine="509"/>
        <w:spacing w:after="0" w:line="252" w:lineRule="auto"/>
        <w:tabs>
          <w:tab w:leader="none" w:pos="891"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All of the obligations of the Credit Parties under this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41"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5.11</w:t>
      </w:r>
      <w:r>
        <w:rPr>
          <w:sz w:val="20"/>
          <w:szCs w:val="20"/>
          <w:color w:val="auto"/>
        </w:rPr>
        <w:tab/>
      </w:r>
      <w:r>
        <w:rPr>
          <w:rFonts w:ascii="Times New Roman" w:cs="Times New Roman" w:eastAsia="Times New Roman" w:hAnsi="Times New Roman"/>
          <w:sz w:val="15"/>
          <w:szCs w:val="15"/>
          <w:u w:val="single" w:color="auto"/>
          <w:color w:val="auto"/>
        </w:rPr>
        <w:t>Taxes.</w:t>
      </w:r>
    </w:p>
    <w:p>
      <w:pPr>
        <w:spacing w:after="0" w:line="162" w:lineRule="exact"/>
        <w:rPr>
          <w:sz w:val="20"/>
          <w:szCs w:val="20"/>
          <w:color w:val="auto"/>
        </w:rPr>
      </w:pPr>
    </w:p>
    <w:p>
      <w:pPr>
        <w:ind w:left="860" w:hanging="351"/>
        <w:spacing w:after="0"/>
        <w:tabs>
          <w:tab w:leader="none" w:pos="86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the term “Lender” includes any Issuing Lender and the term “Applicable Law” includes FATCA.</w:t>
      </w:r>
    </w:p>
    <w:p>
      <w:pPr>
        <w:spacing w:after="0" w:line="161" w:lineRule="exact"/>
        <w:rPr>
          <w:rFonts w:ascii="Times New Roman" w:cs="Times New Roman" w:eastAsia="Times New Roman" w:hAnsi="Times New Roman"/>
          <w:sz w:val="17"/>
          <w:szCs w:val="17"/>
          <w:color w:val="auto"/>
        </w:rPr>
      </w:pPr>
    </w:p>
    <w:p>
      <w:pPr>
        <w:jc w:val="both"/>
        <w:ind w:firstLine="509"/>
        <w:spacing w:after="0" w:line="243" w:lineRule="auto"/>
        <w:tabs>
          <w:tab w:leader="none" w:pos="89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Free of Taxes</w:t>
      </w:r>
      <w:r>
        <w:rPr>
          <w:rFonts w:ascii="Times New Roman" w:cs="Times New Roman" w:eastAsia="Times New Roman" w:hAnsi="Times New Roman"/>
          <w:sz w:val="17"/>
          <w:szCs w:val="17"/>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38" w:lineRule="exact"/>
        <w:rPr>
          <w:rFonts w:ascii="Times New Roman" w:cs="Times New Roman" w:eastAsia="Times New Roman" w:hAnsi="Times New Roman"/>
          <w:sz w:val="17"/>
          <w:szCs w:val="17"/>
          <w:color w:val="auto"/>
        </w:rPr>
      </w:pPr>
    </w:p>
    <w:p>
      <w:pPr>
        <w:ind w:firstLine="509"/>
        <w:spacing w:after="0" w:line="272" w:lineRule="auto"/>
        <w:tabs>
          <w:tab w:leader="none" w:pos="881"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Other Taxes by the Credit Parties</w:t>
      </w:r>
      <w:r>
        <w:rPr>
          <w:rFonts w:ascii="Times New Roman" w:cs="Times New Roman" w:eastAsia="Times New Roman" w:hAnsi="Times New Roman"/>
          <w:sz w:val="17"/>
          <w:szCs w:val="17"/>
          <w:color w:val="auto"/>
        </w:rPr>
        <w:t>. The Credit Parties shall timely pay to the relevant Governmental Authority in accordance with Applicable Law, or at the option of the Administrative Agent timely reimburse it for the payment of, any Other Taxes.</w:t>
      </w:r>
    </w:p>
    <w:p>
      <w:pPr>
        <w:spacing w:after="0" w:line="114" w:lineRule="exact"/>
        <w:rPr>
          <w:rFonts w:ascii="Times New Roman" w:cs="Times New Roman" w:eastAsia="Times New Roman" w:hAnsi="Times New Roman"/>
          <w:sz w:val="17"/>
          <w:szCs w:val="17"/>
          <w:color w:val="auto"/>
        </w:rPr>
      </w:pPr>
    </w:p>
    <w:p>
      <w:pPr>
        <w:jc w:val="both"/>
        <w:ind w:firstLine="509"/>
        <w:spacing w:after="0" w:line="242" w:lineRule="auto"/>
        <w:tabs>
          <w:tab w:leader="none" w:pos="88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Credit Parties</w:t>
      </w:r>
      <w:r>
        <w:rPr>
          <w:rFonts w:ascii="Times New Roman" w:cs="Times New Roman" w:eastAsia="Times New Roman" w:hAnsi="Times New Roman"/>
          <w:sz w:val="17"/>
          <w:szCs w:val="17"/>
          <w:color w:val="auto"/>
        </w:rPr>
        <w:t>. The Credit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Credit Party by a Recipient (with a copy to the Administrative Agent), or by the Administrative Agent on its own behalf or on behalf of a Recipient, shall be conclusive absent manifest error.</w:t>
      </w:r>
    </w:p>
    <w:p>
      <w:pPr>
        <w:spacing w:after="0" w:line="141" w:lineRule="exact"/>
        <w:rPr>
          <w:rFonts w:ascii="Times New Roman" w:cs="Times New Roman" w:eastAsia="Times New Roman" w:hAnsi="Times New Roman"/>
          <w:sz w:val="17"/>
          <w:szCs w:val="17"/>
          <w:color w:val="auto"/>
        </w:rPr>
      </w:pPr>
    </w:p>
    <w:p>
      <w:pPr>
        <w:jc w:val="both"/>
        <w:ind w:firstLine="509"/>
        <w:spacing w:after="0" w:line="245" w:lineRule="auto"/>
        <w:tabs>
          <w:tab w:leader="none" w:pos="881"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Lenders</w:t>
      </w:r>
      <w:r>
        <w:rPr>
          <w:rFonts w:ascii="Times New Roman" w:cs="Times New Roman" w:eastAsia="Times New Roman" w:hAnsi="Times New Roman"/>
          <w:sz w:val="17"/>
          <w:szCs w:val="17"/>
          <w:color w:val="auto"/>
        </w:rPr>
        <w:t xml:space="preserve">.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12.9(d)</w:t>
      </w:r>
      <w:r>
        <w:rPr>
          <w:rFonts w:ascii="Times New Roman" w:cs="Times New Roman" w:eastAsia="Times New Roman" w:hAnsi="Times New Roman"/>
          <w:sz w:val="17"/>
          <w:szCs w:val="17"/>
          <w:color w:val="auto"/>
        </w:rPr>
        <w:t xml:space="preserve"> relating to the maintenance of a Participant Register and (iii)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280"/>
          </w:cols>
          <w:pgMar w:left="300" w:top="1181" w:right="319" w:bottom="1440" w:gutter="0" w:footer="0" w:header="0"/>
        </w:sectPr>
      </w:pPr>
    </w:p>
    <w:bookmarkStart w:id="469" w:name="page470"/>
    <w:bookmarkEnd w:id="469"/>
    <w:p>
      <w:pPr>
        <w:jc w:val="both"/>
        <w:spacing w:after="0" w:line="234" w:lineRule="auto"/>
        <w:rPr>
          <w:sz w:val="20"/>
          <w:szCs w:val="20"/>
          <w:color w:val="auto"/>
        </w:rPr>
      </w:pPr>
      <w:r>
        <w:rPr>
          <w:rFonts w:ascii="Times New Roman" w:cs="Times New Roman" w:eastAsia="Times New Roman" w:hAnsi="Times New Roman"/>
          <w:sz w:val="17"/>
          <w:szCs w:val="17"/>
          <w:color w:val="auto"/>
        </w:rPr>
        <w:t>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40" w:lineRule="exact"/>
        <w:rPr>
          <w:sz w:val="20"/>
          <w:szCs w:val="20"/>
          <w:color w:val="auto"/>
        </w:rPr>
      </w:pPr>
    </w:p>
    <w:p>
      <w:pPr>
        <w:jc w:val="both"/>
        <w:ind w:firstLine="509"/>
        <w:spacing w:after="0" w:line="239" w:lineRule="auto"/>
        <w:tabs>
          <w:tab w:leader="none" w:pos="841"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Evidence of Payments</w:t>
      </w:r>
      <w:r>
        <w:rPr>
          <w:rFonts w:ascii="Times New Roman" w:cs="Times New Roman" w:eastAsia="Times New Roman" w:hAnsi="Times New Roman"/>
          <w:sz w:val="17"/>
          <w:szCs w:val="17"/>
          <w:color w:val="auto"/>
        </w:rPr>
        <w:t xml:space="preserve">. As soon as practicable after any payment of Taxes by the Credit Parties to a Governmental Authority pursuant to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the Credit Parties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30"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Status of Lenders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left="500" w:firstLine="513"/>
        <w:spacing w:after="0" w:line="230" w:lineRule="auto"/>
        <w:tabs>
          <w:tab w:leader="none" w:pos="1343"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 w:cs="Times New Roman" w:eastAsia="Times New Roman" w:hAnsi="Times New Roman"/>
          <w:sz w:val="17"/>
          <w:szCs w:val="17"/>
          <w:u w:val="single" w:color="auto"/>
          <w:color w:val="auto"/>
        </w:rPr>
        <w:t>Section 5.11(g)(ii)(A)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(ii)(D)</w:t>
      </w:r>
      <w:r>
        <w:rPr>
          <w:rFonts w:ascii="Times New Roman" w:cs="Times New Roman" w:eastAsia="Times New Roman" w:hAnsi="Times New Roman"/>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45" w:lineRule="exact"/>
        <w:rPr>
          <w:rFonts w:ascii="Times New Roman" w:cs="Times New Roman" w:eastAsia="Times New Roman" w:hAnsi="Times New Roman"/>
          <w:sz w:val="17"/>
          <w:szCs w:val="17"/>
          <w:color w:val="auto"/>
        </w:rPr>
      </w:pPr>
    </w:p>
    <w:p>
      <w:pPr>
        <w:ind w:left="1380" w:hanging="367"/>
        <w:spacing w:after="0"/>
        <w:tabs>
          <w:tab w:leader="none" w:pos="1380"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w:t>
      </w:r>
    </w:p>
    <w:p>
      <w:pPr>
        <w:spacing w:after="0" w:line="161" w:lineRule="exact"/>
        <w:rPr>
          <w:rFonts w:ascii="Times New Roman" w:cs="Times New Roman" w:eastAsia="Times New Roman" w:hAnsi="Times New Roman"/>
          <w:sz w:val="17"/>
          <w:szCs w:val="17"/>
          <w:color w:val="auto"/>
        </w:rPr>
      </w:pPr>
    </w:p>
    <w:p>
      <w:pPr>
        <w:jc w:val="both"/>
        <w:ind w:left="1020" w:firstLine="498"/>
        <w:spacing w:after="0" w:line="239" w:lineRule="auto"/>
        <w:tabs>
          <w:tab w:leader="none" w:pos="1947" w:val="left"/>
        </w:tabs>
        <w:numPr>
          <w:ilvl w:val="2"/>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spacing w:after="0" w:line="130" w:lineRule="exact"/>
        <w:rPr>
          <w:rFonts w:ascii="Times New Roman" w:cs="Times New Roman" w:eastAsia="Times New Roman" w:hAnsi="Times New Roman"/>
          <w:sz w:val="17"/>
          <w:szCs w:val="17"/>
          <w:color w:val="auto"/>
        </w:rPr>
      </w:pPr>
    </w:p>
    <w:p>
      <w:pPr>
        <w:ind w:left="1920" w:hanging="402"/>
        <w:spacing w:after="0"/>
        <w:tabs>
          <w:tab w:leader="none" w:pos="1920" w:val="left"/>
        </w:tabs>
        <w:numPr>
          <w:ilvl w:val="2"/>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Foreign Lender shall, to the extent it is legally entitled to do so, deliver to the Borrower and the Administrative Agent (in such number</w:t>
      </w:r>
    </w:p>
    <w:p>
      <w:pPr>
        <w:spacing w:after="0" w:line="23"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of copies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280"/>
          </w:cols>
          <w:pgMar w:left="300" w:top="1181" w:right="319" w:bottom="1440" w:gutter="0" w:footer="0" w:header="0"/>
        </w:sectPr>
      </w:pPr>
    </w:p>
    <w:bookmarkStart w:id="470" w:name="page471"/>
    <w:bookmarkEnd w:id="470"/>
    <w:p>
      <w:pPr>
        <w:spacing w:after="0" w:line="246" w:lineRule="auto"/>
        <w:rPr>
          <w:sz w:val="20"/>
          <w:szCs w:val="20"/>
          <w:color w:val="auto"/>
        </w:rPr>
      </w:pPr>
      <w:r>
        <w:rPr>
          <w:rFonts w:ascii="Times New Roman" w:cs="Times New Roman" w:eastAsia="Times New Roman" w:hAnsi="Times New Roman"/>
          <w:sz w:val="17"/>
          <w:szCs w:val="17"/>
          <w:color w:val="auto"/>
        </w:rPr>
        <w:t>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35" w:lineRule="exact"/>
        <w:rPr>
          <w:sz w:val="20"/>
          <w:szCs w:val="20"/>
          <w:color w:val="auto"/>
        </w:rPr>
      </w:pPr>
    </w:p>
    <w:p>
      <w:pPr>
        <w:jc w:val="both"/>
        <w:ind w:left="500" w:firstLine="566"/>
        <w:spacing w:after="0" w:line="234" w:lineRule="auto"/>
        <w:tabs>
          <w:tab w:leader="none" w:pos="144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an income tax treaty to which the United States is a party (x) with respect to payments of interest under any Loan Document, executed copies of IRS Form W-8BEN-E establishing an exemption from, or reduction of, United States federal withholding Tax pursuant to the “interest” article of such tax treaty and (y) with respect to any other applicable payments under any Loan Document, IRS Form W-8BEN-E establishing an exemption from, or reduction of, United States federal withholding Tax pursuant to the “business profits” or “other income” article of such tax treaty;</w:t>
      </w:r>
    </w:p>
    <w:p>
      <w:pPr>
        <w:spacing w:after="0" w:line="140" w:lineRule="exact"/>
        <w:rPr>
          <w:rFonts w:ascii="Times New Roman" w:cs="Times New Roman" w:eastAsia="Times New Roman" w:hAnsi="Times New Roman"/>
          <w:sz w:val="17"/>
          <w:szCs w:val="17"/>
          <w:color w:val="auto"/>
        </w:rPr>
      </w:pPr>
    </w:p>
    <w:p>
      <w:pPr>
        <w:ind w:left="1420" w:hanging="354"/>
        <w:spacing w:after="0"/>
        <w:tabs>
          <w:tab w:leader="none" w:pos="1420"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copies of IRS Form W-8ECI;</w:t>
      </w:r>
    </w:p>
    <w:p>
      <w:pPr>
        <w:spacing w:after="0" w:line="151" w:lineRule="exact"/>
        <w:rPr>
          <w:rFonts w:ascii="Times New Roman" w:cs="Times New Roman" w:eastAsia="Times New Roman" w:hAnsi="Times New Roman"/>
          <w:sz w:val="17"/>
          <w:szCs w:val="17"/>
          <w:color w:val="auto"/>
        </w:rPr>
      </w:pPr>
    </w:p>
    <w:p>
      <w:pPr>
        <w:jc w:val="both"/>
        <w:ind w:left="500" w:firstLine="566"/>
        <w:spacing w:after="0" w:line="258" w:lineRule="auto"/>
        <w:tabs>
          <w:tab w:leader="none" w:pos="1435" w:val="left"/>
        </w:tabs>
        <w:numPr>
          <w:ilvl w:val="1"/>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6"/>
          <w:szCs w:val="16"/>
          <w:b w:val="1"/>
          <w:bCs w:val="1"/>
          <w:i w:val="1"/>
          <w:iCs w:val="1"/>
          <w:color w:val="auto"/>
        </w:rPr>
        <w:t>Exhibit H-1</w:t>
      </w:r>
      <w:r>
        <w:rPr>
          <w:rFonts w:ascii="Times New Roman" w:cs="Times New Roman" w:eastAsia="Times New Roman" w:hAnsi="Times New Roman"/>
          <w:sz w:val="16"/>
          <w:szCs w:val="16"/>
          <w:color w:val="auto"/>
        </w:rPr>
        <w:t xml:space="preserve"> to the effect that such Foreign Lender is not a “bank” within the meaning of Section 881(c)</w:t>
      </w:r>
    </w:p>
    <w:p>
      <w:pPr>
        <w:jc w:val="both"/>
        <w:ind w:left="50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and (y) executed copies of IRS Form W-8BEN-E; or</w:t>
      </w:r>
    </w:p>
    <w:p>
      <w:pPr>
        <w:spacing w:after="0" w:line="129" w:lineRule="exact"/>
        <w:rPr>
          <w:rFonts w:ascii="Times New Roman" w:cs="Times New Roman" w:eastAsia="Times New Roman" w:hAnsi="Times New Roman"/>
          <w:sz w:val="16"/>
          <w:szCs w:val="16"/>
          <w:color w:val="auto"/>
        </w:rPr>
      </w:pPr>
    </w:p>
    <w:p>
      <w:pPr>
        <w:jc w:val="both"/>
        <w:ind w:left="500" w:firstLine="566"/>
        <w:spacing w:after="0" w:line="236" w:lineRule="auto"/>
        <w:tabs>
          <w:tab w:leader="none" w:pos="1457"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a Foreign Lender is not the beneficial owner, executed copies of IRS Form W-8IMY, accompanied by IRS Form W-8ECI, IRS Form W-8BEN-E, a U.S. Tax Compliance Certificate substantially in the form of </w:t>
      </w:r>
      <w:r>
        <w:rPr>
          <w:rFonts w:ascii="Times New Roman" w:cs="Times New Roman" w:eastAsia="Times New Roman" w:hAnsi="Times New Roman"/>
          <w:sz w:val="17"/>
          <w:szCs w:val="17"/>
          <w:b w:val="1"/>
          <w:bCs w:val="1"/>
          <w:i w:val="1"/>
          <w:iCs w:val="1"/>
          <w:color w:val="auto"/>
        </w:rPr>
        <w:t>Exhibit H-2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i w:val="1"/>
          <w:iCs w:val="1"/>
          <w:color w:val="auto"/>
        </w:rPr>
        <w:t>Exhibit H-3</w:t>
      </w:r>
      <w:r>
        <w:rPr>
          <w:rFonts w:ascii="Times New Roman" w:cs="Times New Roman" w:eastAsia="Times New Roman" w:hAnsi="Times New Roman"/>
          <w:sz w:val="17"/>
          <w:szCs w:val="17"/>
          <w:color w:val="auto"/>
        </w:rPr>
        <w:t xml:space="preserve">, IRS Form W-9, and/or other certification documents from each beneficial owner,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Foreign Lender is a partnership and one (1)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7"/>
          <w:szCs w:val="17"/>
          <w:b w:val="1"/>
          <w:bCs w:val="1"/>
          <w:i w:val="1"/>
          <w:iCs w:val="1"/>
          <w:color w:val="auto"/>
        </w:rPr>
        <w:t>Exhibit H-4</w:t>
      </w:r>
      <w:r>
        <w:rPr>
          <w:rFonts w:ascii="Times New Roman" w:cs="Times New Roman" w:eastAsia="Times New Roman" w:hAnsi="Times New Roman"/>
          <w:sz w:val="17"/>
          <w:szCs w:val="17"/>
          <w:color w:val="auto"/>
        </w:rPr>
        <w:t xml:space="preserve"> on behalf of each such direct and indirect partner;</w:t>
      </w:r>
    </w:p>
    <w:p>
      <w:pPr>
        <w:spacing w:after="0" w:line="132" w:lineRule="exact"/>
        <w:rPr>
          <w:rFonts w:ascii="Times New Roman" w:cs="Times New Roman" w:eastAsia="Times New Roman" w:hAnsi="Times New Roman"/>
          <w:sz w:val="17"/>
          <w:szCs w:val="17"/>
          <w:color w:val="auto"/>
        </w:rPr>
      </w:pPr>
    </w:p>
    <w:p>
      <w:pPr>
        <w:jc w:val="both"/>
        <w:ind w:firstLine="498"/>
        <w:spacing w:after="0" w:line="233" w:lineRule="auto"/>
        <w:tabs>
          <w:tab w:leader="none" w:pos="902"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260"/>
          </w:cols>
          <w:pgMar w:left="1320" w:top="1180" w:right="319" w:bottom="1440" w:gutter="0" w:footer="0" w:header="0"/>
        </w:sectPr>
      </w:pPr>
    </w:p>
    <w:bookmarkStart w:id="471" w:name="page472"/>
    <w:bookmarkEnd w:id="471"/>
    <w:p>
      <w:pPr>
        <w:jc w:val="both"/>
        <w:ind w:left="1020" w:firstLine="498"/>
        <w:spacing w:after="0" w:line="231" w:lineRule="auto"/>
        <w:tabs>
          <w:tab w:leader="none" w:pos="1946"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35"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7"/>
          <w:szCs w:val="17"/>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25" w:lineRule="exact"/>
        <w:rPr>
          <w:sz w:val="20"/>
          <w:szCs w:val="20"/>
          <w:color w:val="auto"/>
        </w:rPr>
      </w:pPr>
    </w:p>
    <w:p>
      <w:pPr>
        <w:jc w:val="both"/>
        <w:ind w:firstLine="509"/>
        <w:spacing w:after="0" w:line="229" w:lineRule="auto"/>
        <w:tabs>
          <w:tab w:leader="none" w:pos="880"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Certain Refunds</w:t>
      </w:r>
      <w:r>
        <w:rPr>
          <w:rFonts w:ascii="Times New Roman" w:cs="Times New Roman" w:eastAsia="Times New Roman" w:hAnsi="Times New Roman"/>
          <w:sz w:val="17"/>
          <w:szCs w:val="17"/>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(including by the payment of additional amounts pursuant to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48" w:lineRule="exact"/>
        <w:rPr>
          <w:rFonts w:ascii="Times New Roman" w:cs="Times New Roman" w:eastAsia="Times New Roman" w:hAnsi="Times New Roman"/>
          <w:sz w:val="17"/>
          <w:szCs w:val="17"/>
          <w:color w:val="auto"/>
        </w:rPr>
      </w:pPr>
    </w:p>
    <w:p>
      <w:pPr>
        <w:jc w:val="both"/>
        <w:ind w:firstLine="509"/>
        <w:spacing w:after="0" w:line="239" w:lineRule="auto"/>
        <w:tabs>
          <w:tab w:leader="none" w:pos="863" w:val="left"/>
        </w:tabs>
        <w:numPr>
          <w:ilvl w:val="0"/>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Each party’s obligations under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41"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5.12</w:t>
      </w:r>
      <w:r>
        <w:rPr>
          <w:sz w:val="20"/>
          <w:szCs w:val="20"/>
          <w:color w:val="auto"/>
        </w:rPr>
        <w:tab/>
      </w:r>
      <w:r>
        <w:rPr>
          <w:rFonts w:ascii="Times New Roman" w:cs="Times New Roman" w:eastAsia="Times New Roman" w:hAnsi="Times New Roman"/>
          <w:sz w:val="16"/>
          <w:szCs w:val="16"/>
          <w:u w:val="single" w:color="auto"/>
          <w:color w:val="auto"/>
        </w:rPr>
        <w:t>Mitigation Obligations; Replacement of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1280"/>
          </w:cols>
          <w:pgMar w:left="300" w:top="1181" w:right="319" w:bottom="1440" w:gutter="0" w:footer="0" w:header="0"/>
        </w:sectPr>
      </w:pPr>
    </w:p>
    <w:bookmarkStart w:id="472" w:name="page473"/>
    <w:bookmarkEnd w:id="472"/>
    <w:p>
      <w:pPr>
        <w:jc w:val="both"/>
        <w:ind w:firstLine="509"/>
        <w:spacing w:after="0" w:line="251" w:lineRule="auto"/>
        <w:tabs>
          <w:tab w:leader="none" w:pos="912"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a Different Lending Office</w:t>
      </w:r>
      <w:r>
        <w:rPr>
          <w:rFonts w:ascii="Times New Roman" w:cs="Times New Roman" w:eastAsia="Times New Roman" w:hAnsi="Times New Roman"/>
          <w:sz w:val="17"/>
          <w:szCs w:val="17"/>
          <w:color w:val="auto"/>
        </w:rPr>
        <w:t xml:space="preserve">. If any Lender requests compensation under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as the case may be, in the future and (ii) would not subject such Lender to any unreimbursed cost or expense and would not otherwise be disadvantageous to such Lender. The Borrower hereby agrees to pay all reasonable and documented costs and expenses incurred by any Lender in connection with any such designation or assignment.</w:t>
      </w:r>
    </w:p>
    <w:p>
      <w:pPr>
        <w:spacing w:after="0" w:line="145" w:lineRule="exact"/>
        <w:rPr>
          <w:rFonts w:ascii="Times New Roman" w:cs="Times New Roman" w:eastAsia="Times New Roman" w:hAnsi="Times New Roman"/>
          <w:sz w:val="17"/>
          <w:szCs w:val="17"/>
          <w:color w:val="auto"/>
        </w:rPr>
      </w:pPr>
    </w:p>
    <w:p>
      <w:pPr>
        <w:jc w:val="both"/>
        <w:ind w:firstLine="509"/>
        <w:spacing w:after="0" w:line="251" w:lineRule="auto"/>
        <w:tabs>
          <w:tab w:leader="none" w:pos="953"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of Lenders</w:t>
      </w:r>
      <w:r>
        <w:rPr>
          <w:rFonts w:ascii="Times New Roman" w:cs="Times New Roman" w:eastAsia="Times New Roman" w:hAnsi="Times New Roman"/>
          <w:sz w:val="17"/>
          <w:szCs w:val="17"/>
          <w:color w:val="auto"/>
        </w:rPr>
        <w:t xml:space="preserve">. If any Lender requests compensation under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and, in each case, such Lender has declined or is unable to designate a different Lending Office in accordance with </w:t>
      </w:r>
      <w:r>
        <w:rPr>
          <w:rFonts w:ascii="Times New Roman" w:cs="Times New Roman" w:eastAsia="Times New Roman" w:hAnsi="Times New Roman"/>
          <w:sz w:val="17"/>
          <w:szCs w:val="17"/>
          <w:u w:val="single" w:color="auto"/>
          <w:color w:val="auto"/>
        </w:rPr>
        <w:t>Section 5.12(a)</w:t>
      </w:r>
      <w:r>
        <w:rPr>
          <w:rFonts w:ascii="Times New Roman" w:cs="Times New Roman" w:eastAsia="Times New Roman" w:hAnsi="Times New Roman"/>
          <w:sz w:val="17"/>
          <w:szCs w:val="17"/>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 xml:space="preserve">), all of its interests, rights (other than its existing rights to payments pursuant to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45" w:lineRule="exact"/>
        <w:rPr>
          <w:rFonts w:ascii="Times New Roman" w:cs="Times New Roman" w:eastAsia="Times New Roman" w:hAnsi="Times New Roman"/>
          <w:sz w:val="17"/>
          <w:szCs w:val="17"/>
          <w:color w:val="auto"/>
        </w:rPr>
      </w:pPr>
    </w:p>
    <w:p>
      <w:pPr>
        <w:ind w:left="1340" w:hanging="327"/>
        <w:spacing w:after="0"/>
        <w:tabs>
          <w:tab w:leader="none" w:pos="1340"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have paid to the Administrative Agent the assignment fee (if any) specified in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jc w:val="both"/>
        <w:ind w:left="500" w:firstLine="513"/>
        <w:spacing w:after="0" w:line="258" w:lineRule="auto"/>
        <w:tabs>
          <w:tab w:leader="none" w:pos="1446"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from the assignee (to the extent of such outstanding principal and accrued interest and fees) or the Borrower (in the case of all other amounts);</w:t>
      </w:r>
    </w:p>
    <w:p>
      <w:pPr>
        <w:spacing w:after="0" w:line="137" w:lineRule="exact"/>
        <w:rPr>
          <w:rFonts w:ascii="Times New Roman" w:cs="Times New Roman" w:eastAsia="Times New Roman" w:hAnsi="Times New Roman"/>
          <w:sz w:val="17"/>
          <w:szCs w:val="17"/>
          <w:color w:val="auto"/>
        </w:rPr>
      </w:pPr>
    </w:p>
    <w:p>
      <w:pPr>
        <w:ind w:left="500" w:firstLine="513"/>
        <w:spacing w:after="0" w:line="272" w:lineRule="auto"/>
        <w:tabs>
          <w:tab w:leader="none" w:pos="1486"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any such assignment resulting from a claim for compensation under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xml:space="preserve"> or payments required to be made pursuant to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such assignment will result in a reduction in such compensation or payments thereafter;</w:t>
      </w:r>
    </w:p>
    <w:p>
      <w:pPr>
        <w:spacing w:after="0" w:line="135" w:lineRule="exact"/>
        <w:rPr>
          <w:rFonts w:ascii="Times New Roman" w:cs="Times New Roman" w:eastAsia="Times New Roman" w:hAnsi="Times New Roman"/>
          <w:sz w:val="17"/>
          <w:szCs w:val="17"/>
          <w:color w:val="auto"/>
        </w:rPr>
      </w:pPr>
    </w:p>
    <w:p>
      <w:pPr>
        <w:ind w:left="1420" w:hanging="407"/>
        <w:spacing w:after="0"/>
        <w:tabs>
          <w:tab w:leader="none" w:pos="1420"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assignment does not conflict with Applicable Law; and</w:t>
      </w:r>
    </w:p>
    <w:p>
      <w:pPr>
        <w:spacing w:after="0" w:line="172" w:lineRule="exact"/>
        <w:rPr>
          <w:rFonts w:ascii="Times New Roman" w:cs="Times New Roman" w:eastAsia="Times New Roman" w:hAnsi="Times New Roman"/>
          <w:sz w:val="17"/>
          <w:szCs w:val="17"/>
          <w:color w:val="auto"/>
        </w:rPr>
      </w:pPr>
    </w:p>
    <w:p>
      <w:pPr>
        <w:ind w:left="500" w:firstLine="513"/>
        <w:spacing w:after="0" w:line="272" w:lineRule="auto"/>
        <w:tabs>
          <w:tab w:leader="none" w:pos="1429"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assignment resulting from a Lender becoming a NonConsenting Lender, the applicable assignee shall have consented to the applicable amendment, waiver 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1280"/>
          </w:cols>
          <w:pgMar w:left="300" w:top="1191" w:right="319" w:bottom="1440" w:gutter="0" w:footer="0" w:header="0"/>
        </w:sectPr>
      </w:pPr>
    </w:p>
    <w:bookmarkStart w:id="473" w:name="page474"/>
    <w:bookmarkEnd w:id="473"/>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35" w:lineRule="exact"/>
        <w:rPr>
          <w:sz w:val="20"/>
          <w:szCs w:val="20"/>
          <w:color w:val="auto"/>
        </w:rPr>
      </w:pPr>
    </w:p>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 xml:space="preserve">Each party hereto agrees that (x) an assignment required pursuant to this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may be effected pursuant to an Assignment and Assumption executed by the Borrower, the Administrative Agent and the assignee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following the effectiveness of any such assignment, the other parties to such assignment agree to execute and deliver such documents necessary to evidence such assignment as reasonably requested by the applicable Lender or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such documents shall be without recourse to or warranty by the parties thereto.</w:t>
      </w:r>
    </w:p>
    <w:p>
      <w:pPr>
        <w:spacing w:after="0" w:line="140" w:lineRule="exact"/>
        <w:rPr>
          <w:sz w:val="20"/>
          <w:szCs w:val="20"/>
          <w:color w:val="auto"/>
        </w:rPr>
      </w:pPr>
    </w:p>
    <w:p>
      <w:pPr>
        <w:jc w:val="both"/>
        <w:ind w:firstLine="509"/>
        <w:spacing w:after="0" w:line="239" w:lineRule="auto"/>
        <w:tabs>
          <w:tab w:leader="none" w:pos="870"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Selection of Lending Office</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5.12(a)</w:t>
      </w:r>
      <w:r>
        <w:rPr>
          <w:rFonts w:ascii="Times New Roman" w:cs="Times New Roman" w:eastAsia="Times New Roman" w:hAnsi="Times New Roman"/>
          <w:sz w:val="17"/>
          <w:szCs w:val="17"/>
          <w:color w:val="auto"/>
        </w:rPr>
        <w:t xml:space="preserve">, each Lender may make any Loan to the Borrower through any Lending Office,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exercise of this option shall not affect the obligations of the Borrower to repay the Loan in accordance with the terms of this Agreement or otherwise alter the rights of the parties hereto.</w:t>
      </w:r>
    </w:p>
    <w:p>
      <w:pPr>
        <w:spacing w:after="0" w:line="141"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5.13</w:t>
      </w:r>
      <w:r>
        <w:rPr>
          <w:sz w:val="20"/>
          <w:szCs w:val="20"/>
          <w:color w:val="auto"/>
        </w:rPr>
        <w:tab/>
      </w:r>
      <w:r>
        <w:rPr>
          <w:rFonts w:ascii="Times New Roman" w:cs="Times New Roman" w:eastAsia="Times New Roman" w:hAnsi="Times New Roman"/>
          <w:sz w:val="16"/>
          <w:szCs w:val="16"/>
          <w:u w:val="single" w:color="auto"/>
          <w:color w:val="auto"/>
        </w:rPr>
        <w:t>Incremental Increases.</w:t>
      </w:r>
    </w:p>
    <w:p>
      <w:pPr>
        <w:spacing w:after="0" w:line="151" w:lineRule="exact"/>
        <w:rPr>
          <w:sz w:val="20"/>
          <w:szCs w:val="20"/>
          <w:color w:val="auto"/>
        </w:rPr>
      </w:pPr>
    </w:p>
    <w:p>
      <w:pPr>
        <w:jc w:val="both"/>
        <w:ind w:firstLine="509"/>
        <w:spacing w:after="0" w:line="233" w:lineRule="auto"/>
        <w:tabs>
          <w:tab w:leader="none" w:pos="891"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 for Incremental Increase</w:t>
      </w:r>
      <w:r>
        <w:rPr>
          <w:rFonts w:ascii="Times New Roman" w:cs="Times New Roman" w:eastAsia="Times New Roman" w:hAnsi="Times New Roman"/>
          <w:sz w:val="17"/>
          <w:szCs w:val="17"/>
          <w:color w:val="auto"/>
        </w:rPr>
        <w:t>. At any time after the Closing Date, upon written notice to the Administrative Agent, the Borrower may, from time to time, request one or more increases in the Revolving Credit Commitments (each, an “</w:t>
      </w:r>
      <w:r>
        <w:rPr>
          <w:rFonts w:ascii="Times New Roman" w:cs="Times New Roman" w:eastAsia="Times New Roman" w:hAnsi="Times New Roman"/>
          <w:sz w:val="17"/>
          <w:szCs w:val="17"/>
          <w:u w:val="single" w:color="auto"/>
          <w:color w:val="auto"/>
        </w:rPr>
        <w:t>Incremental Increase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aggregate initial principal amount (as of the date of incurrence or availability thereof) of such requested Incremental Increase shall not exceed the Incremental Facility Limit, (B) any such Incremental Increase shall be in a minimum principal amount of $20,000,000 (or such lesser amount as agreed to by the Administrative Agent) or, if less, the remaining principal amount of the Incremental Facility Limit, (C) no Lender will be required or otherwise obligated to provide any portion of such Incremental Increase and (D) unless otherwise approved by the Administrative Agent no more than five (5) Incremental Increases shall be permitted to be requested during the term of this Agreement.</w:t>
      </w:r>
    </w:p>
    <w:p>
      <w:pPr>
        <w:spacing w:after="0" w:line="143" w:lineRule="exact"/>
        <w:rPr>
          <w:rFonts w:ascii="Times New Roman" w:cs="Times New Roman" w:eastAsia="Times New Roman" w:hAnsi="Times New Roman"/>
          <w:sz w:val="17"/>
          <w:szCs w:val="17"/>
          <w:color w:val="auto"/>
        </w:rPr>
      </w:pPr>
    </w:p>
    <w:p>
      <w:pPr>
        <w:jc w:val="both"/>
        <w:ind w:firstLine="509"/>
        <w:spacing w:after="0" w:line="231" w:lineRule="auto"/>
        <w:tabs>
          <w:tab w:leader="none" w:pos="880"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Incremental Lenders</w:t>
      </w:r>
      <w:r>
        <w:rPr>
          <w:rFonts w:ascii="Times New Roman" w:cs="Times New Roman" w:eastAsia="Times New Roman" w:hAnsi="Times New Roman"/>
          <w:sz w:val="17"/>
          <w:szCs w:val="17"/>
          <w:color w:val="auto"/>
        </w:rPr>
        <w:t xml:space="preserve">. Each notice from the Borrower pursuant to this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shall set forth the requested amount and proposed terms of the relevant Incremental Increase. Incremental Increases may be provided by any existing Lender or by any other Persons (each such Lender or other Person, an “</w:t>
      </w:r>
      <w:r>
        <w:rPr>
          <w:rFonts w:ascii="Times New Roman" w:cs="Times New Roman" w:eastAsia="Times New Roman" w:hAnsi="Times New Roman"/>
          <w:sz w:val="17"/>
          <w:szCs w:val="17"/>
          <w:u w:val="single" w:color="auto"/>
          <w:color w:val="auto"/>
        </w:rPr>
        <w:t>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each Issuing Lender and/or the Swingline Lender, as applicable, shall have consented (not to be unreasonably withheld or delayed) (and to the extent not a Lender, the Borrower) to such Incremental Lender’s providing such Incremental Increases to the extent any such consent would be required under </w:t>
      </w:r>
      <w:r>
        <w:rPr>
          <w:rFonts w:ascii="Times New Roman" w:cs="Times New Roman" w:eastAsia="Times New Roman" w:hAnsi="Times New Roman"/>
          <w:sz w:val="17"/>
          <w:szCs w:val="17"/>
          <w:u w:val="single" w:color="auto"/>
          <w:color w:val="auto"/>
        </w:rPr>
        <w:t>Section 12.9(b)</w:t>
      </w:r>
      <w:r>
        <w:rPr>
          <w:rFonts w:ascii="Times New Roman" w:cs="Times New Roman" w:eastAsia="Times New Roman" w:hAnsi="Times New Roman"/>
          <w:sz w:val="17"/>
          <w:szCs w:val="17"/>
          <w:color w:val="auto"/>
        </w:rPr>
        <w:t xml:space="preserve"> for an assignment of Loans or Commitments, as applicable, to such Incremental Lender. At the time of sending such notice, the Borrower (in consultation with the Administrative Agent) shall specify the time period within which each proposed Incremental Lender is requested to respond, which shall in no event be less than five (5) Business Days from the date of delivery of such notice to the proposed Incremental Lenders (or such shorter period as agreed to by the Administrative Agent). Each proposed Incremental Lender may elect or decline, in its sole discretion, and shall notify the Administrative Agent in writing within such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1280"/>
          </w:cols>
          <w:pgMar w:left="300" w:top="1181" w:right="319" w:bottom="1440" w:gutter="0" w:footer="0" w:header="0"/>
        </w:sectPr>
      </w:pPr>
    </w:p>
    <w:bookmarkStart w:id="474" w:name="page475"/>
    <w:bookmarkEnd w:id="474"/>
    <w:p>
      <w:pPr>
        <w:spacing w:after="0" w:line="272" w:lineRule="auto"/>
        <w:rPr>
          <w:sz w:val="20"/>
          <w:szCs w:val="20"/>
          <w:color w:val="auto"/>
        </w:rPr>
      </w:pPr>
      <w:r>
        <w:rPr>
          <w:rFonts w:ascii="Times New Roman" w:cs="Times New Roman" w:eastAsia="Times New Roman" w:hAnsi="Times New Roman"/>
          <w:sz w:val="17"/>
          <w:szCs w:val="17"/>
          <w:color w:val="auto"/>
        </w:rPr>
        <w:t>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125" w:lineRule="exact"/>
        <w:rPr>
          <w:sz w:val="20"/>
          <w:szCs w:val="20"/>
          <w:color w:val="auto"/>
        </w:rPr>
      </w:pPr>
    </w:p>
    <w:p>
      <w:pPr>
        <w:jc w:val="both"/>
        <w:ind w:firstLine="509"/>
        <w:spacing w:after="0" w:line="258" w:lineRule="auto"/>
        <w:tabs>
          <w:tab w:leader="none" w:pos="902"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Increase Effective Date and Allocations</w:t>
      </w:r>
      <w:r>
        <w:rPr>
          <w:rFonts w:ascii="Times New Roman" w:cs="Times New Roman" w:eastAsia="Times New Roman" w:hAnsi="Times New Roman"/>
          <w:sz w:val="17"/>
          <w:szCs w:val="17"/>
          <w:color w:val="auto"/>
        </w:rPr>
        <w:t>. The Administrative Agent and the Borrower shall determine the effective date (the “</w:t>
      </w:r>
      <w:r>
        <w:rPr>
          <w:rFonts w:ascii="Times New Roman" w:cs="Times New Roman" w:eastAsia="Times New Roman" w:hAnsi="Times New Roman"/>
          <w:sz w:val="17"/>
          <w:szCs w:val="17"/>
          <w:u w:val="single" w:color="auto"/>
          <w:color w:val="auto"/>
        </w:rPr>
        <w:t>Increase Effective Date</w:t>
      </w:r>
      <w:r>
        <w:rPr>
          <w:rFonts w:ascii="Times New Roman" w:cs="Times New Roman" w:eastAsia="Times New Roman" w:hAnsi="Times New Roman"/>
          <w:sz w:val="17"/>
          <w:szCs w:val="17"/>
          <w:color w:val="auto"/>
        </w:rPr>
        <w:t>”) and the final allocation of such Incremental Increase. The Administrative Agent shall promptly notify the Borrower and the Incremental Lenders of the final allocation of such Incremental Increases (limited in the case of the Incremental Lenders to their own respective allocations thereof) and the Increase Effective Date.</w:t>
      </w:r>
    </w:p>
    <w:p>
      <w:pPr>
        <w:spacing w:after="0" w:line="147" w:lineRule="exact"/>
        <w:rPr>
          <w:rFonts w:ascii="Times New Roman" w:cs="Times New Roman" w:eastAsia="Times New Roman" w:hAnsi="Times New Roman"/>
          <w:sz w:val="17"/>
          <w:szCs w:val="17"/>
          <w:color w:val="auto"/>
        </w:rPr>
      </w:pPr>
    </w:p>
    <w:p>
      <w:pPr>
        <w:ind w:firstLine="509"/>
        <w:spacing w:after="0" w:line="272" w:lineRule="auto"/>
        <w:tabs>
          <w:tab w:leader="none" w:pos="953"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of Incremental Increases</w:t>
      </w:r>
      <w:r>
        <w:rPr>
          <w:rFonts w:ascii="Times New Roman" w:cs="Times New Roman" w:eastAsia="Times New Roman" w:hAnsi="Times New Roman"/>
          <w:sz w:val="17"/>
          <w:szCs w:val="17"/>
          <w:color w:val="auto"/>
        </w:rPr>
        <w:t xml:space="preserve">. The terms of each Incremental Increase (which shall be set forth in the relevant Incremental Amendment) shall be determined by the Borrower and the applicable Incremental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24" w:lineRule="exact"/>
        <w:rPr>
          <w:rFonts w:ascii="Times New Roman" w:cs="Times New Roman" w:eastAsia="Times New Roman" w:hAnsi="Times New Roman"/>
          <w:sz w:val="17"/>
          <w:szCs w:val="17"/>
          <w:color w:val="auto"/>
        </w:rPr>
      </w:pPr>
    </w:p>
    <w:p>
      <w:pPr>
        <w:jc w:val="both"/>
        <w:ind w:left="500" w:firstLine="513"/>
        <w:spacing w:after="0" w:line="253" w:lineRule="auto"/>
        <w:tabs>
          <w:tab w:leader="none" w:pos="1359"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such Incremental Increase shall have the same terms, including maturity, Applicable Margin and Commitment Fees, as, and be a part of, the Revolving Credit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any upfront fees payable by the Borrower to the Lenders under any Incremental Increases may differ from those payable under the then existing Revolving Credit Commitments and (y) the Applicable Margins or Commitment Fees or interest rate floor applicable to any Incremental Increase may be higher than the Applicable Margins or Commitment Fees or interest rate floor applicable to the Revolving Credit Facility if the Applicable Margins or Commitment Fees or interest rate floor applicable to the Revolving Credit Facility are increased to equal the Applicable Margins and Commitment Fees and interest rate floor applicable to such Incremental Increase;</w:t>
      </w:r>
    </w:p>
    <w:p>
      <w:pPr>
        <w:spacing w:after="0" w:line="140" w:lineRule="exact"/>
        <w:rPr>
          <w:rFonts w:ascii="Times New Roman" w:cs="Times New Roman" w:eastAsia="Times New Roman" w:hAnsi="Times New Roman"/>
          <w:sz w:val="17"/>
          <w:szCs w:val="17"/>
          <w:color w:val="auto"/>
        </w:rPr>
      </w:pPr>
    </w:p>
    <w:p>
      <w:pPr>
        <w:jc w:val="both"/>
        <w:ind w:left="500" w:firstLine="513"/>
        <w:spacing w:after="0" w:line="253" w:lineRule="auto"/>
        <w:tabs>
          <w:tab w:leader="none" w:pos="1503"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Increase) agree to make all payments and adjustments necessary to effect such reallocation and the Borrower shall pay any and all costs required pursuant to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in connection with such reallocation as if such reallocation were a repayment);</w:t>
      </w:r>
    </w:p>
    <w:p>
      <w:pPr>
        <w:spacing w:after="0" w:line="140" w:lineRule="exact"/>
        <w:rPr>
          <w:rFonts w:ascii="Times New Roman" w:cs="Times New Roman" w:eastAsia="Times New Roman" w:hAnsi="Times New Roman"/>
          <w:sz w:val="17"/>
          <w:szCs w:val="17"/>
          <w:color w:val="auto"/>
        </w:rPr>
      </w:pPr>
    </w:p>
    <w:p>
      <w:pPr>
        <w:ind w:left="500" w:firstLine="513"/>
        <w:spacing w:after="0" w:line="272" w:lineRule="auto"/>
        <w:tabs>
          <w:tab w:leader="none" w:pos="1430"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of the other terms and conditions applicable to such Incremental Increase shall, except to the extent otherwise provided in this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be identical to the terms and conditions applicable to the Revolving Credit Facility; and</w:t>
      </w:r>
    </w:p>
    <w:p>
      <w:pPr>
        <w:spacing w:after="0" w:line="131" w:lineRule="exact"/>
        <w:rPr>
          <w:rFonts w:ascii="Times New Roman" w:cs="Times New Roman" w:eastAsia="Times New Roman" w:hAnsi="Times New Roman"/>
          <w:sz w:val="17"/>
          <w:szCs w:val="17"/>
          <w:color w:val="auto"/>
        </w:rPr>
      </w:pPr>
    </w:p>
    <w:p>
      <w:pPr>
        <w:ind w:left="500" w:firstLine="513"/>
        <w:spacing w:after="0" w:line="277" w:lineRule="auto"/>
        <w:tabs>
          <w:tab w:leader="none" w:pos="1475"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Incremental Increase shall constitute Obligations of the Borrower and will be guaranteed by the Guarantors and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other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1280"/>
          </w:cols>
          <w:pgMar w:left="300" w:top="1192" w:right="319" w:bottom="1440" w:gutter="0" w:footer="0" w:header="0"/>
        </w:sectPr>
      </w:pPr>
    </w:p>
    <w:bookmarkStart w:id="475" w:name="page476"/>
    <w:bookmarkEnd w:id="475"/>
    <w:p>
      <w:pPr>
        <w:ind w:firstLine="509"/>
        <w:spacing w:after="0" w:line="246" w:lineRule="auto"/>
        <w:tabs>
          <w:tab w:leader="none" w:pos="912"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Effectiveness of Incremental Increases</w:t>
      </w:r>
      <w:r>
        <w:rPr>
          <w:rFonts w:ascii="Times New Roman" w:cs="Times New Roman" w:eastAsia="Times New Roman" w:hAnsi="Times New Roman"/>
          <w:sz w:val="17"/>
          <w:szCs w:val="17"/>
          <w:color w:val="auto"/>
        </w:rPr>
        <w:t>. Any Incremental Increase shall become effective as of such Increase Effective Date and shall be subject to the following conditions precedent:</w:t>
      </w:r>
    </w:p>
    <w:p>
      <w:pPr>
        <w:spacing w:after="0" w:line="135" w:lineRule="exact"/>
        <w:rPr>
          <w:rFonts w:ascii="Times New Roman" w:cs="Times New Roman" w:eastAsia="Times New Roman" w:hAnsi="Times New Roman"/>
          <w:sz w:val="17"/>
          <w:szCs w:val="17"/>
          <w:color w:val="auto"/>
        </w:rPr>
      </w:pPr>
    </w:p>
    <w:p>
      <w:pPr>
        <w:ind w:left="500" w:firstLine="513"/>
        <w:spacing w:after="0" w:line="246" w:lineRule="auto"/>
        <w:tabs>
          <w:tab w:leader="none" w:pos="1403" w:val="left"/>
        </w:tabs>
        <w:numPr>
          <w:ilvl w:val="2"/>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shall exist on such Increase Effective Date immediately prior to or after giving effect to (A) such Incremental Increase or (B) the making of the initial Extensions of Credit pursuant thereto;</w:t>
      </w:r>
    </w:p>
    <w:p>
      <w:pPr>
        <w:spacing w:after="0" w:line="135" w:lineRule="exact"/>
        <w:rPr>
          <w:rFonts w:ascii="Times New Roman" w:cs="Times New Roman" w:eastAsia="Times New Roman" w:hAnsi="Times New Roman"/>
          <w:sz w:val="17"/>
          <w:szCs w:val="17"/>
          <w:color w:val="auto"/>
        </w:rPr>
      </w:pPr>
    </w:p>
    <w:p>
      <w:pPr>
        <w:ind w:left="500" w:firstLine="513"/>
        <w:spacing w:after="0" w:line="259" w:lineRule="auto"/>
        <w:tabs>
          <w:tab w:leader="none" w:pos="1411" w:val="left"/>
        </w:tabs>
        <w:numPr>
          <w:ilvl w:val="2"/>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of the representations and warranties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shall be true and correct in all material respects (or if qualified by materiality or Material Adverse Effect, in all respects) as of such Increase Effective Date, or if such representation speaks as of an earlier date, as of such earlier date;</w:t>
      </w:r>
    </w:p>
    <w:p>
      <w:pPr>
        <w:spacing w:after="0" w:line="114" w:lineRule="exact"/>
        <w:rPr>
          <w:rFonts w:ascii="Times New Roman" w:cs="Times New Roman" w:eastAsia="Times New Roman" w:hAnsi="Times New Roman"/>
          <w:sz w:val="17"/>
          <w:szCs w:val="17"/>
          <w:color w:val="auto"/>
        </w:rPr>
      </w:pPr>
    </w:p>
    <w:p>
      <w:pPr>
        <w:jc w:val="both"/>
        <w:ind w:left="500" w:firstLine="513"/>
        <w:spacing w:after="0" w:line="237" w:lineRule="auto"/>
        <w:tabs>
          <w:tab w:leader="none" w:pos="1429" w:val="left"/>
        </w:tabs>
        <w:numPr>
          <w:ilvl w:val="2"/>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have received from the Borrower, a Compliance Certificate demonstrating that the Borrower is in compliance with the financial covenants set forth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in each case based on the financial statements for the most recently ended Reference Period, both before and after giving effect on a Pro Forma Basis to the incurrence of any such Incremental Increase (and assuming that the Revolving Credit Facility and any such Incremental Increase are fully drawn);</w:t>
      </w:r>
    </w:p>
    <w:p>
      <w:pPr>
        <w:spacing w:after="0" w:line="142" w:lineRule="exact"/>
        <w:rPr>
          <w:rFonts w:ascii="Times New Roman" w:cs="Times New Roman" w:eastAsia="Times New Roman" w:hAnsi="Times New Roman"/>
          <w:sz w:val="17"/>
          <w:szCs w:val="17"/>
          <w:color w:val="auto"/>
        </w:rPr>
      </w:pPr>
    </w:p>
    <w:p>
      <w:pPr>
        <w:ind w:left="500" w:firstLine="513"/>
        <w:spacing w:after="0" w:line="246" w:lineRule="auto"/>
        <w:tabs>
          <w:tab w:leader="none" w:pos="1450" w:val="left"/>
        </w:tabs>
        <w:numPr>
          <w:ilvl w:val="2"/>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Parties shall have executed and delivered to the Administrative Agent, an Incremental Amendment in form and substance reasonably acceptable to the Administrative Agent and the applicable Incremental Lenders; and</w:t>
      </w:r>
    </w:p>
    <w:p>
      <w:pPr>
        <w:spacing w:after="0" w:line="135" w:lineRule="exact"/>
        <w:rPr>
          <w:rFonts w:ascii="Times New Roman" w:cs="Times New Roman" w:eastAsia="Times New Roman" w:hAnsi="Times New Roman"/>
          <w:sz w:val="17"/>
          <w:szCs w:val="17"/>
          <w:color w:val="auto"/>
        </w:rPr>
      </w:pPr>
    </w:p>
    <w:p>
      <w:pPr>
        <w:jc w:val="both"/>
        <w:ind w:left="500" w:firstLine="513"/>
        <w:spacing w:after="0" w:line="239" w:lineRule="auto"/>
        <w:tabs>
          <w:tab w:leader="none" w:pos="1415" w:val="left"/>
        </w:tabs>
        <w:numPr>
          <w:ilvl w:val="2"/>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from the Borrower, any customary legal opinions or other documents (including a resolution duly adopted by the board of directors (or equivalent governing body) of each Credit Party authorizing such Incremental Increase), reasonably requested by Administrative Agent in connection with such Incremental Increase.</w:t>
      </w:r>
    </w:p>
    <w:p>
      <w:pPr>
        <w:spacing w:after="0" w:line="141" w:lineRule="exact"/>
        <w:rPr>
          <w:rFonts w:ascii="Times New Roman" w:cs="Times New Roman" w:eastAsia="Times New Roman" w:hAnsi="Times New Roman"/>
          <w:sz w:val="17"/>
          <w:szCs w:val="17"/>
          <w:color w:val="auto"/>
        </w:rPr>
      </w:pPr>
    </w:p>
    <w:p>
      <w:pPr>
        <w:jc w:val="both"/>
        <w:ind w:firstLine="754"/>
        <w:spacing w:after="0" w:line="234" w:lineRule="auto"/>
        <w:tabs>
          <w:tab w:leader="none" w:pos="1202"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Incremental Amendments</w:t>
      </w:r>
      <w:r>
        <w:rPr>
          <w:rFonts w:ascii="Times New Roman" w:cs="Times New Roman" w:eastAsia="Times New Roman" w:hAnsi="Times New Roman"/>
          <w:sz w:val="17"/>
          <w:szCs w:val="17"/>
          <w:color w:val="auto"/>
        </w:rPr>
        <w:t>. Each such Incremental Increase shall be effected pursuant to an amendment (an “</w:t>
      </w:r>
      <w:r>
        <w:rPr>
          <w:rFonts w:ascii="Times New Roman" w:cs="Times New Roman" w:eastAsia="Times New Roman" w:hAnsi="Times New Roman"/>
          <w:sz w:val="17"/>
          <w:szCs w:val="17"/>
          <w:u w:val="single" w:color="auto"/>
          <w:color w:val="auto"/>
        </w:rPr>
        <w:t>Incremental Amendment</w:t>
      </w:r>
      <w:r>
        <w:rPr>
          <w:rFonts w:ascii="Times New Roman" w:cs="Times New Roman" w:eastAsia="Times New Roman" w:hAnsi="Times New Roman"/>
          <w:sz w:val="17"/>
          <w:szCs w:val="17"/>
          <w:color w:val="auto"/>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ind w:firstLine="754"/>
        <w:spacing w:after="0" w:line="259" w:lineRule="auto"/>
        <w:tabs>
          <w:tab w:leader="none" w:pos="1146"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proceeds of any Incremental Increase may be used by the Borrower and its Subsidiaries for working capital and other general corporate purposes, and any other use not prohibited by this Agreement.</w:t>
      </w:r>
    </w:p>
    <w:p>
      <w:pPr>
        <w:spacing w:after="0" w:line="114"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Section 5.14 </w:t>
      </w: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 At any time that there shall exist a Defaulting Lender, within three (3) Business Day following the written request of the Administrative Agent, any Issuing Lender (with a copy to the Administrative Agent) or the Swingline Lender (with a copy to the Administrative Agent), the Borrower shall Cash Collateralize the Fronting Exposure of such Issuing Lender and/or the Swingline Lender, as applicable, with respect to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1280"/>
          </w:cols>
          <w:pgMar w:left="300" w:top="1181" w:right="319" w:bottom="1440" w:gutter="0" w:footer="0" w:header="0"/>
        </w:sectPr>
      </w:pPr>
    </w:p>
    <w:bookmarkStart w:id="476" w:name="page477"/>
    <w:bookmarkEnd w:id="476"/>
    <w:p>
      <w:pPr>
        <w:spacing w:after="0" w:line="272" w:lineRule="auto"/>
        <w:rPr>
          <w:sz w:val="20"/>
          <w:szCs w:val="20"/>
          <w:color w:val="auto"/>
        </w:rPr>
      </w:pPr>
      <w:r>
        <w:rPr>
          <w:rFonts w:ascii="Times New Roman" w:cs="Times New Roman" w:eastAsia="Times New Roman" w:hAnsi="Times New Roman"/>
          <w:sz w:val="17"/>
          <w:szCs w:val="17"/>
          <w:color w:val="auto"/>
        </w:rPr>
        <w:t xml:space="preserve">(determined after giving effect to </w:t>
      </w:r>
      <w:r>
        <w:rPr>
          <w:rFonts w:ascii="Times New Roman" w:cs="Times New Roman" w:eastAsia="Times New Roman" w:hAnsi="Times New Roman"/>
          <w:sz w:val="17"/>
          <w:szCs w:val="17"/>
          <w:u w:val="single" w:color="auto"/>
          <w:color w:val="auto"/>
        </w:rPr>
        <w:t>Section 5.15(a)(iv)</w:t>
      </w:r>
      <w:r>
        <w:rPr>
          <w:rFonts w:ascii="Times New Roman" w:cs="Times New Roman" w:eastAsia="Times New Roman" w:hAnsi="Times New Roman"/>
          <w:sz w:val="17"/>
          <w:szCs w:val="17"/>
          <w:color w:val="auto"/>
        </w:rPr>
        <w:t xml:space="preserve"> and any Cash Collateral provided by such Defaulting Lender) in an amount not less than the Minimum Collateral Amount.</w:t>
      </w:r>
    </w:p>
    <w:p>
      <w:pPr>
        <w:spacing w:after="0" w:line="125" w:lineRule="exact"/>
        <w:rPr>
          <w:sz w:val="20"/>
          <w:szCs w:val="20"/>
          <w:color w:val="auto"/>
        </w:rPr>
      </w:pPr>
    </w:p>
    <w:p>
      <w:pPr>
        <w:jc w:val="both"/>
        <w:ind w:firstLine="509"/>
        <w:spacing w:after="0" w:line="251" w:lineRule="auto"/>
        <w:tabs>
          <w:tab w:leader="none" w:pos="1017"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Security Interest</w:t>
      </w:r>
      <w:r>
        <w:rPr>
          <w:rFonts w:ascii="Times New Roman" w:cs="Times New Roman" w:eastAsia="Times New Roman" w:hAnsi="Times New Roman"/>
          <w:sz w:val="17"/>
          <w:szCs w:val="17"/>
          <w:color w:val="auto"/>
        </w:rPr>
        <w:t>. The Borrower, and to the extent provided by any Defaulting Lender, such Defaulting Lender, hereby grants to the Administrative Agent, for the benefit of each Issuing Lender and the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the Swingline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45" w:lineRule="exact"/>
        <w:rPr>
          <w:rFonts w:ascii="Times New Roman" w:cs="Times New Roman" w:eastAsia="Times New Roman" w:hAnsi="Times New Roman"/>
          <w:sz w:val="17"/>
          <w:szCs w:val="17"/>
          <w:color w:val="auto"/>
        </w:rPr>
      </w:pPr>
    </w:p>
    <w:p>
      <w:pPr>
        <w:jc w:val="both"/>
        <w:ind w:firstLine="509"/>
        <w:spacing w:after="0" w:line="258" w:lineRule="auto"/>
        <w:tabs>
          <w:tab w:leader="none" w:pos="922"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w:t>
      </w:r>
      <w:r>
        <w:rPr>
          <w:rFonts w:ascii="Times New Roman" w:cs="Times New Roman" w:eastAsia="Times New Roman" w:hAnsi="Times New Roman"/>
          <w:sz w:val="17"/>
          <w:szCs w:val="17"/>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5.15</w:t>
      </w:r>
      <w:r>
        <w:rPr>
          <w:rFonts w:ascii="Times New Roman" w:cs="Times New Roman" w:eastAsia="Times New Roman" w:hAnsi="Times New Roman"/>
          <w:sz w:val="17"/>
          <w:szCs w:val="17"/>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37" w:lineRule="exact"/>
        <w:rPr>
          <w:rFonts w:ascii="Times New Roman" w:cs="Times New Roman" w:eastAsia="Times New Roman" w:hAnsi="Times New Roman"/>
          <w:sz w:val="17"/>
          <w:szCs w:val="17"/>
          <w:color w:val="auto"/>
        </w:rPr>
      </w:pPr>
    </w:p>
    <w:p>
      <w:pPr>
        <w:jc w:val="both"/>
        <w:ind w:firstLine="509"/>
        <w:spacing w:after="0" w:line="251" w:lineRule="auto"/>
        <w:tabs>
          <w:tab w:leader="none" w:pos="881"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Requirement</w:t>
      </w:r>
      <w:r>
        <w:rPr>
          <w:rFonts w:ascii="Times New Roman" w:cs="Times New Roman" w:eastAsia="Times New Roman" w:hAnsi="Times New Roman"/>
          <w:sz w:val="17"/>
          <w:szCs w:val="17"/>
          <w:color w:val="auto"/>
        </w:rPr>
        <w:t xml:space="preserve">. Cash Collateral (or the appropriate portion thereof) provided to reduce the Fronting Exposure of any Issuing Lender and/or the Swingline Lender, as applicable, shall no longer be required to be held as Cash Collateral pursuant to this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following (i) the elimination of the applicable Fronting Exposure (including by the termination of Defaulting Lender status of the applicable Lender), or (ii) the determination by the Administrative Agent, the Issuing Lenders and the Swingline Lender that there exists excess Cash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to </w:t>
      </w:r>
      <w:r>
        <w:rPr>
          <w:rFonts w:ascii="Times New Roman" w:cs="Times New Roman" w:eastAsia="Times New Roman" w:hAnsi="Times New Roman"/>
          <w:sz w:val="17"/>
          <w:szCs w:val="17"/>
          <w:u w:val="single" w:color="auto"/>
          <w:color w:val="auto"/>
        </w:rPr>
        <w:t>Section 5.15</w:t>
      </w:r>
      <w:r>
        <w:rPr>
          <w:rFonts w:ascii="Times New Roman" w:cs="Times New Roman" w:eastAsia="Times New Roman" w:hAnsi="Times New Roman"/>
          <w:sz w:val="17"/>
          <w:szCs w:val="17"/>
          <w:color w:val="auto"/>
        </w:rPr>
        <w:t xml:space="preserve">, the Person providing Cash Collateral, the Issuing Lenders and the Swingline Lender may agree that Cash Collateral shall be held to support future anticipated Fronting Exposure or other obligations;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to the extent that such Cash Collateral was provided by the Borrower, such Cash Collateral shall remain subject to the security interest granted pursuant to the Loan Documents.</w:t>
      </w:r>
    </w:p>
    <w:p>
      <w:pPr>
        <w:spacing w:after="0" w:line="146" w:lineRule="exact"/>
        <w:rPr>
          <w:sz w:val="20"/>
          <w:szCs w:val="20"/>
          <w:color w:val="auto"/>
        </w:rPr>
      </w:pPr>
    </w:p>
    <w:p>
      <w:pPr>
        <w:ind w:left="50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5.15</w:t>
      </w:r>
      <w:r>
        <w:rPr>
          <w:sz w:val="20"/>
          <w:szCs w:val="20"/>
          <w:color w:val="auto"/>
        </w:rPr>
        <w:tab/>
      </w:r>
      <w:r>
        <w:rPr>
          <w:rFonts w:ascii="Times New Roman" w:cs="Times New Roman" w:eastAsia="Times New Roman" w:hAnsi="Times New Roman"/>
          <w:sz w:val="16"/>
          <w:szCs w:val="16"/>
          <w:u w:val="single" w:color="auto"/>
          <w:color w:val="auto"/>
        </w:rPr>
        <w:t>Defaulting Lenders.</w:t>
      </w:r>
    </w:p>
    <w:p>
      <w:pPr>
        <w:spacing w:after="0" w:line="183" w:lineRule="exact"/>
        <w:rPr>
          <w:sz w:val="20"/>
          <w:szCs w:val="20"/>
          <w:color w:val="auto"/>
        </w:rPr>
      </w:pPr>
    </w:p>
    <w:p>
      <w:pPr>
        <w:ind w:firstLine="509"/>
        <w:spacing w:after="0" w:line="272" w:lineRule="auto"/>
        <w:tabs>
          <w:tab w:leader="none" w:pos="87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 Adjustments</w:t>
      </w:r>
      <w:r>
        <w:rPr>
          <w:rFonts w:ascii="Times New Roman" w:cs="Times New Roman" w:eastAsia="Times New Roman" w:hAnsi="Times New Roman"/>
          <w:sz w:val="17"/>
          <w:szCs w:val="17"/>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24" w:lineRule="exact"/>
        <w:rPr>
          <w:rFonts w:ascii="Times New Roman" w:cs="Times New Roman" w:eastAsia="Times New Roman" w:hAnsi="Times New Roman"/>
          <w:sz w:val="17"/>
          <w:szCs w:val="17"/>
          <w:color w:val="auto"/>
        </w:rPr>
      </w:pPr>
    </w:p>
    <w:p>
      <w:pPr>
        <w:ind w:left="500" w:firstLine="513"/>
        <w:spacing w:after="0" w:line="272" w:lineRule="auto"/>
        <w:tabs>
          <w:tab w:leader="none" w:pos="1426"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Waivers and Amendments</w:t>
      </w:r>
      <w:r>
        <w:rPr>
          <w:rFonts w:ascii="Times New Roman" w:cs="Times New Roman" w:eastAsia="Times New Roman" w:hAnsi="Times New Roman"/>
          <w:sz w:val="17"/>
          <w:szCs w:val="17"/>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1280"/>
          </w:cols>
          <w:pgMar w:left="300" w:top="1191" w:right="319" w:bottom="1440" w:gutter="0" w:footer="0" w:header="0"/>
        </w:sectPr>
      </w:pPr>
    </w:p>
    <w:bookmarkStart w:id="477" w:name="page478"/>
    <w:bookmarkEnd w:id="477"/>
    <w:p>
      <w:pPr>
        <w:jc w:val="both"/>
        <w:ind w:firstLine="513"/>
        <w:spacing w:after="0" w:line="238" w:lineRule="auto"/>
        <w:tabs>
          <w:tab w:leader="none" w:pos="92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 Waterfall</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or otherwise) or received by the Administrative Agent from a Defaulting Lender pursuant to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 xml:space="preserve"> shall be applied at such time or times as may be determined by the Administrative Agent as follows: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xml:space="preserve">, to the payment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of any amounts owing by such Defaulting Lender to the Issuing Lenders or the Swingline Lender hereunder;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xml:space="preserve">, to Cash Collateralize the Fronting Exposure of the Issuing Lenders and the Swingline Lender with respect to such Defaulting Lender in accordance with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xml:space="preserve">, if so determined by the Administrative Agent and the Borrower, to be held in a deposit account and released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issued under this Agreement, in accordance with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sixth</w:t>
      </w:r>
      <w:r>
        <w:rPr>
          <w:rFonts w:ascii="Times New Roman" w:cs="Times New Roman" w:eastAsia="Times New Roman" w:hAnsi="Times New Roman"/>
          <w:sz w:val="17"/>
          <w:szCs w:val="17"/>
          <w:color w:val="auto"/>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Times New Roman" w:cs="Times New Roman" w:eastAsia="Times New Roman" w:hAnsi="Times New Roman"/>
          <w:sz w:val="17"/>
          <w:szCs w:val="17"/>
          <w:i w:val="1"/>
          <w:iCs w:val="1"/>
          <w:color w:val="auto"/>
        </w:rPr>
        <w:t>seventh</w:t>
      </w:r>
      <w:r>
        <w:rPr>
          <w:rFonts w:ascii="Times New Roman" w:cs="Times New Roman" w:eastAsia="Times New Roman" w:hAnsi="Times New Roman"/>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7"/>
          <w:szCs w:val="17"/>
          <w:i w:val="1"/>
          <w:iCs w:val="1"/>
          <w:color w:val="auto"/>
        </w:rPr>
        <w:t>eighth</w:t>
      </w:r>
      <w:r>
        <w:rPr>
          <w:rFonts w:ascii="Times New Roman" w:cs="Times New Roman" w:eastAsia="Times New Roman" w:hAnsi="Times New Roman"/>
          <w:sz w:val="17"/>
          <w:szCs w:val="17"/>
          <w:color w:val="auto"/>
        </w:rPr>
        <w:t xml:space="preserve">, to such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were satisfied or waived, such payment shall be applied solely to pay the Loans of, and funded participations in Letters of Credit or Swingline Loans owed to, all Non-Defaulting Lenders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the Revolving Credit Commitments under the applicable Revolving Credit Facility without giving effect to </w:t>
      </w:r>
      <w:r>
        <w:rPr>
          <w:rFonts w:ascii="Times New Roman" w:cs="Times New Roman" w:eastAsia="Times New Roman" w:hAnsi="Times New Roman"/>
          <w:sz w:val="17"/>
          <w:szCs w:val="17"/>
          <w:u w:val="single" w:color="auto"/>
          <w:color w:val="auto"/>
        </w:rPr>
        <w:t>Section 5.15(a)(iv)</w:t>
      </w:r>
      <w:r>
        <w:rPr>
          <w:rFonts w:ascii="Times New Roman" w:cs="Times New Roman" w:eastAsia="Times New Roman" w:hAnsi="Times New Roman"/>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7"/>
          <w:szCs w:val="17"/>
          <w:u w:val="single" w:color="auto"/>
          <w:color w:val="auto"/>
        </w:rPr>
        <w:t>Section 5.15(a)(ii)</w:t>
      </w:r>
      <w:r>
        <w:rPr>
          <w:rFonts w:ascii="Times New Roman" w:cs="Times New Roman" w:eastAsia="Times New Roman" w:hAnsi="Times New Roman"/>
          <w:sz w:val="17"/>
          <w:szCs w:val="17"/>
          <w:color w:val="auto"/>
        </w:rPr>
        <w:t xml:space="preserve"> shall be deemed paid to and redirected by such Defaulting Lender, and each Lender irrevocably consents hereto.</w:t>
      </w:r>
    </w:p>
    <w:p>
      <w:pPr>
        <w:spacing w:after="0" w:line="147" w:lineRule="exact"/>
        <w:rPr>
          <w:rFonts w:ascii="Times New Roman" w:cs="Times New Roman" w:eastAsia="Times New Roman" w:hAnsi="Times New Roman"/>
          <w:sz w:val="17"/>
          <w:szCs w:val="17"/>
          <w:color w:val="auto"/>
        </w:rPr>
      </w:pPr>
    </w:p>
    <w:p>
      <w:pPr>
        <w:ind w:left="960" w:hanging="447"/>
        <w:spacing w:after="0"/>
        <w:tabs>
          <w:tab w:leader="none" w:pos="96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Fees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780"/>
          </w:cols>
          <w:pgMar w:left="800" w:top="1180" w:right="319" w:bottom="1440" w:gutter="0" w:footer="0" w:header="0"/>
        </w:sectPr>
      </w:pPr>
    </w:p>
    <w:bookmarkStart w:id="478" w:name="page479"/>
    <w:bookmarkEnd w:id="478"/>
    <w:p>
      <w:pPr>
        <w:ind w:left="1020" w:firstLine="498"/>
        <w:spacing w:after="0" w:line="246" w:lineRule="auto"/>
        <w:tabs>
          <w:tab w:leader="none" w:pos="1970"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35" w:lineRule="exact"/>
        <w:rPr>
          <w:rFonts w:ascii="Times New Roman" w:cs="Times New Roman" w:eastAsia="Times New Roman" w:hAnsi="Times New Roman"/>
          <w:sz w:val="17"/>
          <w:szCs w:val="17"/>
          <w:color w:val="auto"/>
        </w:rPr>
      </w:pPr>
    </w:p>
    <w:p>
      <w:pPr>
        <w:jc w:val="both"/>
        <w:ind w:left="1020" w:firstLine="498"/>
        <w:spacing w:after="0" w:line="239" w:lineRule="auto"/>
        <w:tabs>
          <w:tab w:leader="none" w:pos="1936"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Defaulting Lender shall be entitled to receive Letter of Credit commissions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ind w:left="1940" w:hanging="422"/>
        <w:spacing w:after="0"/>
        <w:tabs>
          <w:tab w:leader="none" w:pos="1940"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Commitment Fee or Letter of Credit commission not required to be paid to any Defaulting Lender pursuant to clause</w:t>
      </w:r>
    </w:p>
    <w:p>
      <w:pPr>
        <w:spacing w:after="0" w:line="1" w:lineRule="exact"/>
        <w:rPr>
          <w:rFonts w:ascii="Times New Roman" w:cs="Times New Roman" w:eastAsia="Times New Roman" w:hAnsi="Times New Roman"/>
          <w:sz w:val="17"/>
          <w:szCs w:val="17"/>
          <w:color w:val="auto"/>
        </w:rPr>
      </w:pPr>
    </w:p>
    <w:p>
      <w:pPr>
        <w:ind w:left="1300" w:hanging="287"/>
        <w:spacing w:after="0" w:line="232" w:lineRule="auto"/>
        <w:tabs>
          <w:tab w:leader="none" w:pos="1300"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(B) above, the Borrower shall (1) pay to each Non-Defaulting Lender that portion of any such fee otherwise payable to such Defaulting Lender</w:t>
      </w:r>
    </w:p>
    <w:p>
      <w:pPr>
        <w:jc w:val="both"/>
        <w:ind w:left="1020"/>
        <w:spacing w:after="0" w:line="232" w:lineRule="auto"/>
        <w:rPr>
          <w:sz w:val="20"/>
          <w:szCs w:val="20"/>
          <w:color w:val="auto"/>
        </w:rPr>
      </w:pPr>
      <w:r>
        <w:rPr>
          <w:rFonts w:ascii="Times New Roman" w:cs="Times New Roman" w:eastAsia="Times New Roman" w:hAnsi="Times New Roman"/>
          <w:sz w:val="17"/>
          <w:szCs w:val="17"/>
          <w:color w:val="auto"/>
        </w:rPr>
        <w:t>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30" w:lineRule="exact"/>
        <w:rPr>
          <w:sz w:val="20"/>
          <w:szCs w:val="20"/>
          <w:color w:val="auto"/>
        </w:rPr>
      </w:pPr>
    </w:p>
    <w:p>
      <w:pPr>
        <w:jc w:val="both"/>
        <w:ind w:left="500" w:firstLine="513"/>
        <w:spacing w:after="0" w:line="233" w:lineRule="auto"/>
        <w:tabs>
          <w:tab w:leader="none" w:pos="1468"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Reallocation of Participations to Reduce Fronting Exposure</w:t>
      </w:r>
      <w:r>
        <w:rPr>
          <w:rFonts w:ascii="Times New Roman" w:cs="Times New Roman" w:eastAsia="Times New Roman" w:hAnsi="Times New Roman"/>
          <w:sz w:val="17"/>
          <w:szCs w:val="17"/>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Times New Roman" w:cs="Times New Roman" w:eastAsia="Times New Roman" w:hAnsi="Times New Roman"/>
          <w:sz w:val="17"/>
          <w:szCs w:val="17"/>
          <w:u w:val="single" w:color="auto"/>
          <w:color w:val="auto"/>
        </w:rPr>
        <w:t>Section 12.23</w:t>
      </w:r>
      <w:r>
        <w:rPr>
          <w:rFonts w:ascii="Times New Roman" w:cs="Times New Roman" w:eastAsia="Times New Roman" w:hAnsi="Times New Roman"/>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2" w:lineRule="exact"/>
        <w:rPr>
          <w:rFonts w:ascii="Times New Roman" w:cs="Times New Roman" w:eastAsia="Times New Roman" w:hAnsi="Times New Roman"/>
          <w:sz w:val="17"/>
          <w:szCs w:val="17"/>
          <w:color w:val="auto"/>
        </w:rPr>
      </w:pPr>
    </w:p>
    <w:p>
      <w:pPr>
        <w:jc w:val="both"/>
        <w:ind w:left="500" w:firstLine="513"/>
        <w:spacing w:after="0" w:line="237" w:lineRule="auto"/>
        <w:tabs>
          <w:tab w:leader="none" w:pos="1411"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 Repayment of Swingline Loans</w:t>
      </w:r>
      <w:r>
        <w:rPr>
          <w:rFonts w:ascii="Times New Roman" w:cs="Times New Roman" w:eastAsia="Times New Roman" w:hAnsi="Times New Roman"/>
          <w:sz w:val="17"/>
          <w:szCs w:val="17"/>
          <w:color w:val="auto"/>
        </w:rPr>
        <w:t xml:space="preserve">. If the reallocation described in clause (iv) above cannot, or can only partially, be effected, the Borrower shall, without prejudice to any right or remedy available to it hereunder or under law, (x)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repay Swingline Loans in an amount equal to the Swingline Lenders’ Fronting Exposure and (y)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Cash Collateralize the Issuing Lenders’ Fronting Exposure in accordance with the procedures set forth in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jc w:val="both"/>
        <w:ind w:firstLine="509"/>
        <w:spacing w:after="0" w:line="239" w:lineRule="auto"/>
        <w:tabs>
          <w:tab w:leader="none" w:pos="911"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 Cure</w:t>
      </w:r>
      <w:r>
        <w:rPr>
          <w:rFonts w:ascii="Times New Roman" w:cs="Times New Roman" w:eastAsia="Times New Roman" w:hAnsi="Times New Roman"/>
          <w:sz w:val="17"/>
          <w:szCs w:val="17"/>
          <w:color w:val="auto"/>
        </w:rPr>
        <w:t>. If the Borrower,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1280"/>
          </w:cols>
          <w:pgMar w:left="300" w:top="1181" w:right="319" w:bottom="1440" w:gutter="0" w:footer="0" w:header="0"/>
        </w:sectPr>
      </w:pPr>
    </w:p>
    <w:bookmarkStart w:id="479" w:name="page480"/>
    <w:bookmarkEnd w:id="479"/>
    <w:p>
      <w:pPr>
        <w:jc w:val="both"/>
        <w:spacing w:after="0" w:line="224" w:lineRule="auto"/>
        <w:rPr>
          <w:sz w:val="20"/>
          <w:szCs w:val="20"/>
          <w:color w:val="auto"/>
        </w:rPr>
      </w:pPr>
      <w:r>
        <w:rPr>
          <w:rFonts w:ascii="Times New Roman" w:cs="Times New Roman" w:eastAsia="Times New Roman" w:hAnsi="Times New Roman"/>
          <w:sz w:val="17"/>
          <w:szCs w:val="17"/>
          <w:color w:val="auto"/>
        </w:rPr>
        <w:t xml:space="preserve">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by the Lenders in accordance with the Commitments</w:t>
      </w:r>
    </w:p>
    <w:p>
      <w:pPr>
        <w:jc w:val="both"/>
        <w:spacing w:after="0" w:line="225" w:lineRule="auto"/>
        <w:rPr>
          <w:sz w:val="20"/>
          <w:szCs w:val="20"/>
          <w:color w:val="auto"/>
        </w:rPr>
      </w:pPr>
      <w:r>
        <w:rPr>
          <w:rFonts w:ascii="Times New Roman" w:cs="Times New Roman" w:eastAsia="Times New Roman" w:hAnsi="Times New Roman"/>
          <w:sz w:val="17"/>
          <w:szCs w:val="17"/>
          <w:color w:val="auto"/>
        </w:rPr>
        <w:t xml:space="preserve">under the applicable Credit Facility (without giving effect to </w:t>
      </w:r>
      <w:r>
        <w:rPr>
          <w:rFonts w:ascii="Times New Roman" w:cs="Times New Roman" w:eastAsia="Times New Roman" w:hAnsi="Times New Roman"/>
          <w:sz w:val="17"/>
          <w:szCs w:val="17"/>
          <w:u w:val="single" w:color="auto"/>
          <w:color w:val="auto"/>
        </w:rPr>
        <w:t>Section 5.15(a)(iv)</w:t>
      </w:r>
      <w:r>
        <w:rPr>
          <w:rFonts w:ascii="Times New Roman" w:cs="Times New Roman" w:eastAsia="Times New Roman" w:hAnsi="Times New Roman"/>
          <w:sz w:val="17"/>
          <w:szCs w:val="17"/>
          <w:color w:val="auto"/>
        </w:rPr>
        <w:t xml:space="preserve">), whereupon such Lender will cease to be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CONDITIONS OF CLOSING AND BORROWING</w:t>
      </w:r>
    </w:p>
    <w:p>
      <w:pPr>
        <w:spacing w:after="0" w:line="151"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Conditions to Closing and Initial Extensions of Credit</w:t>
      </w:r>
      <w:r>
        <w:rPr>
          <w:rFonts w:ascii="Times New Roman" w:cs="Times New Roman" w:eastAsia="Times New Roman" w:hAnsi="Times New Roman"/>
          <w:sz w:val="17"/>
          <w:szCs w:val="17"/>
          <w:color w:val="auto"/>
        </w:rPr>
        <w:t>. The amendment and restatement of the Existing Credit Agreement and the obligation of the Lenders to make the initial Loans or issue or participate in the initial Letter of Credit, if any, is subject to the satisfaction of each of the following conditions:</w:t>
      </w:r>
    </w:p>
    <w:p>
      <w:pPr>
        <w:spacing w:after="0" w:line="125" w:lineRule="exact"/>
        <w:rPr>
          <w:sz w:val="20"/>
          <w:szCs w:val="20"/>
          <w:color w:val="auto"/>
        </w:rPr>
      </w:pPr>
    </w:p>
    <w:p>
      <w:pPr>
        <w:jc w:val="both"/>
        <w:ind w:firstLine="509"/>
        <w:spacing w:after="0" w:line="228" w:lineRule="auto"/>
        <w:tabs>
          <w:tab w:leader="none" w:pos="902"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Executed Loan Documents</w:t>
      </w:r>
      <w:r>
        <w:rPr>
          <w:rFonts w:ascii="Times New Roman" w:cs="Times New Roman" w:eastAsia="Times New Roman" w:hAnsi="Times New Roman"/>
          <w:sz w:val="17"/>
          <w:szCs w:val="17"/>
          <w:color w:val="auto"/>
        </w:rPr>
        <w:t>. This Agreement, a Revolving Credit Note in favor of each Revolving Credit Lender requesting a Revolving Credit Note, a Swingline Note in favor of the Swingline Lender (in each case, if requested thereby), the Security Documents to be delivered on the Closing Date and the Guaranty Agreement, together with any other applicable Loan Documents, shall have been duly authorized, executed and delivered to the Administrative Agent by the parties thereto, shall be in full force and effect and no Default or Event of Default shall have occurred and be continuing.</w:t>
      </w:r>
    </w:p>
    <w:p>
      <w:pPr>
        <w:spacing w:after="0" w:line="129" w:lineRule="exact"/>
        <w:rPr>
          <w:rFonts w:ascii="Times New Roman" w:cs="Times New Roman" w:eastAsia="Times New Roman" w:hAnsi="Times New Roman"/>
          <w:sz w:val="17"/>
          <w:szCs w:val="17"/>
          <w:color w:val="auto"/>
        </w:rPr>
      </w:pPr>
    </w:p>
    <w:p>
      <w:pPr>
        <w:ind w:firstLine="509"/>
        <w:spacing w:after="0" w:line="246" w:lineRule="auto"/>
        <w:tabs>
          <w:tab w:leader="none" w:pos="964"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Certificates; Etc.</w:t>
      </w:r>
      <w:r>
        <w:rPr>
          <w:rFonts w:ascii="Times New Roman" w:cs="Times New Roman" w:eastAsia="Times New Roman" w:hAnsi="Times New Roman"/>
          <w:sz w:val="17"/>
          <w:szCs w:val="17"/>
          <w:color w:val="auto"/>
        </w:rPr>
        <w:t xml:space="preserve"> The Administrative Agent shall have received each of the following in form and substance reasonably satisfactory to the Administrative Agent:</w:t>
      </w:r>
    </w:p>
    <w:p>
      <w:pPr>
        <w:spacing w:after="0" w:line="114" w:lineRule="exact"/>
        <w:rPr>
          <w:rFonts w:ascii="Times New Roman" w:cs="Times New Roman" w:eastAsia="Times New Roman" w:hAnsi="Times New Roman"/>
          <w:sz w:val="17"/>
          <w:szCs w:val="17"/>
          <w:color w:val="auto"/>
        </w:rPr>
      </w:pPr>
    </w:p>
    <w:p>
      <w:pPr>
        <w:jc w:val="both"/>
        <w:ind w:left="500" w:firstLine="513"/>
        <w:spacing w:after="0" w:line="229" w:lineRule="auto"/>
        <w:tabs>
          <w:tab w:leader="none" w:pos="1342" w:val="left"/>
        </w:tabs>
        <w:numPr>
          <w:ilvl w:val="1"/>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Officer’s Certificate</w:t>
      </w:r>
      <w:r>
        <w:rPr>
          <w:rFonts w:ascii="Times New Roman" w:cs="Times New Roman" w:eastAsia="Times New Roman" w:hAnsi="Times New Roman"/>
          <w:sz w:val="17"/>
          <w:szCs w:val="17"/>
          <w:color w:val="auto"/>
        </w:rPr>
        <w:t xml:space="preserve">. A certificate from a Responsible Officer of the Borrower to the effect that (A) all representations and warranties of the Credit Parties contained in this Agreement and the other Loan Documents are true, correct and complete; (B) the Credit Parties are not in violation of any of the covenants contained in this Agreement and the other Loan Documents; (C) after giving effect to the Transactions, no Default or Event of Default has occurred and is continuing; (D) since January 31, 2025, no event has occurred or condition arisen, either individually or in the aggregate, that has had or could reasonably be expected to have a Material Adverse Effect; and (E) the Borrower has satisfied each of the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118" w:lineRule="exact"/>
        <w:rPr>
          <w:rFonts w:ascii="Times New Roman" w:cs="Times New Roman" w:eastAsia="Times New Roman" w:hAnsi="Times New Roman"/>
          <w:sz w:val="17"/>
          <w:szCs w:val="17"/>
          <w:color w:val="auto"/>
        </w:rPr>
      </w:pPr>
    </w:p>
    <w:p>
      <w:pPr>
        <w:jc w:val="both"/>
        <w:ind w:left="500" w:firstLine="513"/>
        <w:spacing w:after="0" w:line="231" w:lineRule="auto"/>
        <w:tabs>
          <w:tab w:leader="none" w:pos="1452" w:val="left"/>
        </w:tabs>
        <w:numPr>
          <w:ilvl w:val="1"/>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 of Secretary of each Credit Party</w:t>
      </w:r>
      <w:r>
        <w:rPr>
          <w:rFonts w:ascii="Times New Roman" w:cs="Times New Roman" w:eastAsia="Times New Roman" w:hAnsi="Times New Roman"/>
          <w:sz w:val="17"/>
          <w:szCs w:val="17"/>
          <w:color w:val="auto"/>
        </w:rPr>
        <w:t>. A certificate of a Responsible Officer of each Credit Party certifying as to the incumbency and genuineness of the signature of each officer of such Credit Party and certifying that attached thereto is a true, correct and complete copy of (A) the articles or certificate of incorporation or formation (or equivalent), as applicable, of such Credit Party and all amendments thereto, certified as of a recent date by the appropriate Governmental Authority in its jurisdiction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1280"/>
          </w:cols>
          <w:pgMar w:left="300" w:top="1170" w:right="319" w:bottom="1440" w:gutter="0" w:footer="0" w:header="0"/>
        </w:sectPr>
      </w:pPr>
    </w:p>
    <w:bookmarkStart w:id="480" w:name="page481"/>
    <w:bookmarkEnd w:id="480"/>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incorporation, organization or formation (or equivalent), as applicable, (B) the bylaws or governing documents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each certificate required to be delivered pursuant to </w:t>
      </w:r>
      <w:r>
        <w:rPr>
          <w:rFonts w:ascii="Times New Roman" w:cs="Times New Roman" w:eastAsia="Times New Roman" w:hAnsi="Times New Roman"/>
          <w:sz w:val="17"/>
          <w:szCs w:val="17"/>
          <w:u w:val="single" w:color="auto"/>
          <w:color w:val="auto"/>
        </w:rPr>
        <w:t>Section 6.1(b)(iii)</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firstLine="513"/>
        <w:spacing w:after="0" w:line="272" w:lineRule="auto"/>
        <w:tabs>
          <w:tab w:leader="none" w:pos="988" w:val="left"/>
        </w:tabs>
        <w:numPr>
          <w:ilvl w:val="1"/>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Certificates of Good Standing</w:t>
      </w:r>
      <w:r>
        <w:rPr>
          <w:rFonts w:ascii="Times New Roman" w:cs="Times New Roman" w:eastAsia="Times New Roman" w:hAnsi="Times New Roman"/>
          <w:sz w:val="17"/>
          <w:szCs w:val="17"/>
          <w:color w:val="auto"/>
        </w:rPr>
        <w:t>. Certificates as of a recent date of the good standing of each Credit Party under the laws of its jurisdiction of incorporation, organization or formation (or equivalent), as applicable.</w:t>
      </w:r>
    </w:p>
    <w:p>
      <w:pPr>
        <w:spacing w:after="0" w:line="114" w:lineRule="exact"/>
        <w:rPr>
          <w:rFonts w:ascii="Times New Roman" w:cs="Times New Roman" w:eastAsia="Times New Roman" w:hAnsi="Times New Roman"/>
          <w:sz w:val="17"/>
          <w:szCs w:val="17"/>
          <w:color w:val="auto"/>
        </w:rPr>
      </w:pPr>
    </w:p>
    <w:p>
      <w:pPr>
        <w:jc w:val="both"/>
        <w:ind w:firstLine="513"/>
        <w:spacing w:after="0" w:line="252" w:lineRule="auto"/>
        <w:tabs>
          <w:tab w:leader="none" w:pos="968" w:val="left"/>
        </w:tabs>
        <w:numPr>
          <w:ilvl w:val="1"/>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Opinions of Counsel</w:t>
      </w:r>
      <w:r>
        <w:rPr>
          <w:rFonts w:ascii="Times New Roman" w:cs="Times New Roman" w:eastAsia="Times New Roman" w:hAnsi="Times New Roman"/>
          <w:sz w:val="17"/>
          <w:szCs w:val="17"/>
          <w:color w:val="auto"/>
        </w:rPr>
        <w:t>. Opinions of counsel to each Credit Party, including opinions of special counsel and local counsel as may be reasonably requested by the Administrative Agent, addressed to the Administrative Agent and the Lenders with respect to such Credit Party, the Loan Documents and such other matters as the Administrative Agent shall request.</w:t>
      </w:r>
    </w:p>
    <w:p>
      <w:pPr>
        <w:spacing w:after="0" w:line="130" w:lineRule="exact"/>
        <w:rPr>
          <w:rFonts w:ascii="Times New Roman" w:cs="Times New Roman" w:eastAsia="Times New Roman" w:hAnsi="Times New Roman"/>
          <w:sz w:val="17"/>
          <w:szCs w:val="17"/>
          <w:color w:val="auto"/>
        </w:rPr>
      </w:pPr>
    </w:p>
    <w:p>
      <w:pPr>
        <w:ind w:left="360" w:hanging="351"/>
        <w:spacing w:after="0"/>
        <w:tabs>
          <w:tab w:leader="none" w:pos="360"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 Property Collateral.</w:t>
      </w:r>
    </w:p>
    <w:p>
      <w:pPr>
        <w:spacing w:after="0" w:line="172" w:lineRule="exact"/>
        <w:rPr>
          <w:rFonts w:ascii="Times New Roman" w:cs="Times New Roman" w:eastAsia="Times New Roman" w:hAnsi="Times New Roman"/>
          <w:sz w:val="17"/>
          <w:szCs w:val="17"/>
          <w:color w:val="auto"/>
        </w:rPr>
      </w:pPr>
    </w:p>
    <w:p>
      <w:pPr>
        <w:jc w:val="both"/>
        <w:ind w:firstLine="513"/>
        <w:spacing w:after="0" w:line="245" w:lineRule="auto"/>
        <w:tabs>
          <w:tab w:leader="none" w:pos="863"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Filings and Recordings</w:t>
      </w:r>
      <w:r>
        <w:rPr>
          <w:rFonts w:ascii="Times New Roman" w:cs="Times New Roman" w:eastAsia="Times New Roman" w:hAnsi="Times New Roman"/>
          <w:sz w:val="17"/>
          <w:szCs w:val="17"/>
          <w:color w:val="auto"/>
        </w:rPr>
        <w:t>. Subject to the limitations and qualifications in the Security Documents, the Administrative Agent shall have received all filings and recordations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37" w:lineRule="exact"/>
        <w:rPr>
          <w:rFonts w:ascii="Times New Roman" w:cs="Times New Roman" w:eastAsia="Times New Roman" w:hAnsi="Times New Roman"/>
          <w:sz w:val="17"/>
          <w:szCs w:val="17"/>
          <w:color w:val="auto"/>
        </w:rPr>
      </w:pPr>
    </w:p>
    <w:p>
      <w:pPr>
        <w:jc w:val="both"/>
        <w:ind w:firstLine="513"/>
        <w:spacing w:after="0" w:line="245" w:lineRule="auto"/>
        <w:tabs>
          <w:tab w:leader="none" w:pos="910"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Lien Search</w:t>
      </w:r>
      <w:r>
        <w:rPr>
          <w:rFonts w:ascii="Times New Roman" w:cs="Times New Roman" w:eastAsia="Times New Roman" w:hAnsi="Times New Roman"/>
          <w:sz w:val="17"/>
          <w:szCs w:val="17"/>
          <w:color w:val="auto"/>
        </w:rPr>
        <w:t>. The Administrative Agent shall have received the results of a Lien search (including a search as to judgments, bankruptcy and tax matters), in form and substance reasonably satisfactory thereto, made against each Credit Party under the Uniform Commercial Code (or applicable judicial docket) as in effect in each jurisdiction in which filings or recordations under the applicable Uniform Commercial Code should be made to evidence or perfect security interests in all assets of the Credit Parties, indicating among other things that the assets of the Credit Parties are free and clear of any Lien (except for Permitted Liens).</w:t>
      </w:r>
    </w:p>
    <w:p>
      <w:pPr>
        <w:spacing w:after="0" w:line="137" w:lineRule="exact"/>
        <w:rPr>
          <w:rFonts w:ascii="Times New Roman" w:cs="Times New Roman" w:eastAsia="Times New Roman" w:hAnsi="Times New Roman"/>
          <w:sz w:val="17"/>
          <w:szCs w:val="17"/>
          <w:color w:val="auto"/>
        </w:rPr>
      </w:pPr>
    </w:p>
    <w:p>
      <w:pPr>
        <w:jc w:val="both"/>
        <w:ind w:firstLine="513"/>
        <w:spacing w:after="0" w:line="252" w:lineRule="auto"/>
        <w:tabs>
          <w:tab w:leader="none" w:pos="925"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Property and Liability Insurance</w:t>
      </w:r>
      <w:r>
        <w:rPr>
          <w:rFonts w:ascii="Times New Roman" w:cs="Times New Roman" w:eastAsia="Times New Roman" w:hAnsi="Times New Roman"/>
          <w:sz w:val="17"/>
          <w:szCs w:val="17"/>
          <w:color w:val="auto"/>
        </w:rPr>
        <w:t>. The Administrative Agent shall have received, in each case in form and substance reasonably satisfactory to the Administrative Agent, evidence of property, business interruption and liability insurance covering each Credit Party, and if requested by the Administrative Agent, copies of such insurance policies.</w:t>
      </w:r>
    </w:p>
    <w:p>
      <w:pPr>
        <w:spacing w:after="0" w:line="130" w:lineRule="exact"/>
        <w:rPr>
          <w:rFonts w:ascii="Times New Roman" w:cs="Times New Roman" w:eastAsia="Times New Roman" w:hAnsi="Times New Roman"/>
          <w:sz w:val="17"/>
          <w:szCs w:val="17"/>
          <w:color w:val="auto"/>
        </w:rPr>
      </w:pPr>
    </w:p>
    <w:p>
      <w:pPr>
        <w:ind w:firstLine="513"/>
        <w:spacing w:after="0" w:line="272" w:lineRule="auto"/>
        <w:tabs>
          <w:tab w:leader="none" w:pos="916"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Collateral Documentation</w:t>
      </w:r>
      <w:r>
        <w:rPr>
          <w:rFonts w:ascii="Times New Roman" w:cs="Times New Roman" w:eastAsia="Times New Roman" w:hAnsi="Times New Roman"/>
          <w:sz w:val="17"/>
          <w:szCs w:val="17"/>
          <w:color w:val="auto"/>
        </w:rPr>
        <w:t>. The Administrative Agent shall have received any documents reasonably requested thereby or as required by the terms of the Security Documents to evidence its security interest in the Collateral.</w:t>
      </w:r>
    </w:p>
    <w:p>
      <w:pPr>
        <w:spacing w:after="0" w:line="114" w:lineRule="exact"/>
        <w:rPr>
          <w:rFonts w:ascii="Times New Roman" w:cs="Times New Roman" w:eastAsia="Times New Roman" w:hAnsi="Times New Roman"/>
          <w:sz w:val="17"/>
          <w:szCs w:val="17"/>
          <w:color w:val="auto"/>
        </w:rPr>
      </w:pPr>
    </w:p>
    <w:p>
      <w:pPr>
        <w:ind w:left="380" w:hanging="371"/>
        <w:spacing w:after="0"/>
        <w:tabs>
          <w:tab w:leader="none" w:pos="380"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 Defaults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780"/>
          </w:cols>
          <w:pgMar w:left="800" w:top="1181" w:right="319" w:bottom="1440" w:gutter="0" w:footer="0" w:header="0"/>
        </w:sectPr>
      </w:pPr>
    </w:p>
    <w:bookmarkStart w:id="481" w:name="page482"/>
    <w:bookmarkEnd w:id="481"/>
    <w:p>
      <w:pPr>
        <w:jc w:val="both"/>
        <w:ind w:firstLine="513"/>
        <w:spacing w:after="0" w:line="239" w:lineRule="auto"/>
        <w:tabs>
          <w:tab w:leader="none" w:pos="874"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Governmental and Third Party Approvals</w:t>
      </w:r>
      <w:r>
        <w:rPr>
          <w:rFonts w:ascii="Times New Roman" w:cs="Times New Roman" w:eastAsia="Times New Roman" w:hAnsi="Times New Roman"/>
          <w:sz w:val="17"/>
          <w:szCs w:val="17"/>
          <w:color w:val="auto"/>
        </w:rPr>
        <w:t>. Each Credit Party shall have received all material governmental, shareholder and third party consents and approvals necessary (or any other material consents as determined in the reasonable discretion of the Administrative Agent) in connection with the Transactions, which shall be in full force and effect.</w:t>
      </w:r>
    </w:p>
    <w:p>
      <w:pPr>
        <w:spacing w:after="0" w:line="130" w:lineRule="exact"/>
        <w:rPr>
          <w:rFonts w:ascii="Times New Roman" w:cs="Times New Roman" w:eastAsia="Times New Roman" w:hAnsi="Times New Roman"/>
          <w:sz w:val="17"/>
          <w:szCs w:val="17"/>
          <w:color w:val="auto"/>
        </w:rPr>
      </w:pPr>
    </w:p>
    <w:p>
      <w:pPr>
        <w:jc w:val="both"/>
        <w:ind w:firstLine="513"/>
        <w:spacing w:after="0" w:line="237" w:lineRule="auto"/>
        <w:tabs>
          <w:tab w:leader="none" w:pos="899"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Injunction, Etc.</w:t>
      </w:r>
      <w:r>
        <w:rPr>
          <w:rFonts w:ascii="Times New Roman" w:cs="Times New Roman" w:eastAsia="Times New Roman" w:hAnsi="Times New Roman"/>
          <w:sz w:val="17"/>
          <w:szCs w:val="17"/>
          <w:color w:val="auto"/>
        </w:rPr>
        <w:t xml:space="preserve"> No action, suit, proceeding or investigation shall be pending or, to the knowledge of the Borrower, threatened in any court or before any arbitrator or any Governmental Authority to enjoin, restrain, or prohibit, or to obtain substantial damages in respect of, or which is related to or arises out of this Agreement or the other Loan Documents or the consummation of the Transactions, or which, would reasonably be expected to have a Material Adverse Effect.</w:t>
      </w:r>
    </w:p>
    <w:p>
      <w:pPr>
        <w:spacing w:after="0" w:line="142" w:lineRule="exact"/>
        <w:rPr>
          <w:rFonts w:ascii="Times New Roman" w:cs="Times New Roman" w:eastAsia="Times New Roman" w:hAnsi="Times New Roman"/>
          <w:sz w:val="17"/>
          <w:szCs w:val="17"/>
          <w:color w:val="auto"/>
        </w:rPr>
      </w:pPr>
    </w:p>
    <w:p>
      <w:pPr>
        <w:ind w:left="360" w:hanging="351"/>
        <w:spacing w:after="0"/>
        <w:tabs>
          <w:tab w:leader="none" w:pos="36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Matters</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firstLine="513"/>
        <w:spacing w:after="0" w:line="237" w:lineRule="auto"/>
        <w:tabs>
          <w:tab w:leader="none" w:pos="979"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Administrative Agent shall have received (A) the audited Consolidated balance sheet of the Borrower and its Subsidiaries as of January 31, 2025 and the related audited statements of income and retained earnings and cash flows for the Fiscal Year then ended, and (B) the unaudited Consolidated balance sheet of the Borrower and its Subsidiaries as of July 31, 2025 and related unaudited interim statements of income and retained earnings and cash flows.</w:t>
      </w:r>
    </w:p>
    <w:p>
      <w:pPr>
        <w:spacing w:after="0" w:line="142" w:lineRule="exact"/>
        <w:rPr>
          <w:rFonts w:ascii="Times New Roman" w:cs="Times New Roman" w:eastAsia="Times New Roman" w:hAnsi="Times New Roman"/>
          <w:sz w:val="17"/>
          <w:szCs w:val="17"/>
          <w:color w:val="auto"/>
        </w:rPr>
      </w:pPr>
    </w:p>
    <w:p>
      <w:pPr>
        <w:jc w:val="both"/>
        <w:ind w:firstLine="513"/>
        <w:spacing w:after="0" w:line="237" w:lineRule="auto"/>
        <w:tabs>
          <w:tab w:leader="none" w:pos="952"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Projections</w:t>
      </w:r>
      <w:r>
        <w:rPr>
          <w:rFonts w:ascii="Times New Roman" w:cs="Times New Roman" w:eastAsia="Times New Roman" w:hAnsi="Times New Roman"/>
          <w:sz w:val="17"/>
          <w:szCs w:val="17"/>
          <w:color w:val="auto"/>
        </w:rPr>
        <w:t>. The Administrative Agent shall have received projections prepared by management of the Borrower of balance sheets, income statements and cash flow statements on a quarterly basis for the first year following the Closing Date and on an annual basis for each year thereafter during the term of the Credit Facility, which shall not be materially inconsistent with any financial information or projections previously delivered to the Administrative Agent.</w:t>
      </w:r>
    </w:p>
    <w:p>
      <w:pPr>
        <w:spacing w:after="0" w:line="131" w:lineRule="exact"/>
        <w:rPr>
          <w:rFonts w:ascii="Times New Roman" w:cs="Times New Roman" w:eastAsia="Times New Roman" w:hAnsi="Times New Roman"/>
          <w:sz w:val="17"/>
          <w:szCs w:val="17"/>
          <w:color w:val="auto"/>
        </w:rPr>
      </w:pPr>
    </w:p>
    <w:p>
      <w:pPr>
        <w:jc w:val="both"/>
        <w:ind w:firstLine="513"/>
        <w:spacing w:after="0" w:line="236" w:lineRule="auto"/>
        <w:tabs>
          <w:tab w:leader="none" w:pos="988"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Condition/Solvency Certificate</w:t>
      </w:r>
      <w:r>
        <w:rPr>
          <w:rFonts w:ascii="Times New Roman" w:cs="Times New Roman" w:eastAsia="Times New Roman" w:hAnsi="Times New Roman"/>
          <w:sz w:val="17"/>
          <w:szCs w:val="17"/>
          <w:color w:val="auto"/>
        </w:rPr>
        <w:t xml:space="preserve">. The Borrower shall have delivered to the Administrative Agent a certificate, in form and substance reasonably satisfactory to the Administrative Agent, and certified as accurate by the chief financial officer of the Borrower, that (A) after giving effect to the Transactions, the Borrower and each Subsidiary is Solvent, (B) attached thereto are calculations evidencing compliance on a Pro Forma Basis after giving effect to the Transactions with the covenants contained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and (C) the financial projections previously delivered to the Administrative Agent represent the good faith estimates (utilizing reasonable assumptions) of the financial condition and operations of the Borrower and its Subsidiaries.</w:t>
      </w:r>
    </w:p>
    <w:p>
      <w:pPr>
        <w:spacing w:after="0" w:line="132" w:lineRule="exact"/>
        <w:rPr>
          <w:rFonts w:ascii="Times New Roman" w:cs="Times New Roman" w:eastAsia="Times New Roman" w:hAnsi="Times New Roman"/>
          <w:sz w:val="17"/>
          <w:szCs w:val="17"/>
          <w:color w:val="auto"/>
        </w:rPr>
      </w:pPr>
    </w:p>
    <w:p>
      <w:pPr>
        <w:jc w:val="both"/>
        <w:ind w:firstLine="513"/>
        <w:spacing w:after="0" w:line="236" w:lineRule="auto"/>
        <w:tabs>
          <w:tab w:leader="none" w:pos="1000"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at Closing</w:t>
      </w:r>
      <w:r>
        <w:rPr>
          <w:rFonts w:ascii="Times New Roman" w:cs="Times New Roman" w:eastAsia="Times New Roman" w:hAnsi="Times New Roman"/>
          <w:sz w:val="17"/>
          <w:szCs w:val="17"/>
          <w:color w:val="auto"/>
        </w:rPr>
        <w:t xml:space="preserve">. The Borrower shall have paid or made arrangements to pay contemporaneously with closing (A) to the Administrative Agent, the Arranger and the Lenders the fees set forth or referenced in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and any other accrued and unpaid fees or commissions due hereunder and</w:t>
      </w:r>
    </w:p>
    <w:p>
      <w:pPr>
        <w:spacing w:after="0" w:line="1" w:lineRule="exact"/>
        <w:rPr>
          <w:rFonts w:ascii="Times New Roman" w:cs="Times New Roman" w:eastAsia="Times New Roman" w:hAnsi="Times New Roman"/>
          <w:sz w:val="17"/>
          <w:szCs w:val="17"/>
          <w:color w:val="auto"/>
        </w:rPr>
      </w:pPr>
    </w:p>
    <w:p>
      <w:pPr>
        <w:jc w:val="both"/>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all reasonable and documented expenses,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780"/>
          </w:cols>
          <w:pgMar w:left="800" w:top="1181" w:right="319" w:bottom="1440" w:gutter="0" w:footer="0" w:header="0"/>
        </w:sectPr>
      </w:pPr>
    </w:p>
    <w:bookmarkStart w:id="482" w:name="page483"/>
    <w:bookmarkEnd w:id="482"/>
    <w:p>
      <w:pPr>
        <w:ind w:left="500"/>
        <w:spacing w:after="0" w:line="236" w:lineRule="auto"/>
        <w:rPr>
          <w:sz w:val="20"/>
          <w:szCs w:val="20"/>
          <w:color w:val="auto"/>
        </w:rPr>
      </w:pPr>
      <w:r>
        <w:rPr>
          <w:rFonts w:ascii="Times New Roman" w:cs="Times New Roman" w:eastAsia="Times New Roman" w:hAnsi="Times New Roman"/>
          <w:sz w:val="17"/>
          <w:szCs w:val="17"/>
          <w:color w:val="auto"/>
        </w:rPr>
        <w:t>to be incurred by it through the closing proceedings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estimate shall not thereafter preclude a final settling of accounts between the Borrower and the Administrative Agent).</w:t>
      </w:r>
    </w:p>
    <w:p>
      <w:pPr>
        <w:spacing w:after="0" w:line="131" w:lineRule="exact"/>
        <w:rPr>
          <w:sz w:val="20"/>
          <w:szCs w:val="20"/>
          <w:color w:val="auto"/>
        </w:rPr>
      </w:pPr>
    </w:p>
    <w:p>
      <w:pPr>
        <w:ind w:left="840" w:hanging="331"/>
        <w:spacing w:after="0"/>
        <w:tabs>
          <w:tab w:leader="none" w:pos="840"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left="500" w:firstLine="513"/>
        <w:spacing w:after="0" w:line="246" w:lineRule="auto"/>
        <w:tabs>
          <w:tab w:leader="none" w:pos="1332"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Account Designation</w:t>
      </w:r>
      <w:r>
        <w:rPr>
          <w:rFonts w:ascii="Times New Roman" w:cs="Times New Roman" w:eastAsia="Times New Roman" w:hAnsi="Times New Roman"/>
          <w:sz w:val="17"/>
          <w:szCs w:val="17"/>
          <w:color w:val="auto"/>
        </w:rPr>
        <w:t>. The Administrative Agent shall have received a Notice of Account Designation specifying the account or accounts to which the proceeds of any Loans made on or after the Closing Date are to be disbursed.</w:t>
      </w:r>
    </w:p>
    <w:p>
      <w:pPr>
        <w:spacing w:after="0" w:line="124" w:lineRule="exact"/>
        <w:rPr>
          <w:rFonts w:ascii="Times New Roman" w:cs="Times New Roman" w:eastAsia="Times New Roman" w:hAnsi="Times New Roman"/>
          <w:sz w:val="17"/>
          <w:szCs w:val="17"/>
          <w:color w:val="auto"/>
        </w:rPr>
      </w:pPr>
    </w:p>
    <w:p>
      <w:pPr>
        <w:jc w:val="both"/>
        <w:ind w:left="500" w:firstLine="513"/>
        <w:spacing w:after="0" w:line="231" w:lineRule="auto"/>
        <w:tabs>
          <w:tab w:leader="none" w:pos="1399"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Diligence</w:t>
      </w:r>
      <w:r>
        <w:rPr>
          <w:rFonts w:ascii="Times New Roman" w:cs="Times New Roman" w:eastAsia="Times New Roman" w:hAnsi="Times New Roman"/>
          <w:sz w:val="17"/>
          <w:szCs w:val="17"/>
          <w:color w:val="auto"/>
        </w:rPr>
        <w:t>. The Administrative Agent shall have completed, to its satisfaction, all legal, tax, business and other due diligence with respect to the business, assets, liabilities, operations and condition (financial or otherwise) of the Borrower and its Subsidiaries in scope and determination satisfactory to the Administrative Agent in its sole discretion.</w:t>
      </w:r>
    </w:p>
    <w:p>
      <w:pPr>
        <w:spacing w:after="0" w:line="129" w:lineRule="exact"/>
        <w:rPr>
          <w:rFonts w:ascii="Times New Roman" w:cs="Times New Roman" w:eastAsia="Times New Roman" w:hAnsi="Times New Roman"/>
          <w:sz w:val="17"/>
          <w:szCs w:val="17"/>
          <w:color w:val="auto"/>
        </w:rPr>
      </w:pPr>
    </w:p>
    <w:p>
      <w:pPr>
        <w:jc w:val="both"/>
        <w:ind w:left="500" w:firstLine="513"/>
        <w:spacing w:after="0" w:line="255" w:lineRule="auto"/>
        <w:tabs>
          <w:tab w:leader="none" w:pos="1436" w:val="left"/>
        </w:tabs>
        <w:numPr>
          <w:ilvl w:val="1"/>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Existing Indebtedness</w:t>
      </w:r>
      <w:r>
        <w:rPr>
          <w:rFonts w:ascii="Times New Roman" w:cs="Times New Roman" w:eastAsia="Times New Roman" w:hAnsi="Times New Roman"/>
          <w:sz w:val="16"/>
          <w:szCs w:val="16"/>
          <w:color w:val="auto"/>
        </w:rPr>
        <w:t xml:space="preserve">. All existing Indebtedness of the Borrower and its Subsidiaries (excluding Indebtedness permitted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shall be repaid in full, all commitments (if any) in respect thereof shall have been terminated and all guarantees therefor and security therefor shall be released, and the Administrative Agent shall have received pay-off letters in form and substance satisfactory to it evidencing such repayment, termination and release.</w:t>
      </w:r>
    </w:p>
    <w:p>
      <w:pPr>
        <w:spacing w:after="0" w:line="107" w:lineRule="exact"/>
        <w:rPr>
          <w:rFonts w:ascii="Times New Roman" w:cs="Times New Roman" w:eastAsia="Times New Roman" w:hAnsi="Times New Roman"/>
          <w:sz w:val="16"/>
          <w:szCs w:val="16"/>
          <w:color w:val="auto"/>
        </w:rPr>
      </w:pPr>
    </w:p>
    <w:p>
      <w:pPr>
        <w:ind w:left="1420" w:hanging="407"/>
        <w:spacing w:after="0"/>
        <w:tabs>
          <w:tab w:leader="none" w:pos="1420"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PATRIOT Act, etc</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left="1020" w:firstLine="498"/>
        <w:spacing w:after="0" w:line="231" w:lineRule="auto"/>
        <w:tabs>
          <w:tab w:leader="none" w:pos="1927" w:val="left"/>
        </w:tabs>
        <w:numPr>
          <w:ilvl w:val="2"/>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and the Lenders shall have received, at least five (5) Business Days prior to the Closing Date, all documentation and other information requested by the Administrative Agent or any Lender or required by regulatory authorities in order for the Administrative Agent and the Lenders to comply with requirements of any Anti-Money Laundering Laws, including the PATRIOT Act and any applicable “know your customer” rules and regulations.</w:t>
      </w:r>
    </w:p>
    <w:p>
      <w:pPr>
        <w:spacing w:after="0" w:line="119" w:lineRule="exact"/>
        <w:rPr>
          <w:rFonts w:ascii="Times New Roman" w:cs="Times New Roman" w:eastAsia="Times New Roman" w:hAnsi="Times New Roman"/>
          <w:sz w:val="17"/>
          <w:szCs w:val="17"/>
          <w:color w:val="auto"/>
        </w:rPr>
      </w:pPr>
    </w:p>
    <w:p>
      <w:pPr>
        <w:ind w:left="1020" w:firstLine="498"/>
        <w:spacing w:after="0" w:line="246" w:lineRule="auto"/>
        <w:tabs>
          <w:tab w:leader="none" w:pos="1949" w:val="left"/>
        </w:tabs>
        <w:numPr>
          <w:ilvl w:val="2"/>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have delivered to the Administrative Agent, and directly to any Lender requesting the same, a Beneficial Ownership Certification in relation to it, in each case at least five (5) Business Days prior to the Closing Date.</w:t>
      </w:r>
    </w:p>
    <w:p>
      <w:pPr>
        <w:spacing w:after="0" w:line="124" w:lineRule="exact"/>
        <w:rPr>
          <w:rFonts w:ascii="Times New Roman" w:cs="Times New Roman" w:eastAsia="Times New Roman" w:hAnsi="Times New Roman"/>
          <w:sz w:val="17"/>
          <w:szCs w:val="17"/>
          <w:color w:val="auto"/>
        </w:rPr>
      </w:pPr>
    </w:p>
    <w:p>
      <w:pPr>
        <w:jc w:val="both"/>
        <w:ind w:left="500" w:firstLine="513"/>
        <w:spacing w:after="0" w:line="235" w:lineRule="auto"/>
        <w:tabs>
          <w:tab w:leader="none" w:pos="1422"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Documents</w:t>
      </w:r>
      <w:r>
        <w:rPr>
          <w:rFonts w:ascii="Times New Roman" w:cs="Times New Roman" w:eastAsia="Times New Roman" w:hAnsi="Times New Roman"/>
          <w:sz w:val="17"/>
          <w:szCs w:val="17"/>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20" w:lineRule="exact"/>
        <w:rPr>
          <w:sz w:val="20"/>
          <w:szCs w:val="20"/>
          <w:color w:val="auto"/>
        </w:rPr>
      </w:pPr>
    </w:p>
    <w:p>
      <w:pPr>
        <w:jc w:val="both"/>
        <w:ind w:firstLine="505"/>
        <w:spacing w:after="0" w:line="235" w:lineRule="auto"/>
        <w:rPr>
          <w:sz w:val="20"/>
          <w:szCs w:val="20"/>
          <w:color w:val="auto"/>
        </w:rPr>
      </w:pPr>
      <w:r>
        <w:rPr>
          <w:rFonts w:ascii="Times New Roman" w:cs="Times New Roman" w:eastAsia="Times New Roman" w:hAnsi="Times New Roman"/>
          <w:sz w:val="17"/>
          <w:szCs w:val="17"/>
          <w:color w:val="auto"/>
        </w:rPr>
        <w:t xml:space="preserve">Without limiting the generality of the provisions of </w:t>
      </w:r>
      <w:r>
        <w:rPr>
          <w:rFonts w:ascii="Times New Roman" w:cs="Times New Roman" w:eastAsia="Times New Roman" w:hAnsi="Times New Roman"/>
          <w:sz w:val="17"/>
          <w:szCs w:val="17"/>
          <w:u w:val="single" w:color="auto"/>
          <w:color w:val="auto"/>
        </w:rPr>
        <w:t>Section 11.3(c)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for purposes of determining compliance with the conditions specified in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280"/>
          </w:cols>
          <w:pgMar w:left="300" w:top="1170" w:right="31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7"/>
          <w:szCs w:val="17"/>
          <w:color w:val="auto"/>
        </w:rPr>
        <w:t>Administrative Agent shall have received notice from such Lender prior to the proposed Closing Date specifying its objection thereto.</w:t>
      </w:r>
    </w:p>
    <w:p>
      <w:pPr>
        <w:spacing w:after="0" w:line="162"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Conditions to All Extensions of Credit</w:t>
      </w:r>
      <w:r>
        <w:rPr>
          <w:rFonts w:ascii="Times New Roman" w:cs="Times New Roman" w:eastAsia="Times New Roman" w:hAnsi="Times New Roman"/>
          <w:sz w:val="17"/>
          <w:szCs w:val="17"/>
          <w:color w:val="auto"/>
        </w:rPr>
        <w:t>. The obligations of the Lenders to make or participate in any Extensions of Credit (including the initial Extension of Credit) and/or any Issuing Lender to issue or extend any Letter of Credit are subject to the satisfaction of the following conditions precedent on the relevant borrowing, issuance or extension date:</w:t>
      </w:r>
    </w:p>
    <w:p>
      <w:pPr>
        <w:spacing w:after="0" w:line="131" w:lineRule="exact"/>
        <w:rPr>
          <w:sz w:val="20"/>
          <w:szCs w:val="20"/>
          <w:color w:val="auto"/>
        </w:rPr>
      </w:pPr>
    </w:p>
    <w:p>
      <w:pPr>
        <w:jc w:val="both"/>
        <w:ind w:firstLine="509"/>
        <w:spacing w:after="0" w:line="242" w:lineRule="auto"/>
        <w:tabs>
          <w:tab w:leader="none" w:pos="881"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Continuation of Representations and Warranties</w:t>
      </w:r>
      <w:r>
        <w:rPr>
          <w:rFonts w:ascii="Times New Roman" w:cs="Times New Roman" w:eastAsia="Times New Roman" w:hAnsi="Times New Roman"/>
          <w:sz w:val="17"/>
          <w:szCs w:val="17"/>
          <w:color w:val="auto"/>
        </w:rPr>
        <w:t>.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spacing w:after="0" w:line="152" w:lineRule="exact"/>
        <w:rPr>
          <w:rFonts w:ascii="Times New Roman" w:cs="Times New Roman" w:eastAsia="Times New Roman" w:hAnsi="Times New Roman"/>
          <w:sz w:val="17"/>
          <w:szCs w:val="17"/>
          <w:color w:val="auto"/>
        </w:rPr>
      </w:pPr>
    </w:p>
    <w:p>
      <w:pPr>
        <w:jc w:val="both"/>
        <w:ind w:firstLine="509"/>
        <w:spacing w:after="0" w:line="246" w:lineRule="auto"/>
        <w:tabs>
          <w:tab w:leader="none" w:pos="901"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Existing Default</w:t>
      </w:r>
      <w:r>
        <w:rPr>
          <w:rFonts w:ascii="Times New Roman" w:cs="Times New Roman" w:eastAsia="Times New Roman" w:hAnsi="Times New Roman"/>
          <w:sz w:val="17"/>
          <w:szCs w:val="17"/>
          <w:color w:val="auto"/>
        </w:rPr>
        <w:t>. No Default or Event of Default shall have occurred and be continuing (i) on the borrowing date with respect to such Loan or after giving effect to the Loans to be made on such date or (ii) on the issuance or extension date with respect to such Letter of Credit or after giving effect to the issuance or extension of such Letter of Credit on such date.</w:t>
      </w:r>
    </w:p>
    <w:p>
      <w:pPr>
        <w:spacing w:after="0" w:line="145" w:lineRule="exact"/>
        <w:rPr>
          <w:rFonts w:ascii="Times New Roman" w:cs="Times New Roman" w:eastAsia="Times New Roman" w:hAnsi="Times New Roman"/>
          <w:sz w:val="17"/>
          <w:szCs w:val="17"/>
          <w:color w:val="auto"/>
        </w:rPr>
      </w:pPr>
    </w:p>
    <w:p>
      <w:pPr>
        <w:ind w:firstLine="509"/>
        <w:spacing w:after="0" w:line="259" w:lineRule="auto"/>
        <w:tabs>
          <w:tab w:leader="none" w:pos="944"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The Administrative Agent shall have received a Notice of Borrowing or Letter of Credit Application, as applicable, from the Borrower in accordance with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as applicable.</w:t>
      </w:r>
    </w:p>
    <w:p>
      <w:pPr>
        <w:spacing w:after="0" w:line="135" w:lineRule="exact"/>
        <w:rPr>
          <w:rFonts w:ascii="Times New Roman" w:cs="Times New Roman" w:eastAsia="Times New Roman" w:hAnsi="Times New Roman"/>
          <w:sz w:val="17"/>
          <w:szCs w:val="17"/>
          <w:color w:val="auto"/>
        </w:rPr>
      </w:pPr>
    </w:p>
    <w:p>
      <w:pPr>
        <w:jc w:val="both"/>
        <w:ind w:firstLine="509"/>
        <w:spacing w:after="0" w:line="246" w:lineRule="auto"/>
        <w:tabs>
          <w:tab w:leader="none" w:pos="964"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Swingline Loans/Letters of Credit</w:t>
      </w:r>
      <w:r>
        <w:rPr>
          <w:rFonts w:ascii="Times New Roman" w:cs="Times New Roman" w:eastAsia="Times New Roman" w:hAnsi="Times New Roman"/>
          <w:sz w:val="17"/>
          <w:szCs w:val="17"/>
          <w:color w:val="auto"/>
        </w:rPr>
        <w:t>. So long as any Lender is a Defaulting Lender, (i) the Swingline Lender shall not be required to fund any Swingline Loans unless it is satisfied that it will have no Fronting Exposure after giving effect to such Swingline Loan and (ii) the Issuing Lenders shall not be required to issue, extend, renew or increase any Letter of Credit unless it is satisfied that it will have no Fronting Exposure after giving effect thereto.</w:t>
      </w:r>
    </w:p>
    <w:p>
      <w:pPr>
        <w:spacing w:after="0" w:line="145"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 xml:space="preserve">Each Notice of Borrowing or Letter of Credit Application, as applicable, submitted by the Borrower shall be deemed to be a representation and warranty that the conditions specified in </w:t>
      </w:r>
      <w:r>
        <w:rPr>
          <w:rFonts w:ascii="Times New Roman" w:cs="Times New Roman" w:eastAsia="Times New Roman" w:hAnsi="Times New Roman"/>
          <w:sz w:val="17"/>
          <w:szCs w:val="17"/>
          <w:u w:val="single" w:color="auto"/>
          <w:color w:val="auto"/>
        </w:rPr>
        <w:t>Sections 6.2(a)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have been satisfied on and as of the date of the applicable Extension of Credit.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REPRESENTATIONS AND WARRANTIES OF THE CREDIT PARTIES</w:t>
      </w:r>
    </w:p>
    <w:p>
      <w:pPr>
        <w:spacing w:after="0" w:line="162"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 xml:space="preserve">To induce the Administrative Agent and Lenders to enter into this Agreement and to induce the Lenders to make Extensions of Credit, the Credit Parties hereby represent and warrant to the Administrative Agent and the Lenders both before and after giving effect to the transactions contemplated hereunder, which representations and warranties shall be deemed made on the Closing Date and as otherwise set forth in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280"/>
          </w:cols>
          <w:pgMar w:left="300" w:top="1180" w:right="319" w:bottom="1440" w:gutter="0" w:footer="0" w:header="0"/>
        </w:sectPr>
      </w:pPr>
    </w:p>
    <w:bookmarkStart w:id="484" w:name="page485"/>
    <w:bookmarkEnd w:id="484"/>
    <w:p>
      <w:pPr>
        <w:jc w:val="both"/>
        <w:ind w:firstLine="505"/>
        <w:spacing w:after="0" w:line="231"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Organization; Power; Qualification</w:t>
      </w:r>
      <w:r>
        <w:rPr>
          <w:rFonts w:ascii="Times New Roman" w:cs="Times New Roman" w:eastAsia="Times New Roman" w:hAnsi="Times New Roman"/>
          <w:sz w:val="17"/>
          <w:szCs w:val="17"/>
          <w:color w:val="auto"/>
        </w:rPr>
        <w:t xml:space="preserve">. Each Credit Party and each of its Subsidiaries (a) is duly organized, validly existing and in good standing (to the extent the concept is applicable in such jurisdiction) under the laws of the jurisdiction of its incorporation or formation, (b) has the power and authority to own its Properties and to carry on its business as now being and hereafter proposed to be conducted, except where the failure to do so could not, individually or in the aggregate, reasonably be expected to result in a Material Adverse Effect, and (c) is duly qualified and authorized to do business in each jurisdiction in which the character of its Properties or the nature of its business requires such qualification and authorization. The jurisdictions in which each Credit Party and each of its Subsidiaries are organized and qualified to do business as of the Closing Date are described on </w:t>
      </w:r>
      <w:r>
        <w:rPr>
          <w:rFonts w:ascii="Times New Roman" w:cs="Times New Roman" w:eastAsia="Times New Roman" w:hAnsi="Times New Roman"/>
          <w:sz w:val="17"/>
          <w:szCs w:val="17"/>
          <w:u w:val="single" w:color="auto"/>
          <w:color w:val="auto"/>
        </w:rPr>
        <w:t>Schedule 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7.1</w:t>
      </w:r>
      <w:r>
        <w:rPr>
          <w:rFonts w:ascii="Times New Roman" w:cs="Times New Roman" w:eastAsia="Times New Roman" w:hAnsi="Times New Roman"/>
          <w:sz w:val="17"/>
          <w:szCs w:val="17"/>
          <w:color w:val="auto"/>
        </w:rPr>
        <w:t xml:space="preserve"> identifies each Guarantor as of the Closing Date. No Credit Party nor any Subsidiary thereof is an Affected Financial Institution or a Covered Party.</w:t>
      </w:r>
    </w:p>
    <w:p>
      <w:pPr>
        <w:spacing w:after="0" w:line="144"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Ownership</w:t>
      </w:r>
      <w:r>
        <w:rPr>
          <w:rFonts w:ascii="Times New Roman" w:cs="Times New Roman" w:eastAsia="Times New Roman" w:hAnsi="Times New Roman"/>
          <w:sz w:val="17"/>
          <w:szCs w:val="17"/>
          <w:color w:val="auto"/>
        </w:rPr>
        <w:t xml:space="preserve">. Each Subsidiary of each Credit Party as of the Closing Date is listed on </w:t>
      </w:r>
      <w:r>
        <w:rPr>
          <w:rFonts w:ascii="Times New Roman" w:cs="Times New Roman" w:eastAsia="Times New Roman" w:hAnsi="Times New Roman"/>
          <w:sz w:val="17"/>
          <w:szCs w:val="17"/>
          <w:u w:val="single" w:color="auto"/>
          <w:color w:val="auto"/>
        </w:rPr>
        <w:t>Schedule 7.2</w:t>
      </w:r>
      <w:r>
        <w:rPr>
          <w:rFonts w:ascii="Times New Roman" w:cs="Times New Roman" w:eastAsia="Times New Roman" w:hAnsi="Times New Roman"/>
          <w:sz w:val="17"/>
          <w:szCs w:val="17"/>
          <w:color w:val="auto"/>
        </w:rPr>
        <w:t xml:space="preserve">. As of the Closing Date, the capitalization of each Credit Party and its Subsidiaries consists of the number of shares, authorized, issued and outstanding, of such classes and series, with or without par value, described on </w:t>
      </w:r>
      <w:r>
        <w:rPr>
          <w:rFonts w:ascii="Times New Roman" w:cs="Times New Roman" w:eastAsia="Times New Roman" w:hAnsi="Times New Roman"/>
          <w:sz w:val="17"/>
          <w:szCs w:val="17"/>
          <w:u w:val="single" w:color="auto"/>
          <w:color w:val="auto"/>
        </w:rPr>
        <w:t>Schedule 7.2</w:t>
      </w:r>
      <w:r>
        <w:rPr>
          <w:rFonts w:ascii="Times New Roman" w:cs="Times New Roman" w:eastAsia="Times New Roman" w:hAnsi="Times New Roman"/>
          <w:sz w:val="17"/>
          <w:szCs w:val="17"/>
          <w:color w:val="auto"/>
        </w:rPr>
        <w:t xml:space="preserve">. All outstanding shares have been duly authorized and validly issued and are fully paid and nonassessable and, other than with respect to the Borrower, not subject to any preemptive or similar rights, except as described in </w:t>
      </w:r>
      <w:r>
        <w:rPr>
          <w:rFonts w:ascii="Times New Roman" w:cs="Times New Roman" w:eastAsia="Times New Roman" w:hAnsi="Times New Roman"/>
          <w:sz w:val="17"/>
          <w:szCs w:val="17"/>
          <w:u w:val="single" w:color="auto"/>
          <w:color w:val="auto"/>
        </w:rPr>
        <w:t>Schedule 7.2</w:t>
      </w:r>
      <w:r>
        <w:rPr>
          <w:rFonts w:ascii="Times New Roman" w:cs="Times New Roman" w:eastAsia="Times New Roman" w:hAnsi="Times New Roman"/>
          <w:sz w:val="17"/>
          <w:szCs w:val="17"/>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(other than the Borrower) or any Subsidiary thereof, except as described on </w:t>
      </w:r>
      <w:r>
        <w:rPr>
          <w:rFonts w:ascii="Times New Roman" w:cs="Times New Roman" w:eastAsia="Times New Roman" w:hAnsi="Times New Roman"/>
          <w:sz w:val="17"/>
          <w:szCs w:val="17"/>
          <w:u w:val="single" w:color="auto"/>
          <w:color w:val="auto"/>
        </w:rPr>
        <w:t>Schedule 7.2</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Authorization; Enforceability</w:t>
      </w:r>
      <w:r>
        <w:rPr>
          <w:rFonts w:ascii="Times New Roman" w:cs="Times New Roman" w:eastAsia="Times New Roman" w:hAnsi="Times New Roman"/>
          <w:sz w:val="17"/>
          <w:szCs w:val="17"/>
          <w:color w:val="auto"/>
        </w:rPr>
        <w:t>. Each Credit Party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of each Credit Party that is a party thereto,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44"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Compliance of Agreement, Loan Documents and Borrowing with Laws, Etc</w:t>
      </w:r>
      <w:r>
        <w:rPr>
          <w:rFonts w:ascii="Times New Roman" w:cs="Times New Roman" w:eastAsia="Times New Roman" w:hAnsi="Times New Roman"/>
          <w:sz w:val="17"/>
          <w:szCs w:val="17"/>
          <w:color w:val="auto"/>
        </w:rPr>
        <w:t>. The execution, delivery and performance by each Credit Party of the Loan Documents to which each such Person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Subsidiary thereof, (b) conflict with, result in a breach of or constitute a default under the Organizational Documents of any Credit Party or Subsidiary thereof, (c) conflict with, result in a breach of or constitute a default under any indenture, agreement or other instrument to which such Person is a party or by which any of its properties may be bound or any Governmental Approval relating to such Person, (d) result in or require the creation or imposition of any Lien upon or with respect to any property now owned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280"/>
          </w:cols>
          <w:pgMar w:left="300" w:top="1181" w:right="319" w:bottom="1440" w:gutter="0" w:footer="0" w:header="0"/>
        </w:sectPr>
      </w:pPr>
    </w:p>
    <w:bookmarkStart w:id="485" w:name="page486"/>
    <w:bookmarkEnd w:id="485"/>
    <w:p>
      <w:pPr>
        <w:jc w:val="both"/>
        <w:spacing w:after="0" w:line="234" w:lineRule="auto"/>
        <w:rPr>
          <w:sz w:val="20"/>
          <w:szCs w:val="20"/>
          <w:color w:val="auto"/>
        </w:rPr>
      </w:pPr>
      <w:r>
        <w:rPr>
          <w:rFonts w:ascii="Times New Roman" w:cs="Times New Roman" w:eastAsia="Times New Roman" w:hAnsi="Times New Roman"/>
          <w:sz w:val="17"/>
          <w:szCs w:val="17"/>
          <w:color w:val="auto"/>
        </w:rPr>
        <w:t>hereafter acquired by such Person other than Permitted Liens or (e) require any consent or authorization of, filing with, or other act in respect of, an arbitrator or Governmental Authority and no consent of any other Person is required in connection with the execution, delivery, performance, validity or enforceability of this Agreement other than (i) consents, authorizations, filings or other acts or consents for which the failure to obtain or make could not, individually or in the aggregate, reasonably be expected to have a Material Adverse Effect and (ii) consents or filings under the UCC.</w:t>
      </w:r>
    </w:p>
    <w:p>
      <w:pPr>
        <w:spacing w:after="0" w:line="142"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 xml:space="preserve">Section 7.5 </w:t>
      </w:r>
      <w:r>
        <w:rPr>
          <w:rFonts w:ascii="Times New Roman" w:cs="Times New Roman" w:eastAsia="Times New Roman" w:hAnsi="Times New Roman"/>
          <w:sz w:val="17"/>
          <w:szCs w:val="17"/>
          <w:u w:val="single" w:color="auto"/>
          <w:color w:val="auto"/>
        </w:rPr>
        <w:t>Compliance with Law; Governmental Approvals</w:t>
      </w:r>
      <w:r>
        <w:rPr>
          <w:rFonts w:ascii="Times New Roman" w:cs="Times New Roman" w:eastAsia="Times New Roman" w:hAnsi="Times New Roman"/>
          <w:sz w:val="17"/>
          <w:szCs w:val="17"/>
          <w:color w:val="auto"/>
        </w:rPr>
        <w:t xml:space="preserve">. 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attack by direct or collateral proceeding, (b) is in compliance with each Governmental Approval applicable to it and in compliance with all other Applicable Laws relating to it or any of its respective properties and (c) has timely filed all reports, documents and other materials required to be filed by it under all Applicable Laws with any Governmental Authority and has retained all records and documents required to be retained by it under Applicable Law, except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where the failure to have or comply could not, individually or in the aggregate, reasonably be expected to have a Material Adverse Effect.</w:t>
      </w:r>
    </w:p>
    <w:p>
      <w:pPr>
        <w:spacing w:after="0" w:line="133" w:lineRule="exact"/>
        <w:rPr>
          <w:sz w:val="20"/>
          <w:szCs w:val="20"/>
          <w:color w:val="auto"/>
        </w:rPr>
      </w:pPr>
    </w:p>
    <w:p>
      <w:pPr>
        <w:jc w:val="both"/>
        <w:ind w:firstLine="505"/>
        <w:spacing w:after="0" w:line="230" w:lineRule="auto"/>
        <w:rPr>
          <w:sz w:val="20"/>
          <w:szCs w:val="20"/>
          <w:color w:val="auto"/>
        </w:rPr>
      </w:pPr>
      <w:r>
        <w:rPr>
          <w:rFonts w:ascii="Times New Roman" w:cs="Times New Roman" w:eastAsia="Times New Roman" w:hAnsi="Times New Roman"/>
          <w:sz w:val="17"/>
          <w:szCs w:val="17"/>
          <w:color w:val="auto"/>
        </w:rPr>
        <w:t xml:space="preserve">Section 7.6 </w:t>
      </w:r>
      <w:r>
        <w:rPr>
          <w:rFonts w:ascii="Times New Roman" w:cs="Times New Roman" w:eastAsia="Times New Roman" w:hAnsi="Times New Roman"/>
          <w:sz w:val="17"/>
          <w:szCs w:val="17"/>
          <w:u w:val="single" w:color="auto"/>
          <w:color w:val="auto"/>
        </w:rPr>
        <w:t>Tax Returns and Payments</w:t>
      </w:r>
      <w:r>
        <w:rPr>
          <w:rFonts w:ascii="Times New Roman" w:cs="Times New Roman" w:eastAsia="Times New Roman" w:hAnsi="Times New Roman"/>
          <w:sz w:val="17"/>
          <w:szCs w:val="17"/>
          <w:color w:val="auto"/>
        </w:rPr>
        <w:t xml:space="preserve">. Each Credit Party and each Subsidiary thereof has duly filed or caused to be filed all federal, state, and material local and other material tax returns required by Applicable Law to be filed, and has paid, or made adequate provision for the payment of, all federal, state, material local and other material taxes, assessments and governmental charges or levies upon it and its property, income, profits and assets which are due and payable (other than any amount the validity of which is currently being contested in good faith by appropriate proceedings and with respect to which reserves in conformity with GAAP have been provided for on the books of the Borrower). Such returns accurately reflect in all material respects all liability for taxes of any Credit Party or any Subsidiary thereof for the periods covered thereby. As of the Closing Date, except as set forth on </w:t>
      </w:r>
      <w:r>
        <w:rPr>
          <w:rFonts w:ascii="Times New Roman" w:cs="Times New Roman" w:eastAsia="Times New Roman" w:hAnsi="Times New Roman"/>
          <w:sz w:val="17"/>
          <w:szCs w:val="17"/>
          <w:u w:val="single" w:color="auto"/>
          <w:color w:val="auto"/>
        </w:rPr>
        <w:t>Schedule 7.6</w:t>
      </w:r>
      <w:r>
        <w:rPr>
          <w:rFonts w:ascii="Times New Roman" w:cs="Times New Roman" w:eastAsia="Times New Roman" w:hAnsi="Times New Roman"/>
          <w:sz w:val="17"/>
          <w:szCs w:val="17"/>
          <w:color w:val="auto"/>
        </w:rPr>
        <w:t>, there is no ongoing audit or examination or, to the knowledge of any Credit Party or any Subsidiary thereof,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Borrower and (b) Permitted Liens). The charges, accruals and reserves on the books of each Credit Party and each Subsidiary thereof in respect of federal, state, local and other taxes for all Fiscal Years and portions thereof since the organization of any Credit Party or any Subsidiary thereof are in the judgment of the Borrower adequate, and the Borrower does not anticipate any additional taxes or assessments for any of such years.</w:t>
      </w:r>
    </w:p>
    <w:p>
      <w:pPr>
        <w:spacing w:after="0" w:line="140"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Section 7.7 </w:t>
      </w:r>
      <w:r>
        <w:rPr>
          <w:rFonts w:ascii="Times New Roman" w:cs="Times New Roman" w:eastAsia="Times New Roman" w:hAnsi="Times New Roman"/>
          <w:sz w:val="17"/>
          <w:szCs w:val="17"/>
          <w:u w:val="single" w:color="auto"/>
          <w:color w:val="auto"/>
        </w:rPr>
        <w:t>Intellectual Property Matters</w:t>
      </w:r>
      <w:r>
        <w:rPr>
          <w:rFonts w:ascii="Times New Roman" w:cs="Times New Roman" w:eastAsia="Times New Roman" w:hAnsi="Times New Roman"/>
          <w:sz w:val="17"/>
          <w:szCs w:val="17"/>
          <w:color w:val="auto"/>
        </w:rPr>
        <w:t>. Each Credit Party and each Subsidiary thereof owns or possesses rights to use all material franchises, licenses, software,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1280"/>
          </w:cols>
          <w:pgMar w:left="300" w:top="1181" w:right="319" w:bottom="1440" w:gutter="0" w:footer="0" w:header="0"/>
        </w:sectPr>
      </w:pPr>
    </w:p>
    <w:bookmarkStart w:id="486" w:name="page487"/>
    <w:bookmarkEnd w:id="486"/>
    <w:p>
      <w:pPr>
        <w:spacing w:after="0" w:line="259" w:lineRule="auto"/>
        <w:rPr>
          <w:sz w:val="20"/>
          <w:szCs w:val="20"/>
          <w:color w:val="auto"/>
        </w:rPr>
      </w:pPr>
      <w:r>
        <w:rPr>
          <w:rFonts w:ascii="Times New Roman" w:cs="Times New Roman" w:eastAsia="Times New Roman" w:hAnsi="Times New Roman"/>
          <w:sz w:val="17"/>
          <w:szCs w:val="17"/>
          <w:color w:val="auto"/>
        </w:rPr>
        <w:t>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w:t>
      </w:r>
    </w:p>
    <w:p>
      <w:pPr>
        <w:spacing w:after="0" w:line="125" w:lineRule="exact"/>
        <w:rPr>
          <w:sz w:val="20"/>
          <w:szCs w:val="20"/>
          <w:color w:val="auto"/>
        </w:rPr>
      </w:pPr>
    </w:p>
    <w:p>
      <w:pPr>
        <w:ind w:left="500"/>
        <w:spacing w:after="0"/>
        <w:tabs>
          <w:tab w:leader="none" w:pos="1420" w:val="left"/>
        </w:tabs>
        <w:rPr>
          <w:sz w:val="20"/>
          <w:szCs w:val="20"/>
          <w:color w:val="auto"/>
        </w:rPr>
      </w:pPr>
      <w:r>
        <w:rPr>
          <w:rFonts w:ascii="Times New Roman" w:cs="Times New Roman" w:eastAsia="Times New Roman" w:hAnsi="Times New Roman"/>
          <w:sz w:val="17"/>
          <w:szCs w:val="17"/>
          <w:color w:val="auto"/>
        </w:rPr>
        <w:t>Section 7.8</w:t>
      </w:r>
      <w:r>
        <w:rPr>
          <w:sz w:val="20"/>
          <w:szCs w:val="20"/>
          <w:color w:val="auto"/>
        </w:rPr>
        <w:tab/>
      </w:r>
      <w:r>
        <w:rPr>
          <w:rFonts w:ascii="Times New Roman" w:cs="Times New Roman" w:eastAsia="Times New Roman" w:hAnsi="Times New Roman"/>
          <w:sz w:val="16"/>
          <w:szCs w:val="16"/>
          <w:u w:val="single" w:color="auto"/>
          <w:color w:val="auto"/>
        </w:rPr>
        <w:t>Environmental Matters.</w:t>
      </w:r>
    </w:p>
    <w:p>
      <w:pPr>
        <w:spacing w:after="0" w:line="172" w:lineRule="exact"/>
        <w:rPr>
          <w:sz w:val="20"/>
          <w:szCs w:val="20"/>
          <w:color w:val="auto"/>
        </w:rPr>
      </w:pPr>
    </w:p>
    <w:p>
      <w:pPr>
        <w:jc w:val="both"/>
        <w:ind w:firstLine="509"/>
        <w:spacing w:after="0" w:line="252" w:lineRule="auto"/>
        <w:tabs>
          <w:tab w:leader="none" w:pos="882"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each Credit Party’s and each Subsidiary’s knowledge, the properties owned, leased or operated by each Credit Party and each Subsidiary thereof now or in the past do not contain, and to their knowledge have not previously contained, any Hazardous Materials in amounts or concentrations which constitute or constituted a violation of applicable Environmental Laws;</w:t>
      </w:r>
    </w:p>
    <w:p>
      <w:pPr>
        <w:spacing w:after="0" w:line="130" w:lineRule="exact"/>
        <w:rPr>
          <w:rFonts w:ascii="Times New Roman" w:cs="Times New Roman" w:eastAsia="Times New Roman" w:hAnsi="Times New Roman"/>
          <w:sz w:val="17"/>
          <w:szCs w:val="17"/>
          <w:color w:val="auto"/>
        </w:rPr>
      </w:pPr>
    </w:p>
    <w:p>
      <w:pPr>
        <w:jc w:val="both"/>
        <w:ind w:firstLine="509"/>
        <w:spacing w:after="0" w:line="252" w:lineRule="auto"/>
        <w:tabs>
          <w:tab w:leader="none" w:pos="908"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and each Subsidiary thereof and such properties and all operations conducted in connection therewith are in compliance, and to their knowledge have been in compliance in all material respects, with all applicable Environmental Laws, and to their knowledge, there is no contamination at, under or about such properties or such operations which could interfere with the continued operation of such properties or impair the fair saleable value thereof;</w:t>
      </w:r>
    </w:p>
    <w:p>
      <w:pPr>
        <w:spacing w:after="0" w:line="130" w:lineRule="exact"/>
        <w:rPr>
          <w:rFonts w:ascii="Times New Roman" w:cs="Times New Roman" w:eastAsia="Times New Roman" w:hAnsi="Times New Roman"/>
          <w:sz w:val="17"/>
          <w:szCs w:val="17"/>
          <w:color w:val="auto"/>
        </w:rPr>
      </w:pPr>
    </w:p>
    <w:p>
      <w:pPr>
        <w:jc w:val="both"/>
        <w:ind w:firstLine="509"/>
        <w:spacing w:after="0" w:line="245" w:lineRule="auto"/>
        <w:tabs>
          <w:tab w:leader="none" w:pos="893"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that any such notice will be received or is being threatened, in writing, in each case, other than with respect to matters that if adversely determined, would not be expected to be material to the Credit Parties or the Subsidiaries thereof;</w:t>
      </w:r>
    </w:p>
    <w:p>
      <w:pPr>
        <w:spacing w:after="0" w:line="147" w:lineRule="exact"/>
        <w:rPr>
          <w:rFonts w:ascii="Times New Roman" w:cs="Times New Roman" w:eastAsia="Times New Roman" w:hAnsi="Times New Roman"/>
          <w:sz w:val="17"/>
          <w:szCs w:val="17"/>
          <w:color w:val="auto"/>
        </w:rPr>
      </w:pPr>
    </w:p>
    <w:p>
      <w:pPr>
        <w:jc w:val="both"/>
        <w:ind w:firstLine="509"/>
        <w:spacing w:after="0" w:line="245" w:lineRule="auto"/>
        <w:tabs>
          <w:tab w:leader="none" w:pos="890"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each Credit Party’s and each Subsidiary’s knowledge, Hazardous Materials have not been transported or disposed of to or from the properties owned, leased or operated by any Credit Party or any Subsidiary thereof in violation of, or in a manner or to a location which could give rise to material liability under, Environmental Laws, nor have any Hazardous Materials been generated, treated, stored or disposed of at, on or under any of such properties in violation of, or in a manner that could give rise to material liability under, any applicable Environmental Laws;</w:t>
      </w:r>
    </w:p>
    <w:p>
      <w:pPr>
        <w:spacing w:after="0" w:line="137" w:lineRule="exact"/>
        <w:rPr>
          <w:rFonts w:ascii="Times New Roman" w:cs="Times New Roman" w:eastAsia="Times New Roman" w:hAnsi="Times New Roman"/>
          <w:sz w:val="17"/>
          <w:szCs w:val="17"/>
          <w:color w:val="auto"/>
        </w:rPr>
      </w:pPr>
    </w:p>
    <w:p>
      <w:pPr>
        <w:jc w:val="both"/>
        <w:ind w:firstLine="509"/>
        <w:spacing w:after="0" w:line="245" w:lineRule="auto"/>
        <w:tabs>
          <w:tab w:leader="none" w:pos="935"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judicial proceedings or governmental or administrative action is pending, or, to the knowledge of the Borrower, threatened in writing, under any Environmental Law to which any Credit Party or any Subsidiary thereof is or will be named as a potentially responsible party, nor to Borrower’s knowledge, are there any consent decrees or other decrees, consent orders, administrative orders or other orders, or other administrative or judicial requirements outstanding under any applicable Environmental Law with respect to any Credit Party or any Subsidiary thereof, with respect to any real property owned, leased or operated by any Credit Party or any Subsidiary thereof or operations conducted in connection therewith; and</w:t>
      </w:r>
    </w:p>
    <w:p>
      <w:pPr>
        <w:spacing w:after="0" w:line="137" w:lineRule="exact"/>
        <w:rPr>
          <w:rFonts w:ascii="Times New Roman" w:cs="Times New Roman" w:eastAsia="Times New Roman" w:hAnsi="Times New Roman"/>
          <w:sz w:val="17"/>
          <w:szCs w:val="17"/>
          <w:color w:val="auto"/>
        </w:rPr>
      </w:pPr>
    </w:p>
    <w:p>
      <w:pPr>
        <w:ind w:firstLine="509"/>
        <w:spacing w:after="0" w:line="272" w:lineRule="auto"/>
        <w:tabs>
          <w:tab w:leader="none" w:pos="881"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no release, or to its knowledge, threat of release, of Hazardous Materials at or from properties owned, leased or operated by any Credit Party or any Subsidiary, now or in the past, in violation of or in amounts or in a manner that could give rise to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1280"/>
          </w:cols>
          <w:pgMar w:left="300" w:top="1181" w:right="31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7"/>
          <w:szCs w:val="17"/>
          <w:color w:val="auto"/>
        </w:rPr>
        <w:t>under applicable Environmental Laws that could reasonably be expected, individually or in the aggregate, to have a Material Adverse Effect.</w:t>
      </w:r>
    </w:p>
    <w:p>
      <w:pPr>
        <w:spacing w:after="0" w:line="151"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7"/>
          <w:szCs w:val="17"/>
          <w:color w:val="auto"/>
        </w:rPr>
        <w:t>Section 7.9</w:t>
      </w:r>
      <w:r>
        <w:rPr>
          <w:sz w:val="20"/>
          <w:szCs w:val="20"/>
          <w:color w:val="auto"/>
        </w:rPr>
        <w:tab/>
      </w:r>
      <w:r>
        <w:rPr>
          <w:rFonts w:ascii="Times New Roman" w:cs="Times New Roman" w:eastAsia="Times New Roman" w:hAnsi="Times New Roman"/>
          <w:sz w:val="16"/>
          <w:szCs w:val="16"/>
          <w:u w:val="single" w:color="auto"/>
          <w:color w:val="auto"/>
        </w:rPr>
        <w:t>Employee Benefit Matters.</w:t>
      </w:r>
    </w:p>
    <w:p>
      <w:pPr>
        <w:spacing w:after="0" w:line="162" w:lineRule="exact"/>
        <w:rPr>
          <w:sz w:val="20"/>
          <w:szCs w:val="20"/>
          <w:color w:val="auto"/>
        </w:rPr>
      </w:pPr>
    </w:p>
    <w:p>
      <w:pPr>
        <w:ind w:firstLine="509"/>
        <w:spacing w:after="0" w:line="246" w:lineRule="auto"/>
        <w:tabs>
          <w:tab w:leader="none" w:pos="897"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Closing Date, no Credit Party nor any ERISA Affiliate maintains or contributes to, or has any obligation under, any Employee Benefit Plans other than (i) ordinary course health and wellness plans and (ii) those identified on </w:t>
      </w:r>
      <w:r>
        <w:rPr>
          <w:rFonts w:ascii="Times New Roman" w:cs="Times New Roman" w:eastAsia="Times New Roman" w:hAnsi="Times New Roman"/>
          <w:sz w:val="17"/>
          <w:szCs w:val="17"/>
          <w:u w:val="single" w:color="auto"/>
          <w:color w:val="auto"/>
        </w:rPr>
        <w:t>Schedule 7.9</w:t>
      </w:r>
      <w:r>
        <w:rPr>
          <w:rFonts w:ascii="Times New Roman" w:cs="Times New Roman" w:eastAsia="Times New Roman" w:hAnsi="Times New Roman"/>
          <w:sz w:val="17"/>
          <w:szCs w:val="17"/>
          <w:color w:val="auto"/>
        </w:rPr>
        <w:t>;</w:t>
      </w:r>
    </w:p>
    <w:p>
      <w:pPr>
        <w:spacing w:after="0" w:line="135" w:lineRule="exact"/>
        <w:rPr>
          <w:rFonts w:ascii="Times New Roman" w:cs="Times New Roman" w:eastAsia="Times New Roman" w:hAnsi="Times New Roman"/>
          <w:sz w:val="17"/>
          <w:szCs w:val="17"/>
          <w:color w:val="auto"/>
        </w:rPr>
      </w:pPr>
    </w:p>
    <w:p>
      <w:pPr>
        <w:jc w:val="both"/>
        <w:ind w:firstLine="509"/>
        <w:spacing w:after="0" w:line="231" w:lineRule="auto"/>
        <w:tabs>
          <w:tab w:leader="none" w:pos="956"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in each case, except where a failure to so comply could not, individually or in the aggregate,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No liability has been incurred by any Credit Party or any ERISA Affiliate which remains unsatisfied for any taxes or penalties assessed with respect to any Employee Benefit Plan or any Multiemployer Plan except for a liability that could not, individually or in the aggregate, reasonably be expected to have a Material Adverse Effect;</w:t>
      </w:r>
    </w:p>
    <w:p>
      <w:pPr>
        <w:spacing w:after="0" w:line="145" w:lineRule="exact"/>
        <w:rPr>
          <w:rFonts w:ascii="Times New Roman" w:cs="Times New Roman" w:eastAsia="Times New Roman" w:hAnsi="Times New Roman"/>
          <w:sz w:val="17"/>
          <w:szCs w:val="17"/>
          <w:color w:val="auto"/>
        </w:rPr>
      </w:pPr>
    </w:p>
    <w:p>
      <w:pPr>
        <w:jc w:val="both"/>
        <w:ind w:firstLine="509"/>
        <w:spacing w:after="0" w:line="234" w:lineRule="auto"/>
        <w:tabs>
          <w:tab w:leader="none" w:pos="879"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no Pension Plan has been terminated, nor has any Pension Plan become subject to funding based upon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w:t>
      </w:r>
    </w:p>
    <w:p>
      <w:pPr>
        <w:spacing w:after="0" w:line="140" w:lineRule="exact"/>
        <w:rPr>
          <w:rFonts w:ascii="Times New Roman" w:cs="Times New Roman" w:eastAsia="Times New Roman" w:hAnsi="Times New Roman"/>
          <w:sz w:val="17"/>
          <w:szCs w:val="17"/>
          <w:color w:val="auto"/>
        </w:rPr>
      </w:pPr>
    </w:p>
    <w:p>
      <w:pPr>
        <w:jc w:val="both"/>
        <w:ind w:firstLine="509"/>
        <w:spacing w:after="0" w:line="234" w:lineRule="auto"/>
        <w:tabs>
          <w:tab w:leader="none" w:pos="971"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the failure of any of the following representations to be correct could not, individually or in the aggregate,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Sections 412 or 430 of the Code;</w:t>
      </w:r>
    </w:p>
    <w:p>
      <w:pPr>
        <w:spacing w:after="0" w:line="140"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Termination Event has occurred or to Borrower’s knowledge, is reasonably expected to occur;</w:t>
      </w:r>
    </w:p>
    <w:p>
      <w:pPr>
        <w:spacing w:after="0" w:line="151" w:lineRule="exact"/>
        <w:rPr>
          <w:rFonts w:ascii="Times New Roman" w:cs="Times New Roman" w:eastAsia="Times New Roman" w:hAnsi="Times New Roman"/>
          <w:sz w:val="17"/>
          <w:szCs w:val="17"/>
          <w:color w:val="auto"/>
        </w:rPr>
      </w:pPr>
    </w:p>
    <w:p>
      <w:pPr>
        <w:ind w:firstLine="509"/>
        <w:spacing w:after="0" w:line="259" w:lineRule="auto"/>
        <w:tabs>
          <w:tab w:leader="none" w:pos="946"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the failure of any of the following representations to be correct could not, individually or in the aggregate, reasonably be expected, individually or in the aggregate,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1280"/>
          </w:cols>
          <w:pgMar w:left="300" w:top="1181" w:right="319" w:bottom="1440" w:gutter="0" w:footer="0" w:header="0"/>
        </w:sectPr>
      </w:pPr>
    </w:p>
    <w:bookmarkStart w:id="488" w:name="page489"/>
    <w:bookmarkEnd w:id="488"/>
    <w:p>
      <w:pPr>
        <w:jc w:val="both"/>
        <w:spacing w:after="0" w:line="246" w:lineRule="auto"/>
        <w:rPr>
          <w:sz w:val="20"/>
          <w:szCs w:val="20"/>
          <w:color w:val="auto"/>
        </w:rPr>
      </w:pPr>
      <w:r>
        <w:rPr>
          <w:rFonts w:ascii="Times New Roman" w:cs="Times New Roman" w:eastAsia="Times New Roman" w:hAnsi="Times New Roman"/>
          <w:sz w:val="17"/>
          <w:szCs w:val="17"/>
          <w:color w:val="auto"/>
        </w:rPr>
        <w:t>have a Material Adverse Effect, no proceeding, claim (other than a benefits claim in the ordinary course of business), lawsuit and/or investigation is existing or, to its knowledge, threatened concerning or involving (i) any employee welfare benefit plan (as defined in Section 3(1) of ERISA) currently maintained or contributed to by any Credit Party or any ERISA Affiliate, (ii) any Pension Plan or (iii) any Multiemployer Plan;</w:t>
      </w:r>
    </w:p>
    <w:p>
      <w:pPr>
        <w:spacing w:after="0" w:line="145" w:lineRule="exact"/>
        <w:rPr>
          <w:sz w:val="20"/>
          <w:szCs w:val="20"/>
          <w:color w:val="auto"/>
        </w:rPr>
      </w:pPr>
    </w:p>
    <w:p>
      <w:pPr>
        <w:jc w:val="both"/>
        <w:ind w:firstLine="509"/>
        <w:spacing w:after="0" w:line="252" w:lineRule="auto"/>
        <w:tabs>
          <w:tab w:leader="none" w:pos="943"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spacing w:after="0" w:line="130" w:lineRule="exact"/>
        <w:rPr>
          <w:rFonts w:ascii="Times New Roman" w:cs="Times New Roman" w:eastAsia="Times New Roman" w:hAnsi="Times New Roman"/>
          <w:sz w:val="17"/>
          <w:szCs w:val="17"/>
          <w:color w:val="auto"/>
        </w:rPr>
      </w:pPr>
    </w:p>
    <w:p>
      <w:pPr>
        <w:ind w:firstLine="509"/>
        <w:spacing w:after="0" w:line="259" w:lineRule="auto"/>
        <w:tabs>
          <w:tab w:leader="none" w:pos="876"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the Borrower is not nor will be using “plan assets” (within the meaning of 29 CFR § 2510.3-101, as modified by Section 3(42) of ERISA) of one or more Benefit Plans in connection with the Loans, the Letters of Credit or the Commitments.</w:t>
      </w:r>
    </w:p>
    <w:p>
      <w:pPr>
        <w:spacing w:after="0" w:line="13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u w:val="single" w:color="auto"/>
          <w:color w:val="auto"/>
        </w:rPr>
        <w:t>Margin Stock</w:t>
      </w:r>
      <w:r>
        <w:rPr>
          <w:rFonts w:ascii="Times New Roman" w:cs="Times New Roman" w:eastAsia="Times New Roman" w:hAnsi="Times New Roman"/>
          <w:sz w:val="16"/>
          <w:szCs w:val="16"/>
          <w:color w:val="auto"/>
        </w:rPr>
        <w:t>. No Credit Party nor any Subsidiary thereof is engaged principally or as one of its activities in the business of extending credit for the purpose of “purchasing” or “carrying” any “margin stock” (as each such term is defined or used, directly or indirectly, in Regulation U of the FRB). Following the application of the proceeds of each Extension of Credit, not more than twenty-five percent (25%) of the value of the assets (either of the Borrower only or of the Borrower and its Subsidiaries on a Consolidated basis) subject to the provisions of Section 9.2 or Section 9.5 or subject to any restriction contained in any agreement or instrument between the Borrower and any Lender or any Affiliate of any Lender relating to Indebtedness in excess of the Threshold Amount will be “margin stock”.</w:t>
      </w:r>
    </w:p>
    <w:p>
      <w:pPr>
        <w:spacing w:after="0" w:line="135"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7.11 </w:t>
      </w:r>
      <w:r>
        <w:rPr>
          <w:rFonts w:ascii="Times New Roman" w:cs="Times New Roman" w:eastAsia="Times New Roman" w:hAnsi="Times New Roman"/>
          <w:sz w:val="17"/>
          <w:szCs w:val="17"/>
          <w:u w:val="single" w:color="auto"/>
          <w:color w:val="auto"/>
        </w:rPr>
        <w:t>Government Regulation</w:t>
      </w:r>
      <w:r>
        <w:rPr>
          <w:rFonts w:ascii="Times New Roman" w:cs="Times New Roman" w:eastAsia="Times New Roman" w:hAnsi="Times New Roman"/>
          <w:sz w:val="17"/>
          <w:szCs w:val="17"/>
          <w:color w:val="auto"/>
        </w:rPr>
        <w:t>. No Credit Party nor any Subsidiary thereof is an “investment company” or a company “controlled” by an “investment company” (as each such term is defined or used in the Investment Company Act)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spacing w:after="0" w:line="137" w:lineRule="exact"/>
        <w:rPr>
          <w:sz w:val="20"/>
          <w:szCs w:val="20"/>
          <w:color w:val="auto"/>
        </w:rPr>
      </w:pPr>
    </w:p>
    <w:p>
      <w:pPr>
        <w:jc w:val="both"/>
        <w:ind w:firstLine="505"/>
        <w:spacing w:after="0" w:line="242" w:lineRule="auto"/>
        <w:rPr>
          <w:sz w:val="20"/>
          <w:szCs w:val="20"/>
          <w:color w:val="auto"/>
        </w:rPr>
      </w:pPr>
      <w:r>
        <w:rPr>
          <w:rFonts w:ascii="Times New Roman" w:cs="Times New Roman" w:eastAsia="Times New Roman" w:hAnsi="Times New Roman"/>
          <w:sz w:val="17"/>
          <w:szCs w:val="17"/>
          <w:color w:val="auto"/>
        </w:rPr>
        <w:t xml:space="preserve">Section 7.12 </w:t>
      </w:r>
      <w:r>
        <w:rPr>
          <w:rFonts w:ascii="Times New Roman" w:cs="Times New Roman" w:eastAsia="Times New Roman" w:hAnsi="Times New Roman"/>
          <w:sz w:val="17"/>
          <w:szCs w:val="17"/>
          <w:u w:val="single" w:color="auto"/>
          <w:color w:val="auto"/>
        </w:rPr>
        <w:t>Material Contracts</w:t>
      </w:r>
      <w:r>
        <w:rPr>
          <w:rFonts w:ascii="Times New Roman" w:cs="Times New Roman" w:eastAsia="Times New Roman" w:hAnsi="Times New Roman"/>
          <w:sz w:val="17"/>
          <w:szCs w:val="17"/>
          <w:color w:val="auto"/>
        </w:rPr>
        <w:t>. Schedule 7.12 sets forth a complete and accurate list of all Material Contracts of each Credit Party and each Subsidiary thereof in effect as of the Closing Date. Other than as set forth in Schedule 7.12, as of the Closing Date, each such Material Contract is, and after giving effect to the consummation of the transactions contemplated by the Loan Documents will be, in full force and effect in accordance with the terms thereof. To the extent requested by the Administrative Agent in writing, the Borrower has delivered to the Administrative Agent a true and complete copy of each Material Contract required to be listed on Schedule 7.12 or any other Schedule hereto. As of the Closing Date, no Credit Party nor any Subsidiary thereof (nor, to its knowledge, any other party thereto) is in breach of or in default under any Material Contract in any material respect.</w:t>
      </w:r>
    </w:p>
    <w:p>
      <w:pPr>
        <w:spacing w:after="0" w:line="152"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 xml:space="preserve">Section 7.13 </w:t>
      </w:r>
      <w:r>
        <w:rPr>
          <w:rFonts w:ascii="Times New Roman" w:cs="Times New Roman" w:eastAsia="Times New Roman" w:hAnsi="Times New Roman"/>
          <w:sz w:val="17"/>
          <w:szCs w:val="17"/>
          <w:u w:val="single" w:color="auto"/>
          <w:color w:val="auto"/>
        </w:rPr>
        <w:t>Employee Relations</w:t>
      </w:r>
      <w:r>
        <w:rPr>
          <w:rFonts w:ascii="Times New Roman" w:cs="Times New Roman" w:eastAsia="Times New Roman" w:hAnsi="Times New Roman"/>
          <w:sz w:val="17"/>
          <w:szCs w:val="17"/>
          <w:color w:val="auto"/>
        </w:rPr>
        <w:t>. As of the Closing Date, no Credit Party nor any Subsidiary thereof is party to any collective bargaining agreement, nor has any labor union been recognized as the representative of its employees except as set forth on Schedule 7.13. The Borrower knows of no pending, threatened or contemplated strikes, work stoppage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1280"/>
          </w:cols>
          <w:pgMar w:left="300" w:top="1181" w:right="319" w:bottom="1440" w:gutter="0" w:footer="0" w:header="0"/>
        </w:sectPr>
      </w:pPr>
    </w:p>
    <w:bookmarkStart w:id="489" w:name="page490"/>
    <w:bookmarkEnd w:id="489"/>
    <w:p>
      <w:pPr>
        <w:jc w:val="both"/>
        <w:spacing w:after="0" w:line="246" w:lineRule="auto"/>
        <w:rPr>
          <w:sz w:val="20"/>
          <w:szCs w:val="20"/>
          <w:color w:val="auto"/>
        </w:rPr>
      </w:pPr>
      <w:r>
        <w:rPr>
          <w:rFonts w:ascii="Times New Roman" w:cs="Times New Roman" w:eastAsia="Times New Roman" w:hAnsi="Times New Roman"/>
          <w:sz w:val="17"/>
          <w:szCs w:val="17"/>
          <w:color w:val="auto"/>
        </w:rPr>
        <w:t>collective labor disputes involving its employees or those of its Subsidiaries that, individually or in the aggregate, could reasonably be expected to have a Material Adverse Effect.</w:t>
      </w:r>
    </w:p>
    <w:p>
      <w:pPr>
        <w:spacing w:after="0" w:line="135" w:lineRule="exact"/>
        <w:rPr>
          <w:sz w:val="20"/>
          <w:szCs w:val="20"/>
          <w:color w:val="auto"/>
        </w:rPr>
      </w:pPr>
    </w:p>
    <w:p>
      <w:pPr>
        <w:jc w:val="both"/>
        <w:ind w:firstLine="505"/>
        <w:spacing w:after="0" w:line="231" w:lineRule="auto"/>
        <w:rPr>
          <w:sz w:val="20"/>
          <w:szCs w:val="20"/>
          <w:color w:val="auto"/>
        </w:rPr>
      </w:pPr>
      <w:r>
        <w:rPr>
          <w:rFonts w:ascii="Times New Roman" w:cs="Times New Roman" w:eastAsia="Times New Roman" w:hAnsi="Times New Roman"/>
          <w:sz w:val="17"/>
          <w:szCs w:val="17"/>
          <w:color w:val="auto"/>
        </w:rPr>
        <w:t xml:space="preserve">Section 7.14 </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audited and unaudited financial statements delivered pursuant to Section 6.1(e)(i) are complete and correct, in all material respects, and fairly present on a Consolidated basis the assets, liabilities and financial position of the Borrower and its Subsidiaries as at such dates, and the results of the operations and changes of financial position for the periods then ended (other than customary year-end adjustments for unaudited financial statements and the absence of footnotes from unaudited financial statements). All such financial statements, including the related schedules and notes thereto, have been prepared in accordance with GAAP. Such financial statements show all material indebtedness and other material liabilities, direct or contingent, of the Borrower and its Subsidiaries as of the date thereof, including material liabilities for taxes, material commitments, and Indebtedness, in each case, to the extent required to be disclosed under GAAP. The projections delivered pursuant to Section 6.1(e)(ii) were prepared in good faith on the basis of the assumptions stated therein, which assumptions are believed to be reasonable in light of then existing conditions (it being recognized by the Lenders that projections are not to be viewed as facts and that the actual results during the period or periods covered by such projections may vary from such projections).</w:t>
      </w:r>
    </w:p>
    <w:p>
      <w:pPr>
        <w:spacing w:after="0" w:line="136"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7.15 </w:t>
      </w:r>
      <w:r>
        <w:rPr>
          <w:rFonts w:ascii="Times New Roman" w:cs="Times New Roman" w:eastAsia="Times New Roman" w:hAnsi="Times New Roman"/>
          <w:sz w:val="17"/>
          <w:szCs w:val="17"/>
          <w:u w:val="single" w:color="auto"/>
          <w:color w:val="auto"/>
        </w:rPr>
        <w:t>No Material Adverse Change</w:t>
      </w:r>
      <w:r>
        <w:rPr>
          <w:rFonts w:ascii="Times New Roman" w:cs="Times New Roman" w:eastAsia="Times New Roman" w:hAnsi="Times New Roman"/>
          <w:sz w:val="17"/>
          <w:szCs w:val="17"/>
          <w:color w:val="auto"/>
        </w:rPr>
        <w:t>. Since January 31, 2025, no event has occurred or condition arisen, either individually or in the aggregate, that could reasonably be expected to have a Material Adverse Effect.</w:t>
      </w:r>
    </w:p>
    <w:p>
      <w:pPr>
        <w:spacing w:after="0" w:line="114"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7.16</w:t>
      </w:r>
      <w:r>
        <w:rPr>
          <w:sz w:val="20"/>
          <w:szCs w:val="20"/>
          <w:color w:val="auto"/>
        </w:rPr>
        <w:tab/>
      </w:r>
      <w:r>
        <w:rPr>
          <w:rFonts w:ascii="Times New Roman" w:cs="Times New Roman" w:eastAsia="Times New Roman" w:hAnsi="Times New Roman"/>
          <w:sz w:val="16"/>
          <w:szCs w:val="16"/>
          <w:u w:val="single" w:color="auto"/>
          <w:color w:val="auto"/>
        </w:rPr>
        <w:t>Solvency</w:t>
      </w:r>
      <w:r>
        <w:rPr>
          <w:rFonts w:ascii="Times New Roman" w:cs="Times New Roman" w:eastAsia="Times New Roman" w:hAnsi="Times New Roman"/>
          <w:sz w:val="16"/>
          <w:szCs w:val="16"/>
          <w:color w:val="auto"/>
        </w:rPr>
        <w:t>. The Credit Parties and their Subsidiaries, taken as a whole, are Solvent.</w:t>
      </w:r>
    </w:p>
    <w:p>
      <w:pPr>
        <w:spacing w:after="0" w:line="162"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Section 7.17 </w:t>
      </w:r>
      <w:r>
        <w:rPr>
          <w:rFonts w:ascii="Times New Roman" w:cs="Times New Roman" w:eastAsia="Times New Roman" w:hAnsi="Times New Roman"/>
          <w:sz w:val="17"/>
          <w:szCs w:val="17"/>
          <w:u w:val="single" w:color="auto"/>
          <w:color w:val="auto"/>
        </w:rPr>
        <w:t>Title to Properties</w:t>
      </w:r>
      <w:r>
        <w:rPr>
          <w:rFonts w:ascii="Times New Roman" w:cs="Times New Roman" w:eastAsia="Times New Roman" w:hAnsi="Times New Roman"/>
          <w:sz w:val="17"/>
          <w:szCs w:val="17"/>
          <w:color w:val="auto"/>
        </w:rPr>
        <w:t>. Each Credit Party and each Subsidiary thereof has valid and legal title to all of its personal property and assets, except those which have been disposed of by the Credit Parties and their Subsidiaries subsequent to such date which dispositions have been in the ordinary course of business or as otherwise expressly permitted hereunder.</w:t>
      </w:r>
    </w:p>
    <w:p>
      <w:pPr>
        <w:spacing w:after="0" w:line="141"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Section 7.18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are no actions, suits or proceedings pending nor, to its knowledge, threatened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141"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7.19</w:t>
      </w:r>
      <w:r>
        <w:rPr>
          <w:sz w:val="20"/>
          <w:szCs w:val="20"/>
          <w:color w:val="auto"/>
        </w:rPr>
        <w:tab/>
      </w:r>
      <w:r>
        <w:rPr>
          <w:rFonts w:ascii="Times New Roman" w:cs="Times New Roman" w:eastAsia="Times New Roman" w:hAnsi="Times New Roman"/>
          <w:sz w:val="16"/>
          <w:szCs w:val="16"/>
          <w:u w:val="single" w:color="auto"/>
          <w:color w:val="auto"/>
        </w:rPr>
        <w:t>Anti-Corruption Laws; Anti-Money Laundering Laws; Sanctions and Outbound Investment Rules.</w:t>
      </w:r>
    </w:p>
    <w:p>
      <w:pPr>
        <w:spacing w:after="0" w:line="151" w:lineRule="exact"/>
        <w:rPr>
          <w:sz w:val="20"/>
          <w:szCs w:val="20"/>
          <w:color w:val="auto"/>
        </w:rPr>
      </w:pPr>
    </w:p>
    <w:p>
      <w:pPr>
        <w:jc w:val="both"/>
        <w:ind w:firstLine="509"/>
        <w:spacing w:after="0" w:line="236" w:lineRule="auto"/>
        <w:tabs>
          <w:tab w:leader="none" w:pos="866"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(i) the Borrower, any Subsidiary or, to the knowledge of the Borrower or such Subsidiary, any of their respective directors, officers, employees or Affiliates, or (ii) to the knowledge of the Borrower, any agent or representative of the Borrower or any Subsidiary that will act in any capacity in connection with or benefit from the Credit Facility, (A) is a Sanctioned Person or currently the subject or target of any Sanctions, (B) has its assets located in a Sanctioned Country, (C) is under administrative, civil or criminal investigation for an alleged violation of, or received notice from or made a voluntary disclosure to any governmental entity regarding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1280"/>
          </w:cols>
          <w:pgMar w:left="300" w:top="1181" w:right="319" w:bottom="1440" w:gutter="0" w:footer="0" w:header="0"/>
        </w:sectPr>
      </w:pPr>
    </w:p>
    <w:bookmarkStart w:id="490" w:name="page491"/>
    <w:bookmarkEnd w:id="490"/>
    <w:p>
      <w:pPr>
        <w:jc w:val="both"/>
        <w:spacing w:after="0" w:line="239" w:lineRule="auto"/>
        <w:rPr>
          <w:sz w:val="20"/>
          <w:szCs w:val="20"/>
          <w:color w:val="auto"/>
        </w:rPr>
      </w:pPr>
      <w:r>
        <w:rPr>
          <w:rFonts w:ascii="Times New Roman" w:cs="Times New Roman" w:eastAsia="Times New Roman" w:hAnsi="Times New Roman"/>
          <w:sz w:val="17"/>
          <w:szCs w:val="17"/>
          <w:color w:val="auto"/>
        </w:rPr>
        <w:t>possible violation of, Anti-Corruption Laws, Anti-Money Laundering Laws or Sanctions by a governmental authority that enforces Sanctions or any Anti-Corruption Laws or Anti-Money Laundering Laws, or (D) directly or, to the knowledge of the Borrower, indirectly derives revenues from investments in, or transactions with, Sanctioned Persons.</w:t>
      </w:r>
    </w:p>
    <w:p>
      <w:pPr>
        <w:spacing w:after="0" w:line="131" w:lineRule="exact"/>
        <w:rPr>
          <w:sz w:val="20"/>
          <w:szCs w:val="20"/>
          <w:color w:val="auto"/>
        </w:rPr>
      </w:pPr>
    </w:p>
    <w:p>
      <w:pPr>
        <w:jc w:val="both"/>
        <w:ind w:firstLine="509"/>
        <w:spacing w:after="0" w:line="246" w:lineRule="auto"/>
        <w:tabs>
          <w:tab w:leader="none" w:pos="911"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Borrower and its Subsidiaries has implemented and maintains in effect policies and procedures reasonably designed to promote and ensure compliance by the Borrower and its Subsidiaries and their respective directors, officers, employees, agents and Affiliates with all Anti-Corruption Laws, Anti-Money Laundering Laws and applicable Sanctions.</w:t>
      </w:r>
    </w:p>
    <w:p>
      <w:pPr>
        <w:spacing w:after="0" w:line="124" w:lineRule="exact"/>
        <w:rPr>
          <w:rFonts w:ascii="Times New Roman" w:cs="Times New Roman" w:eastAsia="Times New Roman" w:hAnsi="Times New Roman"/>
          <w:sz w:val="17"/>
          <w:szCs w:val="17"/>
          <w:color w:val="auto"/>
        </w:rPr>
      </w:pPr>
    </w:p>
    <w:p>
      <w:pPr>
        <w:ind w:firstLine="509"/>
        <w:spacing w:after="0" w:line="259" w:lineRule="auto"/>
        <w:tabs>
          <w:tab w:leader="none" w:pos="863"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Borrower and its Subsidiaries, and to the knowledge of the Borrower, director, officer, employee, agent and Affiliate of the Borrower and each such Subsidiary, is in compliance in all material respects with all Anti-Corruption Laws, Anti-Money Laundering Laws and applicable Sanctions.</w:t>
      </w:r>
    </w:p>
    <w:p>
      <w:pPr>
        <w:spacing w:after="0" w:line="114" w:lineRule="exact"/>
        <w:rPr>
          <w:rFonts w:ascii="Times New Roman" w:cs="Times New Roman" w:eastAsia="Times New Roman" w:hAnsi="Times New Roman"/>
          <w:sz w:val="17"/>
          <w:szCs w:val="17"/>
          <w:color w:val="auto"/>
        </w:rPr>
      </w:pPr>
    </w:p>
    <w:p>
      <w:pPr>
        <w:ind w:firstLine="509"/>
        <w:spacing w:after="0" w:line="259" w:lineRule="auto"/>
        <w:tabs>
          <w:tab w:leader="none" w:pos="915"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proceeds of any Extension of Credit have been used, directly or indirectly, by the Borrower, any of its Subsidiaries or any of its or their respective directors, officers, employees and agents in violation of </w:t>
      </w:r>
      <w:r>
        <w:rPr>
          <w:rFonts w:ascii="Times New Roman" w:cs="Times New Roman" w:eastAsia="Times New Roman" w:hAnsi="Times New Roman"/>
          <w:sz w:val="17"/>
          <w:szCs w:val="17"/>
          <w:u w:val="single" w:color="auto"/>
          <w:color w:val="auto"/>
        </w:rPr>
        <w:t>Section 8.16(b)</w:t>
      </w:r>
      <w:r>
        <w:rPr>
          <w:rFonts w:ascii="Times New Roman" w:cs="Times New Roman" w:eastAsia="Times New Roman" w:hAnsi="Times New Roman"/>
          <w:sz w:val="17"/>
          <w:szCs w:val="17"/>
          <w:color w:val="auto"/>
        </w:rPr>
        <w:t>.</w:t>
      </w:r>
    </w:p>
    <w:p>
      <w:pPr>
        <w:spacing w:after="0" w:line="124" w:lineRule="exact"/>
        <w:rPr>
          <w:rFonts w:ascii="Times New Roman" w:cs="Times New Roman" w:eastAsia="Times New Roman" w:hAnsi="Times New Roman"/>
          <w:sz w:val="17"/>
          <w:szCs w:val="17"/>
          <w:color w:val="auto"/>
        </w:rPr>
      </w:pPr>
    </w:p>
    <w:p>
      <w:pPr>
        <w:jc w:val="both"/>
        <w:ind w:firstLine="509"/>
        <w:spacing w:after="0" w:line="233" w:lineRule="auto"/>
        <w:tabs>
          <w:tab w:leader="none" w:pos="886"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Borrower nor any of its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Borrower were a United States Person or (C)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33" w:lineRule="exact"/>
        <w:rPr>
          <w:sz w:val="20"/>
          <w:szCs w:val="20"/>
          <w:color w:val="auto"/>
        </w:rPr>
      </w:pPr>
    </w:p>
    <w:p>
      <w:pPr>
        <w:jc w:val="both"/>
        <w:ind w:firstLine="505"/>
        <w:spacing w:after="0" w:line="236" w:lineRule="auto"/>
        <w:rPr>
          <w:sz w:val="20"/>
          <w:szCs w:val="20"/>
          <w:color w:val="auto"/>
        </w:rPr>
      </w:pPr>
      <w:r>
        <w:rPr>
          <w:rFonts w:ascii="Times New Roman" w:cs="Times New Roman" w:eastAsia="Times New Roman" w:hAnsi="Times New Roman"/>
          <w:sz w:val="17"/>
          <w:szCs w:val="17"/>
          <w:color w:val="auto"/>
        </w:rPr>
        <w:t xml:space="preserve">Section 7.20 </w:t>
      </w:r>
      <w:r>
        <w:rPr>
          <w:rFonts w:ascii="Times New Roman" w:cs="Times New Roman" w:eastAsia="Times New Roman" w:hAnsi="Times New Roman"/>
          <w:sz w:val="17"/>
          <w:szCs w:val="17"/>
          <w:u w:val="single" w:color="auto"/>
          <w:color w:val="auto"/>
        </w:rPr>
        <w:t>Absence of Defaults</w:t>
      </w:r>
      <w:r>
        <w:rPr>
          <w:rFonts w:ascii="Times New Roman" w:cs="Times New Roman" w:eastAsia="Times New Roman" w:hAnsi="Times New Roman"/>
          <w:sz w:val="17"/>
          <w:szCs w:val="17"/>
          <w:color w:val="auto"/>
        </w:rPr>
        <w:t>. No event has occurred or is continuing (a) which constitutes a Default or an Event of Default, or (b) which constitutes, or which with the passage of time or giving of notice or both would constitute, a default or event of default by any Credit Party or any Subsidiary thereof under (i) any Material Contract that would reasonably be expected to result in a Material Adverse Effect or (ii) any judgment, decree or order to which any Credit Party or any Subsidiary thereof is a party or by which any Credit Party or any Subsidiary thereof or any of their respective properties may be bound that would reasonably be expected to result in a Material Adverse Effect.</w:t>
      </w:r>
    </w:p>
    <w:p>
      <w:pPr>
        <w:spacing w:after="0" w:line="132"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 xml:space="preserve">Section 7.21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The Borrower and/or its Subsidiaries have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 financial statement, material report, material certificate or other material information furnished (whether in writing or orally)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1280"/>
          </w:cols>
          <w:pgMar w:left="300" w:top="1180" w:right="319" w:bottom="1440" w:gutter="0" w:footer="0" w:header="0"/>
        </w:sectPr>
      </w:pPr>
    </w:p>
    <w:bookmarkStart w:id="491" w:name="page492"/>
    <w:bookmarkEnd w:id="491"/>
    <w:p>
      <w:pPr>
        <w:jc w:val="both"/>
        <w:spacing w:after="0" w:line="242" w:lineRule="auto"/>
        <w:rPr>
          <w:sz w:val="20"/>
          <w:szCs w:val="20"/>
          <w:color w:val="auto"/>
        </w:rPr>
      </w:pPr>
      <w:r>
        <w:rPr>
          <w:rFonts w:ascii="Times New Roman" w:cs="Times New Roman" w:eastAsia="Times New Roman" w:hAnsi="Times New Roman"/>
          <w:sz w:val="17"/>
          <w:szCs w:val="17"/>
          <w:color w:val="auto"/>
        </w:rPr>
        <w:t>any untrue statement of a material fact or omits to state any material fact necessary to make the statements therein, in the light of the circumstances under which they were made, not misleading; provided that, with respect to projected financial information, pro forma financial information, estimated financial information and other projected or estimated information, such information was prepared in good faith based upon assumptions believed to be reasonable at the time (it being recognized by the Lenders that projections are not to be viewed as facts and that the actual results during the period or periods covered by such projections may vary from such projections). As of the Closing Date, all of the information included in the Beneficial Ownership Certification is true and correct.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AFFIRMATIVE COVENANTS</w:t>
      </w:r>
    </w:p>
    <w:p>
      <w:pPr>
        <w:spacing w:after="0" w:line="162"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 Party will, and will cause each of its Subsidiaries to:</w:t>
      </w:r>
    </w:p>
    <w:p>
      <w:pPr>
        <w:spacing w:after="0" w:line="114"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Financial Statements and Budgets</w:t>
      </w:r>
      <w:r>
        <w:rPr>
          <w:rFonts w:ascii="Times New Roman" w:cs="Times New Roman" w:eastAsia="Times New Roman" w:hAnsi="Times New Roman"/>
          <w:sz w:val="17"/>
          <w:szCs w:val="17"/>
          <w:color w:val="auto"/>
        </w:rPr>
        <w:t>. Deliver to the Administrative Agent, in form and detail reasonably satisfactory to the Administrative Agent (which shall promptly make such information available to the Lenders in accordance with its customary practice):</w:t>
      </w:r>
    </w:p>
    <w:p>
      <w:pPr>
        <w:spacing w:after="0" w:line="114" w:lineRule="exact"/>
        <w:rPr>
          <w:sz w:val="20"/>
          <w:szCs w:val="20"/>
          <w:color w:val="auto"/>
        </w:rPr>
      </w:pPr>
    </w:p>
    <w:p>
      <w:pPr>
        <w:jc w:val="both"/>
        <w:ind w:firstLine="509"/>
        <w:spacing w:after="0" w:line="239" w:lineRule="auto"/>
        <w:tabs>
          <w:tab w:leader="none" w:pos="859"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Financial Statements</w:t>
      </w:r>
      <w:r>
        <w:rPr>
          <w:rFonts w:ascii="Times New Roman" w:cs="Times New Roman" w:eastAsia="Times New Roman" w:hAnsi="Times New Roman"/>
          <w:sz w:val="17"/>
          <w:szCs w:val="17"/>
          <w:color w:val="auto"/>
        </w:rPr>
        <w:t>. Prior to consummation of an IPO, as soon as practicable and in any event within one hundred twenty (120) days, but after an IPO, as soon as practicable and in any event within ninety (90) days (or, if earlier, on the date of any required public filing thereof) after the end of each Fiscal Year (commencing with the Fiscal Year ended January 31, 2026), an audited Consolidated balance sheet of the Borrower and its Subsidiaries as of the close of such Fiscal Year and audited Consolidated statements of income, retained earnings and cash flows including the notes thereto,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reasonably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Borrower or any of its Subsidiaries not in accordance with GAAP.</w:t>
      </w:r>
    </w:p>
    <w:p>
      <w:pPr>
        <w:spacing w:after="0" w:line="155" w:lineRule="exact"/>
        <w:rPr>
          <w:rFonts w:ascii="Times New Roman" w:cs="Times New Roman" w:eastAsia="Times New Roman" w:hAnsi="Times New Roman"/>
          <w:sz w:val="17"/>
          <w:szCs w:val="17"/>
          <w:color w:val="auto"/>
        </w:rPr>
      </w:pPr>
    </w:p>
    <w:p>
      <w:pPr>
        <w:jc w:val="both"/>
        <w:ind w:firstLine="509"/>
        <w:spacing w:after="0" w:line="245" w:lineRule="auto"/>
        <w:tabs>
          <w:tab w:leader="none" w:pos="880"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Quarterly Financial Statements</w:t>
      </w:r>
      <w:r>
        <w:rPr>
          <w:rFonts w:ascii="Times New Roman" w:cs="Times New Roman" w:eastAsia="Times New Roman" w:hAnsi="Times New Roman"/>
          <w:sz w:val="17"/>
          <w:szCs w:val="17"/>
          <w:color w:val="auto"/>
        </w:rPr>
        <w:t>. As soon as practicable and in any event within forty-five (45) days (or, if earlier, on the date of any required public filing thereof) after the end of the first three (3) fiscal quarters of each Fiscal Year (commencing with the fiscal quarter ended October 31, 2025), an unaudited Consolidated balance sheet of the Borrower and its Subsidiaries as of the close of such fiscal quarter and unaudited Consolidated statements of income, retained earnings and cash flows for the fiscal quarter then ended and that portion of the Fiscal Year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280"/>
          </w:cols>
          <w:pgMar w:left="300" w:top="1181" w:right="319" w:bottom="1440" w:gutter="0" w:footer="0" w:header="0"/>
        </w:sectPr>
      </w:pPr>
    </w:p>
    <w:bookmarkStart w:id="492" w:name="page493"/>
    <w:bookmarkEnd w:id="492"/>
    <w:p>
      <w:pPr>
        <w:jc w:val="both"/>
        <w:spacing w:after="0" w:line="242" w:lineRule="auto"/>
        <w:rPr>
          <w:sz w:val="20"/>
          <w:szCs w:val="20"/>
          <w:color w:val="auto"/>
        </w:rPr>
      </w:pPr>
      <w:r>
        <w:rPr>
          <w:rFonts w:ascii="Times New Roman" w:cs="Times New Roman" w:eastAsia="Times New Roman" w:hAnsi="Times New Roman"/>
          <w:sz w:val="17"/>
          <w:szCs w:val="17"/>
          <w:color w:val="auto"/>
        </w:rPr>
        <w:t>ended, including the notes thereto, all in reasonable detail setting forth in comparative form the corresponding figures as of the end of and for the corresponding period in the preceding Fiscal Year and prepared by the Borrower in accordance with GAAP and, if applicable, containing disclosure of the effect on the financial position or results of operations of any change in the application of accounting principles and practices during the period, and certified by the chief financial officer of the Borrower to present fairly in all material respects the financial condition of the Borrower and its Subsidiaries on a Consolidated basis as of their respective dates and the results of operations of the Borrower and its Subsidiaries for the respective periods then ended, subject to normal year-end adjustments and the absence of footnotes.</w:t>
      </w:r>
    </w:p>
    <w:p>
      <w:pPr>
        <w:spacing w:after="0" w:line="142" w:lineRule="exact"/>
        <w:rPr>
          <w:sz w:val="20"/>
          <w:szCs w:val="20"/>
          <w:color w:val="auto"/>
        </w:rPr>
      </w:pPr>
    </w:p>
    <w:p>
      <w:pPr>
        <w:jc w:val="both"/>
        <w:ind w:firstLine="509"/>
        <w:spacing w:after="0" w:line="241" w:lineRule="auto"/>
        <w:tabs>
          <w:tab w:leader="none" w:pos="881"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Business Plan and Budget</w:t>
      </w:r>
      <w:r>
        <w:rPr>
          <w:rFonts w:ascii="Times New Roman" w:cs="Times New Roman" w:eastAsia="Times New Roman" w:hAnsi="Times New Roman"/>
          <w:sz w:val="17"/>
          <w:szCs w:val="17"/>
          <w:color w:val="auto"/>
        </w:rPr>
        <w:t xml:space="preserve">. Prior to consummation of an IPO, as soon as practicable and in any event within sixty (60) days after the end of each Fiscal Year, a business plan and operating and capital budget of the Borrower and its Subsidiaries for the ensuing four (4) fiscal quarters, such plan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and a report containing management’s discussion and analysis of such budget with a reasonable disclosure of the key assumptions and drivers with respect to such budget, accompanied by a certificate from a Responsible Officer of the Borrower to the effect that such budget contains good faith estimates (utilizing assumptions believed to be reasonable at the time of delivery of such budget) of the financial condition and operations of the Borrower and its Subsidiaries for such period.</w:t>
      </w:r>
    </w:p>
    <w:p>
      <w:pPr>
        <w:spacing w:after="0" w:line="150"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Certificates; Other Reports</w:t>
      </w:r>
      <w:r>
        <w:rPr>
          <w:rFonts w:ascii="Times New Roman" w:cs="Times New Roman" w:eastAsia="Times New Roman" w:hAnsi="Times New Roman"/>
          <w:sz w:val="17"/>
          <w:szCs w:val="17"/>
          <w:color w:val="auto"/>
        </w:rPr>
        <w:t>. Deliver to the Administrative Agent (which shall promptly make such information available to the Lenders in accordance with its customary practice):</w:t>
      </w:r>
    </w:p>
    <w:p>
      <w:pPr>
        <w:spacing w:after="0" w:line="135" w:lineRule="exact"/>
        <w:rPr>
          <w:sz w:val="20"/>
          <w:szCs w:val="20"/>
          <w:color w:val="auto"/>
        </w:rPr>
      </w:pPr>
    </w:p>
    <w:p>
      <w:pPr>
        <w:jc w:val="both"/>
        <w:ind w:firstLine="509"/>
        <w:spacing w:after="0" w:line="242" w:lineRule="auto"/>
        <w:tabs>
          <w:tab w:leader="none" w:pos="915"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each time financial statements are delivered pursuant to </w:t>
      </w:r>
      <w:r>
        <w:rPr>
          <w:rFonts w:ascii="Times New Roman" w:cs="Times New Roman" w:eastAsia="Times New Roman" w:hAnsi="Times New Roman"/>
          <w:sz w:val="17"/>
          <w:szCs w:val="17"/>
          <w:u w:val="single" w:color="auto"/>
          <w:color w:val="auto"/>
        </w:rPr>
        <w:t>Sections 8.1(a)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at such other times as the Administrative Agent shall reasonably request, a duly completed Compliance Certificate that, among other things, (i) states that no Default or Event of Default is continuing as of the date of delivery of such Compliance Certificate or, if a Default or Event of Default is continuing, states the nature thereof and the action that the Borrower has taken or proposes to take with respect thereto, and (ii) demonstrates compliance with the financial covenants set forth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as of the last day of the applicable Reference Period ending on the last day of the Reference Period covered by such financial statements;</w:t>
      </w:r>
    </w:p>
    <w:p>
      <w:pPr>
        <w:spacing w:after="0" w:line="139" w:lineRule="exact"/>
        <w:rPr>
          <w:rFonts w:ascii="Times New Roman" w:cs="Times New Roman" w:eastAsia="Times New Roman" w:hAnsi="Times New Roman"/>
          <w:sz w:val="17"/>
          <w:szCs w:val="17"/>
          <w:color w:val="auto"/>
        </w:rPr>
      </w:pPr>
    </w:p>
    <w:p>
      <w:pPr>
        <w:jc w:val="both"/>
        <w:ind w:firstLine="509"/>
        <w:spacing w:after="0" w:line="252" w:lineRule="auto"/>
        <w:tabs>
          <w:tab w:leader="none" w:pos="902"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the receipt thereof, copies of all reports, if any, submitted to any Credit Party and Subsidiary thereof or any of their respective boards of directors by their respective independent public accountants in connection with their auditing function, including any management report and any management responses thereto;</w:t>
      </w:r>
    </w:p>
    <w:p>
      <w:pPr>
        <w:spacing w:after="0" w:line="141" w:lineRule="exact"/>
        <w:rPr>
          <w:rFonts w:ascii="Times New Roman" w:cs="Times New Roman" w:eastAsia="Times New Roman" w:hAnsi="Times New Roman"/>
          <w:sz w:val="17"/>
          <w:szCs w:val="17"/>
          <w:color w:val="auto"/>
        </w:rPr>
      </w:pPr>
    </w:p>
    <w:p>
      <w:pPr>
        <w:ind w:firstLine="509"/>
        <w:spacing w:after="0" w:line="259" w:lineRule="auto"/>
        <w:tabs>
          <w:tab w:leader="none" w:pos="877"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furnishing thereof, copies of any statement or report furnished to any holder of Indebtedness of any Credit Party or any Subsidiary thereof in excess of the Threshold Amount pursuant to the terms of any indenture, loan or credit or similar agreement;</w:t>
      </w:r>
    </w:p>
    <w:p>
      <w:pPr>
        <w:spacing w:after="0" w:line="124" w:lineRule="exact"/>
        <w:rPr>
          <w:rFonts w:ascii="Times New Roman" w:cs="Times New Roman" w:eastAsia="Times New Roman" w:hAnsi="Times New Roman"/>
          <w:sz w:val="17"/>
          <w:szCs w:val="17"/>
          <w:color w:val="auto"/>
        </w:rPr>
      </w:pPr>
    </w:p>
    <w:p>
      <w:pPr>
        <w:ind w:firstLine="509"/>
        <w:spacing w:after="0" w:line="272" w:lineRule="auto"/>
        <w:tabs>
          <w:tab w:leader="none" w:pos="875"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same are available, copies of each annual report, proxy or financial statement or other report or communication sent to the stockholders of the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1280"/>
          </w:cols>
          <w:pgMar w:left="300" w:top="1180" w:right="319" w:bottom="1440" w:gutter="0" w:footer="0" w:header="0"/>
        </w:sectPr>
      </w:pPr>
    </w:p>
    <w:bookmarkStart w:id="493" w:name="page494"/>
    <w:bookmarkEnd w:id="493"/>
    <w:p>
      <w:pPr>
        <w:jc w:val="both"/>
        <w:spacing w:after="0" w:line="246" w:lineRule="auto"/>
        <w:rPr>
          <w:sz w:val="20"/>
          <w:szCs w:val="20"/>
          <w:color w:val="auto"/>
        </w:rPr>
      </w:pPr>
      <w:r>
        <w:rPr>
          <w:rFonts w:ascii="Times New Roman" w:cs="Times New Roman" w:eastAsia="Times New Roman" w:hAnsi="Times New Roman"/>
          <w:sz w:val="17"/>
          <w:szCs w:val="17"/>
          <w:color w:val="auto"/>
        </w:rPr>
        <w:t>copies of all annual, regular, periodic and special reports and registration statements which the Borrower may file or be required to file with the SEC under Section 13 or 15(d) of the Exchange Act, or with any national securities exchange, and in any case not otherwise required to be delivered to the Administrative Agent pursuant hereto;</w:t>
      </w:r>
    </w:p>
    <w:p>
      <w:pPr>
        <w:spacing w:after="0" w:line="145" w:lineRule="exact"/>
        <w:rPr>
          <w:sz w:val="20"/>
          <w:szCs w:val="20"/>
          <w:color w:val="auto"/>
        </w:rPr>
      </w:pPr>
    </w:p>
    <w:p>
      <w:pPr>
        <w:jc w:val="both"/>
        <w:ind w:firstLine="509"/>
        <w:spacing w:after="0" w:line="242" w:lineRule="auto"/>
        <w:tabs>
          <w:tab w:leader="none" w:pos="883"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and in any event within fifteen (15) Business Days after receipt thereof by any Credit Party or any Subsidiary thereof, copies of each notice or other correspondence received from the SEC (or comparable agency in any applicable non-U.S. jurisdiction) concerning any material investigation or possible material investigation or any other material inquiry by such agency regarding any Credit Party or any Subsidiary thereof, excluding any routine exam or industry investigation;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Credit Party shall be required to deliver such notice or other correspondence if prohibited by Applicable Law or the SEC (or comparable agency in any applicable non-U.S. jurisdiction);</w:t>
      </w:r>
    </w:p>
    <w:p>
      <w:pPr>
        <w:spacing w:after="0" w:line="149" w:lineRule="exact"/>
        <w:rPr>
          <w:rFonts w:ascii="Times New Roman" w:cs="Times New Roman" w:eastAsia="Times New Roman" w:hAnsi="Times New Roman"/>
          <w:sz w:val="17"/>
          <w:szCs w:val="17"/>
          <w:color w:val="auto"/>
        </w:rPr>
      </w:pPr>
    </w:p>
    <w:p>
      <w:pPr>
        <w:jc w:val="both"/>
        <w:ind w:firstLine="509"/>
        <w:spacing w:after="0" w:line="252" w:lineRule="auto"/>
        <w:tabs>
          <w:tab w:leader="none" w:pos="865"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the request thereof, such other information and documentation required under applicable “know your customer” rules and regulations, the PATRIOT Act or any applicable Anti-Money Laundering Laws or Anti-Corruption Laws, in each case as from time to time reasonably requested by the Administrative Agent or any Lender; and</w:t>
      </w:r>
    </w:p>
    <w:p>
      <w:pPr>
        <w:spacing w:after="0" w:line="130" w:lineRule="exact"/>
        <w:rPr>
          <w:rFonts w:ascii="Times New Roman" w:cs="Times New Roman" w:eastAsia="Times New Roman" w:hAnsi="Times New Roman"/>
          <w:sz w:val="17"/>
          <w:szCs w:val="17"/>
          <w:color w:val="auto"/>
        </w:rPr>
      </w:pPr>
    </w:p>
    <w:p>
      <w:pPr>
        <w:ind w:firstLine="509"/>
        <w:spacing w:after="0" w:line="259" w:lineRule="auto"/>
        <w:tabs>
          <w:tab w:leader="none" w:pos="1032"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information regarding the operations, business affairs and financial condition of any Credit Party or any Subsidiary thereof as the Administrative Agent or any Lender may reasonably request.</w:t>
      </w:r>
    </w:p>
    <w:p>
      <w:pPr>
        <w:spacing w:after="0" w:line="135"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6"/>
          <w:szCs w:val="16"/>
          <w:color w:val="auto"/>
        </w:rPr>
        <w:t xml:space="preserve">Documents required to be delivered pursuant to </w:t>
      </w:r>
      <w:r>
        <w:rPr>
          <w:rFonts w:ascii="Times New Roman" w:cs="Times New Roman" w:eastAsia="Times New Roman" w:hAnsi="Times New Roman"/>
          <w:sz w:val="16"/>
          <w:szCs w:val="16"/>
          <w:u w:val="single" w:color="auto"/>
          <w:color w:val="auto"/>
        </w:rPr>
        <w:t>Sections 8.1(a)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Sections 8.2(d) or (e)</w:t>
      </w:r>
      <w:r>
        <w:rPr>
          <w:rFonts w:ascii="Times New Roman" w:cs="Times New Roman" w:eastAsia="Times New Roman" w:hAnsi="Times New Roman"/>
          <w:sz w:val="16"/>
          <w:szCs w:val="16"/>
          <w:color w:val="auto"/>
        </w:rPr>
        <w:t xml:space="preserve"> (to the extent any such documents are included in materials otherwise filed with the SEC) may be delivered electronically (including by email) and if so delivered, shall be deemed to have been delivered on the date (a) on which such materials are publicly available as posted on the Electronic Data Gathering, Analysis and Retrieval system (EDGAR) or otherwise publicly available through the SEC; (b) on which the Borrower posts such documents, or provides a link thereto on the Borrower’s website on the Internet; (c) on which such documents are posted on the Borrower’s behalf on an Internet or intranet website, if any, to which each Lender and the Administrative Agent have access (whether a commercial, third-party website or whether sponsored by the Administrative Agent); or (d) on which such documents are emailed to the Administrative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upon written request by the Administrative Agent (or any Lender through the Administrative Agent) to the Borrower, the Borrower shall deliver paper copies of such documents to the Administrative Agent until a written request to cease delivering paper copies is given by the Administrative Agent. Notwithstanding anything contained herein, in every instance the Borrower shall be required to provide copies of the Compliance Certificates required by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to the Administrative Agent in accordance with the procedures set forth in </w:t>
      </w:r>
      <w:r>
        <w:rPr>
          <w:rFonts w:ascii="Times New Roman" w:cs="Times New Roman" w:eastAsia="Times New Roman" w:hAnsi="Times New Roman"/>
          <w:sz w:val="16"/>
          <w:szCs w:val="16"/>
          <w:u w:val="single" w:color="auto"/>
          <w:color w:val="auto"/>
        </w:rPr>
        <w:t>Section 12.1</w:t>
      </w:r>
      <w:r>
        <w:rPr>
          <w:rFonts w:ascii="Times New Roman" w:cs="Times New Roman" w:eastAsia="Times New Roman" w:hAnsi="Times New Roman"/>
          <w:sz w:val="16"/>
          <w:szCs w:val="16"/>
          <w:color w:val="auto"/>
        </w:rPr>
        <w:t>.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35"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The Borrower hereby acknowledges that (a) the Administrative Agent and/or the Arranger will make available to the Lenders and the Issuing Lenders materials and/or information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280"/>
          </w:cols>
          <w:pgMar w:left="300" w:top="1181" w:right="319" w:bottom="1440" w:gutter="0" w:footer="0" w:header="0"/>
        </w:sectPr>
      </w:pPr>
    </w:p>
    <w:bookmarkStart w:id="494" w:name="page495"/>
    <w:bookmarkEnd w:id="494"/>
    <w:p>
      <w:pPr>
        <w:jc w:val="both"/>
        <w:spacing w:after="0" w:line="266" w:lineRule="auto"/>
        <w:rPr>
          <w:sz w:val="20"/>
          <w:szCs w:val="20"/>
          <w:color w:val="auto"/>
        </w:rPr>
      </w:pPr>
      <w:r>
        <w:rPr>
          <w:rFonts w:ascii="Times New Roman" w:cs="Times New Roman" w:eastAsia="Times New Roman" w:hAnsi="Times New Roman"/>
          <w:sz w:val="16"/>
          <w:szCs w:val="16"/>
          <w:color w:val="auto"/>
        </w:rPr>
        <w:t>by or on behalf of the Borrower hereunder (collectively, “</w:t>
      </w:r>
      <w:r>
        <w:rPr>
          <w:rFonts w:ascii="Times New Roman" w:cs="Times New Roman" w:eastAsia="Times New Roman" w:hAnsi="Times New Roman"/>
          <w:sz w:val="16"/>
          <w:szCs w:val="16"/>
          <w:u w:val="single" w:color="auto"/>
          <w:color w:val="auto"/>
        </w:rPr>
        <w:t>Borrower Materials</w:t>
      </w:r>
      <w:r>
        <w:rPr>
          <w:rFonts w:ascii="Times New Roman" w:cs="Times New Roman" w:eastAsia="Times New Roman" w:hAnsi="Times New Roman"/>
          <w:sz w:val="16"/>
          <w:szCs w:val="16"/>
          <w:color w:val="auto"/>
        </w:rPr>
        <w:t>”) by posting the Borrower Materials on the Platform and (b) certain of the Lenders may be “public-side” Lenders (</w:t>
      </w:r>
      <w:r>
        <w:rPr>
          <w:rFonts w:ascii="Times New Roman" w:cs="Times New Roman" w:eastAsia="Times New Roman" w:hAnsi="Times New Roman"/>
          <w:sz w:val="16"/>
          <w:szCs w:val="16"/>
          <w:u w:val="single" w:color="auto"/>
          <w:color w:val="auto"/>
        </w:rPr>
        <w:t>i.e.</w:t>
      </w:r>
      <w:r>
        <w:rPr>
          <w:rFonts w:ascii="Times New Roman" w:cs="Times New Roman" w:eastAsia="Times New Roman" w:hAnsi="Times New Roman"/>
          <w:sz w:val="16"/>
          <w:szCs w:val="16"/>
          <w:color w:val="auto"/>
        </w:rPr>
        <w:t>, Lenders that do not wish to receive material non-public information with respect to the Borrower or its securities) (each, a “</w:t>
      </w:r>
      <w:r>
        <w:rPr>
          <w:rFonts w:ascii="Times New Roman" w:cs="Times New Roman" w:eastAsia="Times New Roman" w:hAnsi="Times New Roman"/>
          <w:sz w:val="16"/>
          <w:szCs w:val="16"/>
          <w:u w:val="single" w:color="auto"/>
          <w:color w:val="auto"/>
        </w:rPr>
        <w:t>Public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Lender</w:t>
      </w:r>
      <w:r>
        <w:rPr>
          <w:rFonts w:ascii="Times New Roman" w:cs="Times New Roman" w:eastAsia="Times New Roman" w:hAnsi="Times New Roman"/>
          <w:sz w:val="16"/>
          <w:szCs w:val="16"/>
          <w:color w:val="auto"/>
        </w:rPr>
        <w:t>”). The Borrower hereby agrees that (w) if requested by the Administrative Agent in writing, the Borrower will identify that portion of the Borrower Materials that may be distributed to the Public Lenders, which shall be clearly and conspicuously marked “PUBLIC” which, at a minimum, means that the word “PUBLIC” shall appear prominently on the first page thereof; (x) by marking Borrower Materials “PUBLIC,” the Borrower shall be deemed to have authorized the Administrative Agent, the Arranger, the Issuing Lenders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to the extent such Borrower Materials constitute Information, they shall be treated as set forth in </w:t>
      </w:r>
      <w:r>
        <w:rPr>
          <w:rFonts w:ascii="Times New Roman" w:cs="Times New Roman" w:eastAsia="Times New Roman" w:hAnsi="Times New Roman"/>
          <w:sz w:val="16"/>
          <w:szCs w:val="16"/>
          <w:u w:val="single" w:color="auto"/>
          <w:color w:val="auto"/>
        </w:rPr>
        <w:t>Section 12.10</w:t>
      </w:r>
      <w:r>
        <w:rPr>
          <w:rFonts w:ascii="Times New Roman" w:cs="Times New Roman" w:eastAsia="Times New Roman" w:hAnsi="Times New Roman"/>
          <w:sz w:val="16"/>
          <w:szCs w:val="16"/>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w:t>
      </w:r>
    </w:p>
    <w:p>
      <w:pPr>
        <w:spacing w:after="0" w:line="147" w:lineRule="exact"/>
        <w:rPr>
          <w:sz w:val="20"/>
          <w:szCs w:val="20"/>
          <w:color w:val="auto"/>
        </w:rPr>
      </w:pPr>
    </w:p>
    <w:p>
      <w:pPr>
        <w:jc w:val="both"/>
        <w:ind w:firstLine="505"/>
        <w:spacing w:after="0" w:line="250" w:lineRule="auto"/>
        <w:rPr>
          <w:sz w:val="20"/>
          <w:szCs w:val="20"/>
          <w:color w:val="auto"/>
        </w:rPr>
      </w:pPr>
      <w:r>
        <w:rPr>
          <w:rFonts w:ascii="Times New Roman" w:cs="Times New Roman" w:eastAsia="Times New Roman" w:hAnsi="Times New Roman"/>
          <w:sz w:val="17"/>
          <w:szCs w:val="17"/>
          <w:color w:val="auto"/>
        </w:rPr>
        <w:t>Each Lender acknowledges that all information, including requests for waivers and amendments, furnished by the Borrower or the Administrative Agent pursuant to or in connection with, or in the course of administering, this Agreement will be syndicate-level information, which may contain non-public information. Each Lender represents to the Borrower and the Administrative Agent that (i) it has developed compliance procedures regarding the use of non-public information and that it will handle non-public information in accordance with such procedures and applicable law, including Federal, state and foreign securities laws, and (ii) it has identified to Administrative Agent a credit contact who may receive information that may contain non-public information in accordance with its compliance procedures and applicable law, including Federal, state and foreign securities laws.</w:t>
      </w:r>
    </w:p>
    <w:p>
      <w:pPr>
        <w:spacing w:after="0" w:line="15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Notice of Litigation and Other Matters</w:t>
      </w:r>
      <w:r>
        <w:rPr>
          <w:rFonts w:ascii="Times New Roman" w:cs="Times New Roman" w:eastAsia="Times New Roman" w:hAnsi="Times New Roman"/>
          <w:sz w:val="17"/>
          <w:szCs w:val="17"/>
          <w:color w:val="auto"/>
        </w:rPr>
        <w:t>. Promptly (but in no event later than ten (10) days after any Responsible Officer of any Credit Party obtains knowledge thereof) notify the Administrative Agent in writing of (which shall promptly make such information available to the Lenders in accordance with its customary practice):</w:t>
      </w:r>
    </w:p>
    <w:p>
      <w:pPr>
        <w:spacing w:after="0" w:line="137" w:lineRule="exact"/>
        <w:rPr>
          <w:sz w:val="20"/>
          <w:szCs w:val="20"/>
          <w:color w:val="auto"/>
        </w:rPr>
      </w:pPr>
    </w:p>
    <w:p>
      <w:pPr>
        <w:ind w:left="860" w:hanging="351"/>
        <w:spacing w:after="0"/>
        <w:tabs>
          <w:tab w:leader="none" w:pos="860"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Default or Event of Default;</w:t>
      </w:r>
    </w:p>
    <w:p>
      <w:pPr>
        <w:spacing w:after="0" w:line="172" w:lineRule="exact"/>
        <w:rPr>
          <w:rFonts w:ascii="Times New Roman" w:cs="Times New Roman" w:eastAsia="Times New Roman" w:hAnsi="Times New Roman"/>
          <w:sz w:val="17"/>
          <w:szCs w:val="17"/>
          <w:color w:val="auto"/>
        </w:rPr>
      </w:pPr>
    </w:p>
    <w:p>
      <w:pPr>
        <w:jc w:val="both"/>
        <w:ind w:firstLine="509"/>
        <w:spacing w:after="0" w:line="258" w:lineRule="auto"/>
        <w:tabs>
          <w:tab w:leader="none" w:pos="882"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result in a Material Adverse Effect or liability exceeding the Threshold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Credit Party will be required to deliver such notice if restricted or prohibited by Applicable Law or any court or arbitrator relating to such action, proceeding or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280"/>
          </w:cols>
          <w:pgMar w:left="300" w:top="1192" w:right="319" w:bottom="1440" w:gutter="0" w:footer="0" w:header="0"/>
        </w:sectPr>
      </w:pPr>
    </w:p>
    <w:bookmarkStart w:id="495" w:name="page496"/>
    <w:bookmarkEnd w:id="495"/>
    <w:p>
      <w:pPr>
        <w:ind w:firstLine="509"/>
        <w:spacing w:after="0" w:line="246" w:lineRule="auto"/>
        <w:tabs>
          <w:tab w:leader="none" w:pos="902"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labor controversy that has resulted in, or threatens to result in, a strike or other work action against any Credit Party or any Subsidiary thereof that could reasonably be expected to result in a Material Adverse Effect;</w:t>
      </w:r>
    </w:p>
    <w:p>
      <w:pPr>
        <w:spacing w:after="0" w:line="135" w:lineRule="exact"/>
        <w:rPr>
          <w:rFonts w:ascii="Times New Roman" w:cs="Times New Roman" w:eastAsia="Times New Roman" w:hAnsi="Times New Roman"/>
          <w:sz w:val="17"/>
          <w:szCs w:val="17"/>
          <w:color w:val="auto"/>
        </w:rPr>
      </w:pPr>
    </w:p>
    <w:p>
      <w:pPr>
        <w:jc w:val="both"/>
        <w:ind w:firstLine="509"/>
        <w:spacing w:after="0" w:line="239" w:lineRule="auto"/>
        <w:tabs>
          <w:tab w:leader="none" w:pos="9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attachment, judgment, lien, levy or order (i) exceeding the Threshold Amount that has been assessed against any Credit Party or any Subsidiary thereof or (ii) is threatened against any Credit Party or any Subsidiary thereof and if adversely determined, would, in the case of this clause (ii), be reasonably expected to result in a Material Adverse Effect;</w:t>
      </w:r>
    </w:p>
    <w:p>
      <w:pPr>
        <w:spacing w:after="0" w:line="141" w:lineRule="exact"/>
        <w:rPr>
          <w:rFonts w:ascii="Times New Roman" w:cs="Times New Roman" w:eastAsia="Times New Roman" w:hAnsi="Times New Roman"/>
          <w:sz w:val="17"/>
          <w:szCs w:val="17"/>
          <w:color w:val="auto"/>
        </w:rPr>
      </w:pPr>
    </w:p>
    <w:p>
      <w:pPr>
        <w:jc w:val="both"/>
        <w:ind w:firstLine="509"/>
        <w:spacing w:after="0" w:line="239" w:lineRule="auto"/>
        <w:tabs>
          <w:tab w:leader="none" w:pos="865"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 which constitutes or which with the passage of time or giving of notice or both would constitute a default or event of default under any Material Contract to which the Borrower or any of its Subsidiaries is a party or by which the Borrower or any of its Subsidiaries or any of their respective properties may be bound, in each case, to the extent reasonably expected to result in a Material Adverse Effect;</w:t>
      </w:r>
    </w:p>
    <w:p>
      <w:pPr>
        <w:spacing w:after="0" w:line="130" w:lineRule="exact"/>
        <w:rPr>
          <w:rFonts w:ascii="Times New Roman" w:cs="Times New Roman" w:eastAsia="Times New Roman" w:hAnsi="Times New Roman"/>
          <w:sz w:val="17"/>
          <w:szCs w:val="17"/>
          <w:color w:val="auto"/>
        </w:rPr>
      </w:pPr>
    </w:p>
    <w:p>
      <w:pPr>
        <w:jc w:val="both"/>
        <w:ind w:firstLine="509"/>
        <w:spacing w:after="0" w:line="233" w:lineRule="auto"/>
        <w:tabs>
          <w:tab w:leader="none" w:pos="886"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the Borrower obtaining knowledge or reason to know that any Credit Party or any ERISA Affiliate has filed or intends to file a notice of intent to terminate any Pension Plan under a distress termination within the meaning of Section 4041(c) of ERISA with anticipated liability exceeding the Threshold Amount; and</w:t>
      </w:r>
    </w:p>
    <w:p>
      <w:pPr>
        <w:spacing w:after="0" w:line="143"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Material Adverse Effect.</w:t>
      </w:r>
    </w:p>
    <w:p>
      <w:pPr>
        <w:spacing w:after="0" w:line="162"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Each notice pursuant to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7"/>
          <w:szCs w:val="17"/>
          <w:u w:val="single" w:color="auto"/>
          <w:color w:val="auto"/>
        </w:rPr>
        <w:t>Section 8.3(a)</w:t>
      </w:r>
      <w:r>
        <w:rPr>
          <w:rFonts w:ascii="Times New Roman" w:cs="Times New Roman" w:eastAsia="Times New Roman" w:hAnsi="Times New Roman"/>
          <w:sz w:val="17"/>
          <w:szCs w:val="17"/>
          <w:color w:val="auto"/>
        </w:rPr>
        <w:t xml:space="preserve"> shall describe with particularity any and all provisions of this Agreement and any other Loan Document that have been breached.</w:t>
      </w:r>
    </w:p>
    <w:p>
      <w:pPr>
        <w:spacing w:after="0" w:line="131"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Preservation of Corporate Existence and Related Matters</w:t>
      </w:r>
      <w:r>
        <w:rPr>
          <w:rFonts w:ascii="Times New Roman" w:cs="Times New Roman" w:eastAsia="Times New Roman" w:hAnsi="Times New Roman"/>
          <w:sz w:val="17"/>
          <w:szCs w:val="17"/>
          <w:color w:val="auto"/>
        </w:rPr>
        <w:t xml:space="preserve">. Except as permitted by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preserve and maintain its separate corporate existence or equivalent form and all rights, franchises, licenses and privileges necessary to the conduct of its business, and qualify and remain qualified as a foreign corporation or other entity and authorized to do business in each jurisdiction in which the failure to so qualify could reasonably be expected, individually or in the aggregate, to have a Material Adverse Effect.</w:t>
      </w:r>
    </w:p>
    <w:p>
      <w:pPr>
        <w:spacing w:after="0" w:line="142"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7"/>
          <w:szCs w:val="17"/>
          <w:color w:val="auto"/>
        </w:rPr>
        <w:t>Section 8.5</w:t>
      </w:r>
      <w:r>
        <w:rPr>
          <w:sz w:val="20"/>
          <w:szCs w:val="20"/>
          <w:color w:val="auto"/>
        </w:rPr>
        <w:tab/>
      </w:r>
      <w:r>
        <w:rPr>
          <w:rFonts w:ascii="Times New Roman" w:cs="Times New Roman" w:eastAsia="Times New Roman" w:hAnsi="Times New Roman"/>
          <w:sz w:val="16"/>
          <w:szCs w:val="16"/>
          <w:u w:val="single" w:color="auto"/>
          <w:color w:val="auto"/>
        </w:rPr>
        <w:t>Maintenance of Property and Licenses.</w:t>
      </w:r>
    </w:p>
    <w:p>
      <w:pPr>
        <w:spacing w:after="0" w:line="151" w:lineRule="exact"/>
        <w:rPr>
          <w:sz w:val="20"/>
          <w:szCs w:val="20"/>
          <w:color w:val="auto"/>
        </w:rPr>
      </w:pPr>
    </w:p>
    <w:p>
      <w:pPr>
        <w:jc w:val="both"/>
        <w:ind w:firstLine="509"/>
        <w:spacing w:after="0" w:line="246" w:lineRule="auto"/>
        <w:tabs>
          <w:tab w:leader="none" w:pos="889"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requirements of any of the Security Documents, protect and preserve all Properties necessary in and material to its business, including software,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1280"/>
          </w:cols>
          <w:pgMar w:left="300" w:top="1180" w:right="319" w:bottom="1440" w:gutter="0" w:footer="0" w:header="0"/>
        </w:sectPr>
      </w:pPr>
    </w:p>
    <w:bookmarkStart w:id="496" w:name="page497"/>
    <w:bookmarkEnd w:id="496"/>
    <w:p>
      <w:pPr>
        <w:spacing w:after="0" w:line="246" w:lineRule="auto"/>
        <w:rPr>
          <w:sz w:val="20"/>
          <w:szCs w:val="20"/>
          <w:color w:val="auto"/>
        </w:rPr>
      </w:pPr>
      <w:r>
        <w:rPr>
          <w:rFonts w:ascii="Times New Roman" w:cs="Times New Roman" w:eastAsia="Times New Roman" w:hAnsi="Times New Roman"/>
          <w:sz w:val="17"/>
          <w:szCs w:val="17"/>
          <w:color w:val="auto"/>
        </w:rPr>
        <w:t>thereof and additions to such Property necessary for the conduct of its business, so that the business carried on in connection therewith may be conducted in a commercially reasonable manner; in each case, other than as could not reasonably be expected to result in a Material Adverse Effect.</w:t>
      </w:r>
    </w:p>
    <w:p>
      <w:pPr>
        <w:spacing w:after="0" w:line="135" w:lineRule="exact"/>
        <w:rPr>
          <w:sz w:val="20"/>
          <w:szCs w:val="20"/>
          <w:color w:val="auto"/>
        </w:rPr>
      </w:pPr>
    </w:p>
    <w:p>
      <w:pPr>
        <w:jc w:val="both"/>
        <w:ind w:firstLine="509"/>
        <w:spacing w:after="0" w:line="239" w:lineRule="auto"/>
        <w:tabs>
          <w:tab w:leader="none" w:pos="889"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in full force and effect in all material respects, each and every material license, permit, certification, qualification, approval or franchise issued by any Governmental Authority required for each of them to conduct their respective businesses as presently conducted (including under the Advisers Act), in each case, other than as could not reasonably be expected to result in a Material Adverse Effect.</w:t>
      </w:r>
    </w:p>
    <w:p>
      <w:pPr>
        <w:spacing w:after="0" w:line="141" w:lineRule="exact"/>
        <w:rPr>
          <w:sz w:val="20"/>
          <w:szCs w:val="20"/>
          <w:color w:val="auto"/>
        </w:rPr>
      </w:pPr>
    </w:p>
    <w:p>
      <w:pPr>
        <w:jc w:val="both"/>
        <w:ind w:firstLine="505"/>
        <w:spacing w:after="0" w:line="251" w:lineRule="auto"/>
        <w:rPr>
          <w:sz w:val="20"/>
          <w:szCs w:val="20"/>
          <w:color w:val="auto"/>
        </w:rPr>
      </w:pPr>
      <w:r>
        <w:rPr>
          <w:rFonts w:ascii="Times New Roman" w:cs="Times New Roman" w:eastAsia="Times New Roman" w:hAnsi="Times New Roman"/>
          <w:sz w:val="16"/>
          <w:szCs w:val="16"/>
          <w:color w:val="auto"/>
        </w:rPr>
        <w:t xml:space="preserve">Section 8.6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Maintain insurance with financially sound and reputable insurance companies against at least such risks and in at least such amounts as are customarily maintained by similar businesses and as may be required by Applicable Law and as are required by any Security Documents. All such insurance shall,</w:t>
      </w:r>
    </w:p>
    <w:p>
      <w:pPr>
        <w:spacing w:after="0" w:line="1" w:lineRule="exact"/>
        <w:rPr>
          <w:sz w:val="20"/>
          <w:szCs w:val="20"/>
          <w:color w:val="auto"/>
        </w:rPr>
      </w:pPr>
    </w:p>
    <w:p>
      <w:pPr>
        <w:jc w:val="both"/>
        <w:ind w:firstLine="4"/>
        <w:spacing w:after="0" w:line="230" w:lineRule="auto"/>
        <w:tabs>
          <w:tab w:leader="none" w:pos="242"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no cancellation or material modification thereof shall be effective until at least thirty (30) days after receipt by the Administrative Agent of written notice thereof (except as a result of non-payment of premium in which case only 10 days’ prior written notice shall be required), (b) in the case of liability insurance, name the Administrative Agent as an additional insured party thereunder and (c) in the case of each property insurance policy, name the Administrative Agent as lender’s loss payee or mortgagee, as applicable. From time to time promptly deliver to the Administrative Agent upon its request information in reasonable detail as to the insurance policies then in effect, stating the names of the insurance companies, the amounts and rates of the insurance, the dates of the expiration thereof and the properties and risks covered thereby.</w:t>
      </w:r>
    </w:p>
    <w:p>
      <w:pPr>
        <w:spacing w:after="0" w:line="130"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 xml:space="preserve">Section 8.7 </w:t>
      </w:r>
      <w:r>
        <w:rPr>
          <w:rFonts w:ascii="Times New Roman" w:cs="Times New Roman" w:eastAsia="Times New Roman" w:hAnsi="Times New Roman"/>
          <w:sz w:val="17"/>
          <w:szCs w:val="17"/>
          <w:u w:val="single" w:color="auto"/>
          <w:color w:val="auto"/>
        </w:rPr>
        <w:t>Accounting Methods and Financial Records</w:t>
      </w:r>
      <w:r>
        <w:rPr>
          <w:rFonts w:ascii="Times New Roman" w:cs="Times New Roman" w:eastAsia="Times New Roman" w:hAnsi="Times New Roman"/>
          <w:sz w:val="17"/>
          <w:szCs w:val="17"/>
          <w:color w:val="auto"/>
        </w:rPr>
        <w:t>. Maintain a system of accounting, and keep proper books, records and accounts (which shall be accurate and complete in all material respects) as may be required or as may be necessary to permit the preparation of financial statements in accordance in all material respects with GAAP and in compliance with the regulations of any Governmental Authority having jurisdiction over it or any of its Properties.</w:t>
      </w:r>
    </w:p>
    <w:p>
      <w:pPr>
        <w:spacing w:after="0" w:line="124"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Section 8.8 </w:t>
      </w:r>
      <w:r>
        <w:rPr>
          <w:rFonts w:ascii="Times New Roman" w:cs="Times New Roman" w:eastAsia="Times New Roman" w:hAnsi="Times New Roman"/>
          <w:sz w:val="17"/>
          <w:szCs w:val="17"/>
          <w:u w:val="single" w:color="auto"/>
          <w:color w:val="auto"/>
        </w:rPr>
        <w:t>Payment of Taxes and Other Obligations</w:t>
      </w:r>
      <w:r>
        <w:rPr>
          <w:rFonts w:ascii="Times New Roman" w:cs="Times New Roman" w:eastAsia="Times New Roman" w:hAnsi="Times New Roman"/>
          <w:sz w:val="17"/>
          <w:szCs w:val="17"/>
          <w:color w:val="auto"/>
        </w:rPr>
        <w:t>. Pay and perform (a) all taxes, assessments and other governmental charges that may be levied or assessed upon it or any of its Property, except those that are being contested in good faith by appropriate proceedings and with respect to which adequate reserves have been set aside and (b) all other Indebtedness, obligations and liabilities in accordance with customary trade practices.</w:t>
      </w:r>
    </w:p>
    <w:p>
      <w:pPr>
        <w:spacing w:after="0" w:line="141"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Section 8.9 </w:t>
      </w:r>
      <w:r>
        <w:rPr>
          <w:rFonts w:ascii="Times New Roman" w:cs="Times New Roman" w:eastAsia="Times New Roman" w:hAnsi="Times New Roman"/>
          <w:sz w:val="17"/>
          <w:szCs w:val="17"/>
          <w:u w:val="single" w:color="auto"/>
          <w:color w:val="auto"/>
        </w:rPr>
        <w:t>Compliance with Laws and Approvals</w:t>
      </w:r>
      <w:r>
        <w:rPr>
          <w:rFonts w:ascii="Times New Roman" w:cs="Times New Roman" w:eastAsia="Times New Roman" w:hAnsi="Times New Roman"/>
          <w:sz w:val="17"/>
          <w:szCs w:val="17"/>
          <w:color w:val="auto"/>
        </w:rPr>
        <w:t>. Observe and remain in compliance with all Applicable Laws and maintain in full force and effect all Governmental Approvals, in each case applicable to the conduct of its business (including under the Advisers Act), in each case, except where the failure to do so could not reasonably be expected to have a Material Adverse Effect.</w:t>
      </w:r>
    </w:p>
    <w:p>
      <w:pPr>
        <w:spacing w:after="0" w:line="141"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8.10</w:t>
      </w:r>
      <w:r>
        <w:rPr>
          <w:sz w:val="20"/>
          <w:szCs w:val="20"/>
          <w:color w:val="auto"/>
        </w:rPr>
        <w:tab/>
      </w:r>
      <w:r>
        <w:rPr>
          <w:rFonts w:ascii="Times New Roman" w:cs="Times New Roman" w:eastAsia="Times New Roman" w:hAnsi="Times New Roman"/>
          <w:sz w:val="16"/>
          <w:szCs w:val="16"/>
          <w:u w:val="single" w:color="auto"/>
          <w:color w:val="auto"/>
        </w:rPr>
        <w:t>[Reserved].</w:t>
      </w:r>
    </w:p>
    <w:p>
      <w:pPr>
        <w:spacing w:after="0" w:line="151"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8.11 </w:t>
      </w:r>
      <w:r>
        <w:rPr>
          <w:rFonts w:ascii="Times New Roman" w:cs="Times New Roman" w:eastAsia="Times New Roman" w:hAnsi="Times New Roman"/>
          <w:sz w:val="17"/>
          <w:szCs w:val="17"/>
          <w:u w:val="single" w:color="auto"/>
          <w:color w:val="auto"/>
        </w:rPr>
        <w:t>Compliance with ERISA</w:t>
      </w:r>
      <w:r>
        <w:rPr>
          <w:rFonts w:ascii="Times New Roman" w:cs="Times New Roman" w:eastAsia="Times New Roman" w:hAnsi="Times New Roman"/>
          <w:sz w:val="17"/>
          <w:szCs w:val="17"/>
          <w:color w:val="auto"/>
        </w:rPr>
        <w:t xml:space="preserve">. In addition to and without limiting the generality of </w:t>
      </w:r>
      <w:r>
        <w:rPr>
          <w:rFonts w:ascii="Times New Roman" w:cs="Times New Roman" w:eastAsia="Times New Roman" w:hAnsi="Times New Roman"/>
          <w:sz w:val="17"/>
          <w:szCs w:val="17"/>
          <w:u w:val="single" w:color="auto"/>
          <w:color w:val="auto"/>
        </w:rPr>
        <w:t>Section 8.9</w:t>
      </w:r>
      <w:r>
        <w:rPr>
          <w:rFonts w:ascii="Times New Roman" w:cs="Times New Roman" w:eastAsia="Times New Roman" w:hAnsi="Times New Roman"/>
          <w:sz w:val="17"/>
          <w:szCs w:val="17"/>
          <w:color w:val="auto"/>
        </w:rPr>
        <w:t>, (a) except where the failure to so comply could not, individually or in the aggregate, reasonably be expected to have a Material Adverse Effect, (i) comply with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1280"/>
          </w:cols>
          <w:pgMar w:left="300" w:top="1181" w:right="319" w:bottom="1440" w:gutter="0" w:footer="0" w:header="0"/>
        </w:sectPr>
      </w:pPr>
    </w:p>
    <w:bookmarkStart w:id="497" w:name="page498"/>
    <w:bookmarkEnd w:id="497"/>
    <w:p>
      <w:pPr>
        <w:jc w:val="both"/>
        <w:spacing w:after="0" w:line="242" w:lineRule="auto"/>
        <w:rPr>
          <w:sz w:val="20"/>
          <w:szCs w:val="20"/>
          <w:color w:val="auto"/>
        </w:rPr>
      </w:pPr>
      <w:r>
        <w:rPr>
          <w:rFonts w:ascii="Times New Roman" w:cs="Times New Roman" w:eastAsia="Times New Roman" w:hAnsi="Times New Roman"/>
          <w:sz w:val="17"/>
          <w:szCs w:val="17"/>
          <w:color w:val="auto"/>
        </w:rPr>
        <w:t>of ERISA, the Code and the regulations and published interpretations thereunder with respect to all Employee Benefit Plans, (ii) not take any action or fail to take action the result of which could reasonably be expected to result in a liability to the PBGC or to a Multiemployer Plan, (iii) not participate in any prohibited transaction that could result in any civil penalty under ERISA or tax under the Code and (iv) operate each Employee Benefit Plan in such a manner that will not incur any tax liability under Section 4980B of the Code or any liability to any qualified beneficiary as defined in Section 4980B of the Code and (b) furnish to the Administrative Agent upon the Administrative Agent’s request such additional information about any Employee Benefit Plan as may be reasonably requested by the Administrative Agent.</w:t>
      </w:r>
    </w:p>
    <w:p>
      <w:pPr>
        <w:spacing w:after="0" w:line="142"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8.12 </w:t>
      </w:r>
      <w:r>
        <w:rPr>
          <w:rFonts w:ascii="Times New Roman" w:cs="Times New Roman" w:eastAsia="Times New Roman" w:hAnsi="Times New Roman"/>
          <w:sz w:val="17"/>
          <w:szCs w:val="17"/>
          <w:u w:val="single" w:color="auto"/>
          <w:color w:val="auto"/>
        </w:rPr>
        <w:t>Compliance with Material Contracts</w:t>
      </w:r>
      <w:r>
        <w:rPr>
          <w:rFonts w:ascii="Times New Roman" w:cs="Times New Roman" w:eastAsia="Times New Roman" w:hAnsi="Times New Roman"/>
          <w:sz w:val="17"/>
          <w:szCs w:val="17"/>
          <w:color w:val="auto"/>
        </w:rPr>
        <w:t>. Comply in all respects with, and maintain in full force and effect, each Material Contract, in each case, except as would not result in a Material Adverse Effect.</w:t>
      </w:r>
    </w:p>
    <w:p>
      <w:pPr>
        <w:spacing w:after="0" w:line="135"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 xml:space="preserve">Section 8.13 </w:t>
      </w:r>
      <w:r>
        <w:rPr>
          <w:rFonts w:ascii="Times New Roman" w:cs="Times New Roman" w:eastAsia="Times New Roman" w:hAnsi="Times New Roman"/>
          <w:sz w:val="17"/>
          <w:szCs w:val="17"/>
          <w:u w:val="single" w:color="auto"/>
          <w:color w:val="auto"/>
        </w:rPr>
        <w:t>Visits and Inspections</w:t>
      </w:r>
      <w:r>
        <w:rPr>
          <w:rFonts w:ascii="Times New Roman" w:cs="Times New Roman" w:eastAsia="Times New Roman" w:hAnsi="Times New Roman"/>
          <w:sz w:val="17"/>
          <w:szCs w:val="17"/>
          <w:color w:val="auto"/>
        </w:rPr>
        <w:t xml:space="preserve">. Permit representatives of the Administrative Agent or any Lender, from time to time upon prior reasonable notice and at such times during normal business hours, all at the expense of the Borrower,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Event of Default has occurred and is continuing, the Administrative Agent shall not exercise any of the rights pursuant to this </w:t>
      </w:r>
      <w:r>
        <w:rPr>
          <w:rFonts w:ascii="Times New Roman" w:cs="Times New Roman" w:eastAsia="Times New Roman" w:hAnsi="Times New Roman"/>
          <w:sz w:val="17"/>
          <w:szCs w:val="17"/>
          <w:u w:val="single" w:color="auto"/>
          <w:color w:val="auto"/>
        </w:rPr>
        <w:t>Section 8.13</w:t>
      </w:r>
      <w:r>
        <w:rPr>
          <w:rFonts w:ascii="Times New Roman" w:cs="Times New Roman" w:eastAsia="Times New Roman" w:hAnsi="Times New Roman"/>
          <w:sz w:val="17"/>
          <w:szCs w:val="17"/>
          <w:color w:val="auto"/>
        </w:rPr>
        <w:t xml:space="preserve"> more frequently than once per fiscal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upon the occurrence and during the continuance of an Event of Default, the Administrative Agent or any Lender may do any of the foregoing at the expense of the Borrower at any time without advance notice.</w:t>
      </w:r>
    </w:p>
    <w:p>
      <w:pPr>
        <w:spacing w:after="0" w:line="150"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8.14</w:t>
      </w:r>
      <w:r>
        <w:rPr>
          <w:sz w:val="20"/>
          <w:szCs w:val="20"/>
          <w:color w:val="auto"/>
        </w:rPr>
        <w:tab/>
      </w:r>
      <w:r>
        <w:rPr>
          <w:rFonts w:ascii="Times New Roman" w:cs="Times New Roman" w:eastAsia="Times New Roman" w:hAnsi="Times New Roman"/>
          <w:sz w:val="16"/>
          <w:szCs w:val="16"/>
          <w:u w:val="single" w:color="auto"/>
          <w:color w:val="auto"/>
        </w:rPr>
        <w:t>Additional Guarantors and Collateral</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09"/>
        <w:spacing w:after="0" w:line="256" w:lineRule="auto"/>
        <w:tabs>
          <w:tab w:leader="none" w:pos="923"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Guarantors</w:t>
      </w:r>
      <w:r>
        <w:rPr>
          <w:rFonts w:ascii="Times New Roman" w:cs="Times New Roman" w:eastAsia="Times New Roman" w:hAnsi="Times New Roman"/>
          <w:sz w:val="16"/>
          <w:szCs w:val="16"/>
          <w:color w:val="auto"/>
        </w:rPr>
        <w:t xml:space="preserve">. Promptly notify the Administrative Agent of (i) the creation or acquisition (including by division) of a Person that becomes a Domestic Subsidiary (other than an Excluded Subsidiary) and (ii) any Domestic Subsidiary that is an Excluded Subsidiary failing to constitute an Excluded Subsidiary and, within thirty (30) days after such event, as such time period may be extended by the Administrative Agent in its sole discretion, cause such Domestic Subsidiary to (A) become a Guarantor by delivering to the Administrative Agent a duly executed Joinder Agreement or such other document as the Administrative Agent shall deem appropriate for such purpose, (B) grant a security interest in all Collateral (subject to the exceptions specified in the Collateral Agreement) owned by such Subsidiary by delivering to the Administrative Agent a duly executed Joinder Agreement and a supplement to each applicable Security Document or such other document as the Administrative Agent shall deem appropriate for such purpose and comply with the terms of each applicable Security Document, (C) deliver to the Administrative Agent such opinions, documents and certificates of the type referred to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as may be reasonably requested by the Administrative Agent, (D) if such Equity Interests are certificated, deliver to the Administrative Agent such original certificated Equity Interests or other certificates and stock or other transfer powers evidencing the Equity Interests of such Person, (E) deliver to the Administrative Agent such updated Schedules to the Security Documents as requested by the Administrative Agent with respect to such Subsidiary, and (F) deliver to the Administrative Agent such other documents as may be reasonably requested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280"/>
          </w:cols>
          <w:pgMar w:left="300" w:top="1180" w:right="31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7"/>
          <w:szCs w:val="17"/>
          <w:color w:val="auto"/>
        </w:rPr>
        <w:t>the Administrative Agent, all in form, content and scope reasonably satisfactory to the Administrative Agent.</w:t>
      </w:r>
    </w:p>
    <w:p>
      <w:pPr>
        <w:spacing w:after="0" w:line="151" w:lineRule="exact"/>
        <w:rPr>
          <w:sz w:val="20"/>
          <w:szCs w:val="20"/>
          <w:color w:val="auto"/>
        </w:rPr>
      </w:pPr>
    </w:p>
    <w:p>
      <w:pPr>
        <w:ind w:left="880" w:hanging="371"/>
        <w:spacing w:after="0"/>
        <w:tabs>
          <w:tab w:leader="none" w:pos="880" w:val="left"/>
        </w:tabs>
        <w:numPr>
          <w:ilvl w:val="0"/>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Collateral</w:t>
      </w:r>
      <w:r>
        <w:rPr>
          <w:rFonts w:ascii="Times New Roman" w:cs="Times New Roman" w:eastAsia="Times New Roman" w:hAnsi="Times New Roman"/>
          <w:sz w:val="17"/>
          <w:szCs w:val="17"/>
          <w:color w:val="auto"/>
        </w:rPr>
        <w:t>. Comply with the requirements set forth in the Security Documents with respect to any Property constituting Collateral thereunder.</w:t>
      </w:r>
    </w:p>
    <w:p>
      <w:pPr>
        <w:spacing w:after="0" w:line="162" w:lineRule="exact"/>
        <w:rPr>
          <w:sz w:val="20"/>
          <w:szCs w:val="20"/>
          <w:color w:val="auto"/>
        </w:rPr>
      </w:pPr>
    </w:p>
    <w:p>
      <w:pPr>
        <w:jc w:val="both"/>
        <w:ind w:firstLine="505"/>
        <w:spacing w:after="0" w:line="233" w:lineRule="auto"/>
        <w:rPr>
          <w:sz w:val="20"/>
          <w:szCs w:val="20"/>
          <w:color w:val="auto"/>
        </w:rPr>
      </w:pPr>
      <w:r>
        <w:rPr>
          <w:rFonts w:ascii="Times New Roman" w:cs="Times New Roman" w:eastAsia="Times New Roman" w:hAnsi="Times New Roman"/>
          <w:sz w:val="17"/>
          <w:szCs w:val="17"/>
          <w:color w:val="auto"/>
        </w:rPr>
        <w:t xml:space="preserve">Section 8.15 </w:t>
      </w:r>
      <w:r>
        <w:rPr>
          <w:rFonts w:ascii="Times New Roman" w:cs="Times New Roman" w:eastAsia="Times New Roman" w:hAnsi="Times New Roman"/>
          <w:sz w:val="17"/>
          <w:szCs w:val="17"/>
          <w:u w:val="single" w:color="auto"/>
          <w:color w:val="auto"/>
        </w:rPr>
        <w:t>Depository Bank</w:t>
      </w:r>
      <w:r>
        <w:rPr>
          <w:rFonts w:ascii="Times New Roman" w:cs="Times New Roman" w:eastAsia="Times New Roman" w:hAnsi="Times New Roman"/>
          <w:sz w:val="17"/>
          <w:szCs w:val="17"/>
          <w:color w:val="auto"/>
        </w:rPr>
        <w:t xml:space="preserve">. The Credit Parties and their Subsidiaries (other than any Excluded Subsidiaries) shall, on an aggregate basis, maintain at least seventy-five percent (75%) of the Credit Parties’ and their Subsidiaries’ (other than any Excluded Subsidiaries) cash and Cash Equivalents with the Administrative Agent or one or more of its Affiliates. For the avoidance of doubt, purposes of this </w:t>
      </w:r>
      <w:r>
        <w:rPr>
          <w:rFonts w:ascii="Times New Roman" w:cs="Times New Roman" w:eastAsia="Times New Roman" w:hAnsi="Times New Roman"/>
          <w:sz w:val="17"/>
          <w:szCs w:val="17"/>
          <w:u w:val="single" w:color="auto"/>
          <w:color w:val="auto"/>
        </w:rPr>
        <w:t>Section 8.15</w:t>
      </w:r>
      <w:r>
        <w:rPr>
          <w:rFonts w:ascii="Times New Roman" w:cs="Times New Roman" w:eastAsia="Times New Roman" w:hAnsi="Times New Roman"/>
          <w:sz w:val="17"/>
          <w:szCs w:val="17"/>
          <w:color w:val="auto"/>
        </w:rPr>
        <w:t xml:space="preserve">, the term “cash and Cash Equivalents” shall be limited to unrestricted operational cash and Cash Equivalents as set forth on the Credit Parties and their Subsidiaries financial statements delivered pursuant to </w:t>
      </w:r>
      <w:r>
        <w:rPr>
          <w:rFonts w:ascii="Times New Roman" w:cs="Times New Roman" w:eastAsia="Times New Roman" w:hAnsi="Times New Roman"/>
          <w:sz w:val="17"/>
          <w:szCs w:val="17"/>
          <w:u w:val="single" w:color="auto"/>
          <w:color w:val="auto"/>
        </w:rPr>
        <w:t>Sections 8.1(a)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shall exclude any cash or Cash Equivalents maintained by any Excluded Subsidiary. This </w:t>
      </w:r>
      <w:r>
        <w:rPr>
          <w:rFonts w:ascii="Times New Roman" w:cs="Times New Roman" w:eastAsia="Times New Roman" w:hAnsi="Times New Roman"/>
          <w:sz w:val="17"/>
          <w:szCs w:val="17"/>
          <w:u w:val="single" w:color="auto"/>
          <w:color w:val="auto"/>
        </w:rPr>
        <w:t>Section 8.15</w:t>
      </w:r>
      <w:r>
        <w:rPr>
          <w:rFonts w:ascii="Times New Roman" w:cs="Times New Roman" w:eastAsia="Times New Roman" w:hAnsi="Times New Roman"/>
          <w:sz w:val="17"/>
          <w:szCs w:val="17"/>
          <w:color w:val="auto"/>
        </w:rPr>
        <w:t xml:space="preserve"> shall be tested as of the last day of each fiscal quarter based on the Credit Party’s and their Subsidiaries (other than any Exclude Subsidiaries) average account balances during such fiscal quarter.</w:t>
      </w:r>
    </w:p>
    <w:p>
      <w:pPr>
        <w:spacing w:after="0" w:line="133"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8.16</w:t>
      </w:r>
      <w:r>
        <w:rPr>
          <w:sz w:val="20"/>
          <w:szCs w:val="20"/>
          <w:color w:val="auto"/>
        </w:rPr>
        <w:tab/>
      </w:r>
      <w:r>
        <w:rPr>
          <w:rFonts w:ascii="Times New Roman" w:cs="Times New Roman" w:eastAsia="Times New Roman" w:hAnsi="Times New Roman"/>
          <w:sz w:val="16"/>
          <w:szCs w:val="16"/>
          <w:u w:val="single" w:color="auto"/>
          <w:color w:val="auto"/>
        </w:rPr>
        <w:t>Use of Proceeds.</w:t>
      </w:r>
    </w:p>
    <w:p>
      <w:pPr>
        <w:spacing w:after="0" w:line="162" w:lineRule="exact"/>
        <w:rPr>
          <w:sz w:val="20"/>
          <w:szCs w:val="20"/>
          <w:color w:val="auto"/>
        </w:rPr>
      </w:pPr>
    </w:p>
    <w:p>
      <w:pPr>
        <w:jc w:val="both"/>
        <w:ind w:firstLine="509"/>
        <w:spacing w:after="0" w:line="233" w:lineRule="auto"/>
        <w:tabs>
          <w:tab w:leader="none" w:pos="968" w:val="left"/>
        </w:tabs>
        <w:numPr>
          <w:ilvl w:val="1"/>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Use the proceeds of the Extensions of Credit (i) to finance Capital Expenditures, (ii) pay fees, commissions and expenses in connection with the Transactions, and (iii) for working capital and general corporate purposes of the Borrower and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part of the proceeds of any of the Loans or Letters of Credit shall be used for purchasing or carrying margin stock (within the meaning of Regulation T, U or X of the FRB) or for any purpose or in any manner which violates Applicable Law, any other provision of this Agreement or the provisions of Regulation T, U or X of the FRB. If requested by the Administrative Agent or any Lender (through the Administrative Agent), the Borrower shall promptly furnish to the Administrative Agent and each requesting Lender a statement in conformity with the requirements of Form G-3 or Form U-1, as applicable, under Regulation U of the FRB.</w:t>
      </w:r>
    </w:p>
    <w:p>
      <w:pPr>
        <w:spacing w:after="0" w:line="143" w:lineRule="exact"/>
        <w:rPr>
          <w:rFonts w:ascii="Times New Roman" w:cs="Times New Roman" w:eastAsia="Times New Roman" w:hAnsi="Times New Roman"/>
          <w:sz w:val="17"/>
          <w:szCs w:val="17"/>
          <w:color w:val="auto"/>
        </w:rPr>
      </w:pPr>
    </w:p>
    <w:p>
      <w:pPr>
        <w:jc w:val="both"/>
        <w:ind w:firstLine="509"/>
        <w:spacing w:after="0" w:line="245" w:lineRule="auto"/>
        <w:tabs>
          <w:tab w:leader="none" w:pos="913" w:val="left"/>
        </w:tabs>
        <w:numPr>
          <w:ilvl w:val="1"/>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request any Extension of Credit, and the Borrower shall not use, and shall ensure that its Subsidiaries and its or their respective directors, officers, employees and agents shall not use, the proceeds of any Extension of Credit, directly or indirectly, (i) in furtherance of an offer, payment, promise to pay, or authorization of the payment or giving of money, or anything else of value, to any Person in violation of any Anti-Corruption Laws or Anti-Money Laundering Laws,</w:t>
      </w:r>
    </w:p>
    <w:p>
      <w:pPr>
        <w:spacing w:after="0" w:line="1" w:lineRule="exact"/>
        <w:rPr>
          <w:rFonts w:ascii="Times New Roman" w:cs="Times New Roman" w:eastAsia="Times New Roman" w:hAnsi="Times New Roman"/>
          <w:sz w:val="16"/>
          <w:szCs w:val="16"/>
          <w:color w:val="auto"/>
        </w:rPr>
      </w:pPr>
    </w:p>
    <w:p>
      <w:pPr>
        <w:ind w:left="260" w:hanging="256"/>
        <w:spacing w:after="0"/>
        <w:tabs>
          <w:tab w:leader="none" w:pos="2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funding, financing or facilitating any activities, business or transaction of or with any Sanctioned Person, or in any Sanctioned Country, or (iii)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manner that would result in the violation of any Sanctions applicable to any party hereto.</w:t>
      </w:r>
    </w:p>
    <w:p>
      <w:pPr>
        <w:spacing w:after="0" w:line="144" w:lineRule="exact"/>
        <w:rPr>
          <w:sz w:val="20"/>
          <w:szCs w:val="20"/>
          <w:color w:val="auto"/>
        </w:rPr>
      </w:pPr>
    </w:p>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 xml:space="preserve">Section 8.17 </w:t>
      </w:r>
      <w:r>
        <w:rPr>
          <w:rFonts w:ascii="Times New Roman" w:cs="Times New Roman" w:eastAsia="Times New Roman" w:hAnsi="Times New Roman"/>
          <w:sz w:val="17"/>
          <w:szCs w:val="17"/>
          <w:u w:val="single" w:color="auto"/>
          <w:color w:val="auto"/>
        </w:rPr>
        <w:t>Compliance with Anti-Corruption Laws; Beneficial Ownership Regulation, Anti-Money Laundering Laws and Sanctions</w:t>
      </w:r>
      <w:r>
        <w:rPr>
          <w:rFonts w:ascii="Times New Roman" w:cs="Times New Roman" w:eastAsia="Times New Roman" w:hAnsi="Times New Roman"/>
          <w:sz w:val="17"/>
          <w:szCs w:val="17"/>
          <w:color w:val="auto"/>
        </w:rPr>
        <w:t>. (a) Maintain in effect and enforce policies and procedures designed to ensure compliance by the Borrower, its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(or, if applicable, the Borrower ceasing to fall within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280"/>
          </w:cols>
          <w:pgMar w:left="300" w:top="1180" w:right="319" w:bottom="1440" w:gutter="0" w:footer="0" w:header="0"/>
        </w:sectPr>
      </w:pPr>
    </w:p>
    <w:bookmarkStart w:id="499" w:name="page500"/>
    <w:bookmarkEnd w:id="499"/>
    <w:p>
      <w:pPr>
        <w:jc w:val="both"/>
        <w:spacing w:after="0" w:line="258" w:lineRule="auto"/>
        <w:rPr>
          <w:sz w:val="20"/>
          <w:szCs w:val="20"/>
          <w:color w:val="auto"/>
        </w:rPr>
      </w:pPr>
      <w:r>
        <w:rPr>
          <w:rFonts w:ascii="Times New Roman" w:cs="Times New Roman" w:eastAsia="Times New Roman" w:hAnsi="Times New Roman"/>
          <w:sz w:val="17"/>
          <w:szCs w:val="17"/>
          <w:color w:val="auto"/>
        </w:rPr>
        <w:t>express exclusion to the definition of “legal entity customer” under the Beneficial Ownership Regulation) and (c)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137" w:lineRule="exact"/>
        <w:rPr>
          <w:sz w:val="20"/>
          <w:szCs w:val="20"/>
          <w:color w:val="auto"/>
        </w:rPr>
      </w:pPr>
    </w:p>
    <w:p>
      <w:pPr>
        <w:jc w:val="both"/>
        <w:ind w:firstLine="505"/>
        <w:spacing w:after="0" w:line="253" w:lineRule="auto"/>
        <w:rPr>
          <w:sz w:val="20"/>
          <w:szCs w:val="20"/>
          <w:color w:val="auto"/>
        </w:rPr>
      </w:pPr>
      <w:r>
        <w:rPr>
          <w:rFonts w:ascii="Times New Roman" w:cs="Times New Roman" w:eastAsia="Times New Roman" w:hAnsi="Times New Roman"/>
          <w:sz w:val="17"/>
          <w:szCs w:val="17"/>
          <w:color w:val="auto"/>
        </w:rPr>
        <w:t xml:space="preserve">Section 8.18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Borrower. The Borrower also agrees to provide to the Administrative Agent, from time to time upon the reasonable request by the Administrative Agent, evidence reasonably satisfactory to the Administrative Agent as to the perfection and priority of the Liens created or intended to be created by the Security Documents.</w:t>
      </w:r>
    </w:p>
    <w:p>
      <w:pPr>
        <w:spacing w:after="0" w:line="141" w:lineRule="exact"/>
        <w:rPr>
          <w:sz w:val="20"/>
          <w:szCs w:val="20"/>
          <w:color w:val="auto"/>
        </w:rPr>
      </w:pPr>
    </w:p>
    <w:p>
      <w:pPr>
        <w:jc w:val="both"/>
        <w:ind w:firstLine="505"/>
        <w:spacing w:after="0" w:line="285" w:lineRule="auto"/>
        <w:rPr>
          <w:sz w:val="20"/>
          <w:szCs w:val="20"/>
          <w:color w:val="auto"/>
        </w:rPr>
      </w:pPr>
      <w:r>
        <w:rPr>
          <w:rFonts w:ascii="Times New Roman" w:cs="Times New Roman" w:eastAsia="Times New Roman" w:hAnsi="Times New Roman"/>
          <w:sz w:val="17"/>
          <w:szCs w:val="17"/>
          <w:color w:val="auto"/>
        </w:rPr>
        <w:t xml:space="preserve">Section 8.19 </w:t>
      </w:r>
      <w:r>
        <w:rPr>
          <w:rFonts w:ascii="Times New Roman" w:cs="Times New Roman" w:eastAsia="Times New Roman" w:hAnsi="Times New Roman"/>
          <w:sz w:val="17"/>
          <w:szCs w:val="17"/>
          <w:u w:val="single" w:color="auto"/>
          <w:color w:val="auto"/>
        </w:rPr>
        <w:t>Post-Closing Matters</w:t>
      </w:r>
      <w:r>
        <w:rPr>
          <w:rFonts w:ascii="Times New Roman" w:cs="Times New Roman" w:eastAsia="Times New Roman" w:hAnsi="Times New Roman"/>
          <w:sz w:val="17"/>
          <w:szCs w:val="17"/>
          <w:color w:val="auto"/>
        </w:rPr>
        <w:t xml:space="preserve">. Execute and deliver the documents, take the actions and complete the tasks set forth on </w:t>
      </w:r>
      <w:r>
        <w:rPr>
          <w:rFonts w:ascii="Times New Roman" w:cs="Times New Roman" w:eastAsia="Times New Roman" w:hAnsi="Times New Roman"/>
          <w:sz w:val="17"/>
          <w:szCs w:val="17"/>
          <w:u w:val="single" w:color="auto"/>
          <w:color w:val="auto"/>
        </w:rPr>
        <w:t>Schedule 8.19</w:t>
      </w:r>
      <w:r>
        <w:rPr>
          <w:rFonts w:ascii="Times New Roman" w:cs="Times New Roman" w:eastAsia="Times New Roman" w:hAnsi="Times New Roman"/>
          <w:sz w:val="17"/>
          <w:szCs w:val="17"/>
          <w:color w:val="auto"/>
        </w:rPr>
        <w:t>, in each case within the applicable corresponding time limits specified on such schedule (or such later date as may be agreed to by the Administrative Agent in its sole discretion).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NEGATIVE COVENANTS</w:t>
      </w:r>
    </w:p>
    <w:p>
      <w:pPr>
        <w:spacing w:after="0" w:line="172"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 xml:space="preserve">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Subsidiaries (other than (x) with respect to </w:t>
      </w:r>
      <w:r>
        <w:rPr>
          <w:rFonts w:ascii="Times New Roman" w:cs="Times New Roman" w:eastAsia="Times New Roman" w:hAnsi="Times New Roman"/>
          <w:sz w:val="17"/>
          <w:szCs w:val="17"/>
          <w:u w:val="single" w:color="auto"/>
          <w:color w:val="auto"/>
        </w:rPr>
        <w:t>Sections 9.2, 9.4, 9.5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9.10</w:t>
      </w:r>
      <w:r>
        <w:rPr>
          <w:rFonts w:ascii="Times New Roman" w:cs="Times New Roman" w:eastAsia="Times New Roman" w:hAnsi="Times New Roman"/>
          <w:sz w:val="17"/>
          <w:szCs w:val="17"/>
          <w:color w:val="auto"/>
        </w:rPr>
        <w:t xml:space="preserve"> (unless specifically provided therein) WF Brokerage or any other Subsidiary that is registered as a broker-dealer with a Governmental Authority and (y) with respect to </w:t>
      </w:r>
      <w:r>
        <w:rPr>
          <w:rFonts w:ascii="Times New Roman" w:cs="Times New Roman" w:eastAsia="Times New Roman" w:hAnsi="Times New Roman"/>
          <w:sz w:val="17"/>
          <w:szCs w:val="17"/>
          <w:u w:val="single" w:color="auto"/>
          <w:color w:val="auto"/>
        </w:rPr>
        <w:t>Sections 9.2, 9.4, 9.5, 9.10, 9.11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9.14</w:t>
      </w:r>
      <w:r>
        <w:rPr>
          <w:rFonts w:ascii="Times New Roman" w:cs="Times New Roman" w:eastAsia="Times New Roman" w:hAnsi="Times New Roman"/>
          <w:sz w:val="17"/>
          <w:szCs w:val="17"/>
          <w:color w:val="auto"/>
        </w:rPr>
        <w:t>, the Public Fund Adviser) to:</w:t>
      </w:r>
    </w:p>
    <w:p>
      <w:pPr>
        <w:spacing w:after="0" w:line="137"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7"/>
          <w:szCs w:val="17"/>
          <w:color w:val="auto"/>
        </w:rPr>
        <w:t>Section 9.1</w:t>
      </w:r>
      <w:r>
        <w:rPr>
          <w:sz w:val="20"/>
          <w:szCs w:val="20"/>
          <w:color w:val="auto"/>
        </w:rPr>
        <w:tab/>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Create, incur, assume or suffer to exist any Indebtedness except:</w:t>
      </w:r>
    </w:p>
    <w:p>
      <w:pPr>
        <w:spacing w:after="0" w:line="172" w:lineRule="exact"/>
        <w:rPr>
          <w:sz w:val="20"/>
          <w:szCs w:val="20"/>
          <w:color w:val="auto"/>
        </w:rPr>
      </w:pPr>
    </w:p>
    <w:p>
      <w:pPr>
        <w:ind w:left="860" w:hanging="351"/>
        <w:spacing w:after="0"/>
        <w:tabs>
          <w:tab w:leader="none" w:pos="86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w:t>
      </w:r>
    </w:p>
    <w:p>
      <w:pPr>
        <w:spacing w:after="0" w:line="172" w:lineRule="exact"/>
        <w:rPr>
          <w:rFonts w:ascii="Times New Roman" w:cs="Times New Roman" w:eastAsia="Times New Roman" w:hAnsi="Times New Roman"/>
          <w:sz w:val="17"/>
          <w:szCs w:val="17"/>
          <w:color w:val="auto"/>
        </w:rPr>
      </w:pPr>
    </w:p>
    <w:p>
      <w:pPr>
        <w:ind w:firstLine="509"/>
        <w:spacing w:after="0" w:line="272" w:lineRule="auto"/>
        <w:tabs>
          <w:tab w:leader="none" w:pos="913"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 owing under Hedge Agreements entered into in order to manage existing or anticipated interest rate or exchange rate risks and not for speculative purposes and (ii) in respect of Cash Management Agreements entered into in the ordinary course of business;</w:t>
      </w:r>
    </w:p>
    <w:p>
      <w:pPr>
        <w:spacing w:after="0" w:line="135" w:lineRule="exact"/>
        <w:rPr>
          <w:rFonts w:ascii="Times New Roman" w:cs="Times New Roman" w:eastAsia="Times New Roman" w:hAnsi="Times New Roman"/>
          <w:sz w:val="17"/>
          <w:szCs w:val="17"/>
          <w:color w:val="auto"/>
        </w:rPr>
      </w:pPr>
    </w:p>
    <w:p>
      <w:pPr>
        <w:ind w:firstLine="509"/>
        <w:spacing w:after="0" w:line="272" w:lineRule="auto"/>
        <w:tabs>
          <w:tab w:leader="none" w:pos="888"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existing on the Closing Date and, to the extent individually in excess of $1,000,000, listed on </w:t>
      </w:r>
      <w:r>
        <w:rPr>
          <w:rFonts w:ascii="Times New Roman" w:cs="Times New Roman" w:eastAsia="Times New Roman" w:hAnsi="Times New Roman"/>
          <w:sz w:val="17"/>
          <w:szCs w:val="17"/>
          <w:u w:val="single" w:color="auto"/>
          <w:color w:val="auto"/>
        </w:rPr>
        <w:t>Schedule 9.1</w:t>
      </w:r>
      <w:r>
        <w:rPr>
          <w:rFonts w:ascii="Times New Roman" w:cs="Times New Roman" w:eastAsia="Times New Roman" w:hAnsi="Times New Roman"/>
          <w:sz w:val="17"/>
          <w:szCs w:val="17"/>
          <w:color w:val="auto"/>
        </w:rPr>
        <w:t xml:space="preserve"> and any Permitted Refinancing Indebtedness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1280"/>
          </w:cols>
          <w:pgMar w:left="300" w:top="1191" w:right="319" w:bottom="1440" w:gutter="0" w:footer="0" w:header="0"/>
        </w:sectPr>
      </w:pPr>
    </w:p>
    <w:bookmarkStart w:id="500" w:name="page501"/>
    <w:bookmarkEnd w:id="500"/>
    <w:p>
      <w:pPr>
        <w:jc w:val="both"/>
        <w:ind w:firstLine="509"/>
        <w:spacing w:after="0" w:line="246" w:lineRule="auto"/>
        <w:tabs>
          <w:tab w:leader="none" w:pos="862"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Attributable Indebtedness with respect to Capital Lease Obligations and Indebtedness incurred in connection with purchase money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outstanding principal amount of Indebtedness permitted pursuant to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shall not exceed the greater of (i) $35,000,000 and (ii) 25% of Consolidated EBITDA for the most recently ended Reference Period at any time outstanding, including any Permitted Refinancing Indebtedness thereof;</w:t>
      </w:r>
    </w:p>
    <w:p>
      <w:pPr>
        <w:spacing w:after="0" w:line="145" w:lineRule="exact"/>
        <w:rPr>
          <w:rFonts w:ascii="Times New Roman" w:cs="Times New Roman" w:eastAsia="Times New Roman" w:hAnsi="Times New Roman"/>
          <w:sz w:val="17"/>
          <w:szCs w:val="17"/>
          <w:color w:val="auto"/>
        </w:rPr>
      </w:pPr>
    </w:p>
    <w:p>
      <w:pPr>
        <w:jc w:val="both"/>
        <w:ind w:firstLine="509"/>
        <w:spacing w:after="0" w:line="242" w:lineRule="auto"/>
        <w:tabs>
          <w:tab w:leader="none" w:pos="863"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a Person existing at the time such Person became a Subsidiary or assets were acquired from such Person in connection with an Investment permitted pursuant to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was not incurred in connection with, or in contemplation of, such Person becoming a Subsidiary or the acquisition of such assets, (ii) neither the Borrower nor any Subsidiary thereof (other than such Person or any other Person that such Person merges with or that acquires the assets of such Person) shall have any liability or other obligation with respect to such Indebtedness and (iii) after giving effect to the incurrence or assumption of such Indebtedness and such Person becoming a Subsidiary or such assets being acquired, the Borrower shall be in compliance on a Pro Forma Basis with the financial covenants set forth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jc w:val="both"/>
        <w:ind w:firstLine="509"/>
        <w:spacing w:after="0" w:line="256" w:lineRule="auto"/>
        <w:tabs>
          <w:tab w:leader="none" w:pos="847"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owing from WF Brokerage to any Credit Party in an aggregate amount that, to WF Brokerage’s knowledge after reasonable inquiry, does not exceed the sum of (A) the amount required to ensure that WF Brokerage maintains, at all times, net capital of approximately twenty percent (20%) of its aggregate debit items for purposes of the minimum net capital requirements set forth in 17 CFR § 240.15c-3-1, calculated using the “Alternative Standard” thereunder (where debit items are computed in accordance with the Formula for Determination of Reserve Requirements for Brokers and Dealers (Exhibit A to Securities Exchange Act Rule 15c3-3, 17 CFR § 240.15c3-3a)), plus (B) the amount required to ensure that WF Brokerage maintains, at all times, up to Five Hundred Thousand Dollars ($500,000) in excess of the minimum amount required in connection with the Securities Exchange Act “Customer Protection Rule,” 17 CFR § 240.15c3-3 (such amount, the “Customer Protection Amount”);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Borrower will use its best efforts to notify Lender promptly when WF Brokerage borrows from any Credit Party, including temporarily borrows from any Credit Party to fund WF Brokerage’s “Special Reserve Bank Account for the Exclusive Benefit of Customers” required under 17 CFR § 240.15c3-3(e)(1) (a “Customer Protection Loan”); and provided further that WF Brokerage shall, to the fullest extent practicable, repay any portion of the amounts borrowed from a Credit Party in connection with a Customer Protection Loan within five (5) Business Days of any determination by WF Brokerage that such portion of the Customer Protection Loan is no longer required in order to ensure maintenance of the Customer Protection Amount;</w:t>
      </w:r>
    </w:p>
    <w:p>
      <w:pPr>
        <w:spacing w:after="0" w:line="132" w:lineRule="exact"/>
        <w:rPr>
          <w:rFonts w:ascii="Times New Roman" w:cs="Times New Roman" w:eastAsia="Times New Roman" w:hAnsi="Times New Roman"/>
          <w:sz w:val="16"/>
          <w:szCs w:val="16"/>
          <w:color w:val="auto"/>
        </w:rPr>
      </w:pPr>
    </w:p>
    <w:p>
      <w:pPr>
        <w:jc w:val="both"/>
        <w:ind w:firstLine="509"/>
        <w:spacing w:after="0" w:line="252" w:lineRule="auto"/>
        <w:tabs>
          <w:tab w:leader="none" w:pos="892"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Indebtedness owing from a Credit Party to WF Brokerage pursuant to the terms of that certain Second Amended and Restated Intercompany Services and Expense Sharing Agreement among the Company, WF Brokerage and Wealthfront Advisers LLC, dated as of August 1, 2022, or (ii) any similar agreement, in each case, as amended, supplemented, modified and/or restated from time to time;</w:t>
      </w:r>
    </w:p>
    <w:p>
      <w:pPr>
        <w:spacing w:after="0" w:line="141" w:lineRule="exact"/>
        <w:rPr>
          <w:rFonts w:ascii="Times New Roman" w:cs="Times New Roman" w:eastAsia="Times New Roman" w:hAnsi="Times New Roman"/>
          <w:sz w:val="17"/>
          <w:szCs w:val="17"/>
          <w:color w:val="auto"/>
        </w:rPr>
      </w:pPr>
    </w:p>
    <w:p>
      <w:pPr>
        <w:ind w:firstLine="509"/>
        <w:spacing w:after="0" w:line="259" w:lineRule="auto"/>
        <w:tabs>
          <w:tab w:leader="none" w:pos="927"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from the honoring by a bank or other financial institution of a check, draft or other similar instrument drawn against insufficient funds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1280"/>
          </w:cols>
          <w:pgMar w:left="300" w:top="1181" w:right="319" w:bottom="1440" w:gutter="0" w:footer="0" w:header="0"/>
        </w:sectPr>
      </w:pPr>
    </w:p>
    <w:bookmarkStart w:id="501" w:name="page502"/>
    <w:bookmarkEnd w:id="501"/>
    <w:p>
      <w:pPr>
        <w:jc w:val="both"/>
        <w:ind w:firstLine="509"/>
        <w:spacing w:after="0" w:line="230" w:lineRule="auto"/>
        <w:tabs>
          <w:tab w:leader="none" w:pos="857"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Subordinated Indebtedness of the Borrower and the Guarantors and any Permitted Refinancing Indebtedness in respect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each incurrence of such Subordinated Indebtedness, (i) no Default or Event of Default shall have occurred and be continuing or would be caused by the incurrence of such Subordinated Indebtedness, (ii) the Administrative Agent shall have received satisfactory written evidence that the Borrower shall be in compliance with the financial covenants set forth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on a Pro Forma Basis as of the most recent Reference Period after giving effect to the issuance of such Subordinated Indebtedness and the use of proceeds thereof, (iii) such Subordinated Indebtedness does not mature, or require any principal amortization or mandatory prepayment, put right or sinking fund obligation prior to the date that is 180 days after the then latest scheduled maturity date of the Loans and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Indebtedness consisting of a customary bridge facility shall be deemed to satisfy this requirement so long as such Indebtedness automatically converts into long-term debt which satisfies this clause (iii) and (iv) the terms of such Subordinated Indebtedness reflect market terms (taken as a whole) at the time of issuance and (other than pricing, fees, rate floors, premiums and optional prepayment or redemption provisions), taken as a whole, are not materially more restrictive (as determined by Borrower in good faith) on the Borrower and its Subsidiaries than the terms and conditions of this Agreement, taken as a whole;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aggregate outstanding principal amount of Indebtedness incurred pursuant to this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shall (A) not exceed the greater of (x) $35,000,000 and (y) 25% of Consolidated EBITDA for the most recently ended Reference Period or (B) be an unlimited amount if the Consolidated Total Net Leverage Ratio at the time such Indebtedness is incurred is not greater than 3:00 to 1:00 determined on a Pro Forma Basis;</w:t>
      </w:r>
    </w:p>
    <w:p>
      <w:pPr>
        <w:spacing w:after="0" w:line="129" w:lineRule="exact"/>
        <w:rPr>
          <w:rFonts w:ascii="Times New Roman" w:cs="Times New Roman" w:eastAsia="Times New Roman" w:hAnsi="Times New Roman"/>
          <w:sz w:val="17"/>
          <w:szCs w:val="17"/>
          <w:color w:val="auto"/>
        </w:rPr>
      </w:pPr>
    </w:p>
    <w:p>
      <w:pPr>
        <w:ind w:firstLine="509"/>
        <w:spacing w:after="0" w:line="259" w:lineRule="auto"/>
        <w:tabs>
          <w:tab w:leader="none" w:pos="879"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24"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the Mortgage Entities in respect of Investments permitted under </w:t>
      </w:r>
      <w:r>
        <w:rPr>
          <w:rFonts w:ascii="Times New Roman" w:cs="Times New Roman" w:eastAsia="Times New Roman" w:hAnsi="Times New Roman"/>
          <w:sz w:val="17"/>
          <w:szCs w:val="17"/>
          <w:u w:val="single" w:color="auto"/>
          <w:color w:val="auto"/>
        </w:rPr>
        <w:t>Section 9.3(c)</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firstLine="509"/>
        <w:spacing w:after="0" w:line="239" w:lineRule="auto"/>
        <w:tabs>
          <w:tab w:leader="none" w:pos="872"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owed to any Person providing worker’s compensation, health, disability or other employee benefits or property, casualty, liability, or other insurance to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41" w:lineRule="exact"/>
        <w:rPr>
          <w:rFonts w:ascii="Times New Roman" w:cs="Times New Roman" w:eastAsia="Times New Roman" w:hAnsi="Times New Roman"/>
          <w:sz w:val="17"/>
          <w:szCs w:val="17"/>
          <w:color w:val="auto"/>
        </w:rPr>
      </w:pPr>
    </w:p>
    <w:p>
      <w:pPr>
        <w:ind w:firstLine="509"/>
        <w:spacing w:after="0" w:line="259" w:lineRule="auto"/>
        <w:tabs>
          <w:tab w:leader="none" w:pos="917"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the Borrower consisting of unsecured guarantees of mortgage warehouse lines of the Mortgage Entities, in an aggregate principal amount not to exceed $150,000,000 at any time outstanding;</w:t>
      </w:r>
    </w:p>
    <w:p>
      <w:pPr>
        <w:spacing w:after="0" w:line="114" w:lineRule="exact"/>
        <w:rPr>
          <w:rFonts w:ascii="Times New Roman" w:cs="Times New Roman" w:eastAsia="Times New Roman" w:hAnsi="Times New Roman"/>
          <w:sz w:val="17"/>
          <w:szCs w:val="17"/>
          <w:color w:val="auto"/>
        </w:rPr>
      </w:pPr>
    </w:p>
    <w:p>
      <w:pPr>
        <w:ind w:firstLine="509"/>
        <w:spacing w:after="0" w:line="259" w:lineRule="auto"/>
        <w:tabs>
          <w:tab w:leader="none" w:pos="939"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under corporate credit cards issued for the benefit of the Borrower and its Subsidiaries, in an aggregate principal amount not to exceed $5,000,000 at any time outstanding;</w:t>
      </w:r>
    </w:p>
    <w:p>
      <w:pPr>
        <w:spacing w:after="0" w:line="114" w:lineRule="exact"/>
        <w:rPr>
          <w:rFonts w:ascii="Times New Roman" w:cs="Times New Roman" w:eastAsia="Times New Roman" w:hAnsi="Times New Roman"/>
          <w:sz w:val="17"/>
          <w:szCs w:val="17"/>
          <w:color w:val="auto"/>
        </w:rPr>
      </w:pPr>
    </w:p>
    <w:p>
      <w:pPr>
        <w:ind w:firstLine="509"/>
        <w:spacing w:after="0" w:line="259" w:lineRule="auto"/>
        <w:tabs>
          <w:tab w:leader="none" w:pos="964"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secured by a Lien on any asset not constituting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outstanding principal amount of Indebtedness permitted pursuant to this </w:t>
      </w:r>
      <w:r>
        <w:rPr>
          <w:rFonts w:ascii="Times New Roman" w:cs="Times New Roman" w:eastAsia="Times New Roman" w:hAnsi="Times New Roman"/>
          <w:sz w:val="17"/>
          <w:szCs w:val="17"/>
          <w:u w:val="single" w:color="auto"/>
          <w:color w:val="auto"/>
        </w:rPr>
        <w:t>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280"/>
          </w:cols>
          <w:pgMar w:left="300" w:top="1181" w:right="319" w:bottom="1440" w:gutter="0" w:footer="0" w:header="0"/>
        </w:sectPr>
      </w:pPr>
    </w:p>
    <w:bookmarkStart w:id="502" w:name="page503"/>
    <w:bookmarkEnd w:id="502"/>
    <w:p>
      <w:pPr>
        <w:ind w:left="240" w:hanging="236"/>
        <w:spacing w:after="0"/>
        <w:tabs>
          <w:tab w:leader="none" w:pos="240" w:val="left"/>
        </w:tabs>
        <w:numPr>
          <w:ilvl w:val="0"/>
          <w:numId w:val="34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shall not exceed the greater of (i) $35,000,000 and (ii) 25% of Consolidated EBITDA for the most recently ended Reference Period at any time outstanding;</w:t>
      </w:r>
    </w:p>
    <w:p>
      <w:pPr>
        <w:spacing w:after="0" w:line="172" w:lineRule="exact"/>
        <w:rPr>
          <w:rFonts w:ascii="Times New Roman" w:cs="Times New Roman" w:eastAsia="Times New Roman" w:hAnsi="Times New Roman"/>
          <w:sz w:val="17"/>
          <w:szCs w:val="17"/>
          <w:u w:val="single" w:color="auto"/>
          <w:color w:val="auto"/>
        </w:rPr>
      </w:pPr>
    </w:p>
    <w:p>
      <w:pPr>
        <w:jc w:val="both"/>
        <w:ind w:firstLine="509"/>
        <w:spacing w:after="0" w:line="258" w:lineRule="auto"/>
        <w:tabs>
          <w:tab w:leader="none" w:pos="901" w:val="left"/>
        </w:tabs>
        <w:numPr>
          <w:ilvl w:val="1"/>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the Mortgage Entities under mortgage warehouse lines entered into by the Mortgage Entities in an aggregate outstanding amount not to exceed $250,000,000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recourse to the Borrower and the other Subsidiaries thereunder shall be limited to guarantees thereof permitted under </w:t>
      </w:r>
      <w:r>
        <w:rPr>
          <w:rFonts w:ascii="Times New Roman" w:cs="Times New Roman" w:eastAsia="Times New Roman" w:hAnsi="Times New Roman"/>
          <w:sz w:val="17"/>
          <w:szCs w:val="17"/>
          <w:u w:val="single" w:color="auto"/>
          <w:color w:val="auto"/>
        </w:rPr>
        <w:t>Section 9.1(m)</w:t>
      </w:r>
      <w:r>
        <w:rPr>
          <w:rFonts w:ascii="Times New Roman" w:cs="Times New Roman" w:eastAsia="Times New Roman" w:hAnsi="Times New Roman"/>
          <w:sz w:val="17"/>
          <w:szCs w:val="17"/>
          <w:color w:val="auto"/>
        </w:rPr>
        <w:t>; and</w:t>
      </w:r>
    </w:p>
    <w:p>
      <w:pPr>
        <w:spacing w:after="0" w:line="136" w:lineRule="exact"/>
        <w:rPr>
          <w:rFonts w:ascii="Times New Roman" w:cs="Times New Roman" w:eastAsia="Times New Roman" w:hAnsi="Times New Roman"/>
          <w:sz w:val="17"/>
          <w:szCs w:val="17"/>
          <w:color w:val="auto"/>
        </w:rPr>
      </w:pPr>
    </w:p>
    <w:p>
      <w:pPr>
        <w:jc w:val="both"/>
        <w:ind w:firstLine="509"/>
        <w:spacing w:after="0" w:line="250" w:lineRule="auto"/>
        <w:tabs>
          <w:tab w:leader="none" w:pos="914" w:val="left"/>
        </w:tabs>
        <w:numPr>
          <w:ilvl w:val="1"/>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unsecured Indebtedness and any Permitted Refinancing Indebtedness in respect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each incurrence of such Indebtedness, (i) no Default or Event of Default shall have occurred and be continuing or would be caused by the incurrence of such Indebtedness, (ii) the Borrower shall be in compliance with the financial covenants set forth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on a Pro Forma Basis as of the most recent Reference Period after giving effect to the issuance of such Indebtedness and the use of proceeds thereof, (iii) such Indebtedness does not mature, or require any principal amortization or mandatory prepayment, put right or sinking fund obligation prior to the date that is 180 days after the then latest scheduled maturity date of the Loans and Commitments, (iv) the terms of such Indebtedness reflect market terms (taken as a whole) at the time of issuance and (other than pricing, fees, rate floors, premiums and optional prepayment or redemption provisions), taken as a whole, are not materially more restrictive (as determined by Borrower in good faith) on the Borrower and its Subsidiaries than the terms and conditions of this Agreement, taken as a whole and (v) such Indebtedness incurred by non-Credit Parties shall not exceed $15,000,000 at any time outstanding;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aggregate outstanding principal amount of Indebtedness incurred pursuant to this </w:t>
      </w:r>
      <w:r>
        <w:rPr>
          <w:rFonts w:ascii="Times New Roman" w:cs="Times New Roman" w:eastAsia="Times New Roman" w:hAnsi="Times New Roman"/>
          <w:sz w:val="17"/>
          <w:szCs w:val="17"/>
          <w:u w:val="single" w:color="auto"/>
          <w:color w:val="auto"/>
        </w:rPr>
        <w:t>clause (q)</w:t>
      </w:r>
      <w:r>
        <w:rPr>
          <w:rFonts w:ascii="Times New Roman" w:cs="Times New Roman" w:eastAsia="Times New Roman" w:hAnsi="Times New Roman"/>
          <w:sz w:val="17"/>
          <w:szCs w:val="17"/>
          <w:color w:val="auto"/>
        </w:rPr>
        <w:t xml:space="preserve"> shall (A) not exceed the greater of (x) $35,000,000 and (y) 25% of Consolidated EBITDA for the most recently ended Reference Period or (B) be an unlimited amount if the Consolidated Total Net Leverage Ratio at the time such Indebtedness is incurred is not greater than 3:00 to 1:00 determined on a Pro Forma Basis.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xml:space="preserve">Section 9.2 </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Create, incur, assume or suffer to exist, any Lien on or with respect to any of its Property, whether now owned or hereafter acquired, except:</w:t>
      </w:r>
    </w:p>
    <w:p>
      <w:pPr>
        <w:spacing w:after="0" w:line="194" w:lineRule="exact"/>
        <w:rPr>
          <w:sz w:val="20"/>
          <w:szCs w:val="20"/>
          <w:color w:val="auto"/>
        </w:rPr>
      </w:pPr>
    </w:p>
    <w:p>
      <w:pPr>
        <w:ind w:firstLine="509"/>
        <w:spacing w:after="0" w:line="272" w:lineRule="auto"/>
        <w:tabs>
          <w:tab w:leader="none" w:pos="931"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created pursuant to the Loan Documents (including Liens in favor of the Swingline Lender and/or the Issuing Lenders, as applicable, on Cash Collateral granted pursuant to the Loan Documents);</w:t>
      </w:r>
    </w:p>
    <w:p>
      <w:pPr>
        <w:spacing w:after="0" w:line="124" w:lineRule="exact"/>
        <w:rPr>
          <w:rFonts w:ascii="Times New Roman" w:cs="Times New Roman" w:eastAsia="Times New Roman" w:hAnsi="Times New Roman"/>
          <w:sz w:val="17"/>
          <w:szCs w:val="17"/>
          <w:color w:val="auto"/>
        </w:rPr>
      </w:pPr>
    </w:p>
    <w:p>
      <w:pPr>
        <w:jc w:val="both"/>
        <w:ind w:firstLine="509"/>
        <w:spacing w:after="0" w:line="255" w:lineRule="auto"/>
        <w:tabs>
          <w:tab w:leader="none" w:pos="939"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in existence on the Closing Date and, to the extent individually securing amounts in excess of $1,000,000, described on </w:t>
      </w:r>
      <w:r>
        <w:rPr>
          <w:rFonts w:ascii="Times New Roman" w:cs="Times New Roman" w:eastAsia="Times New Roman" w:hAnsi="Times New Roman"/>
          <w:sz w:val="17"/>
          <w:szCs w:val="17"/>
          <w:u w:val="single" w:color="auto"/>
          <w:color w:val="auto"/>
        </w:rPr>
        <w:t>Schedule 9.2</w:t>
      </w:r>
      <w:r>
        <w:rPr>
          <w:rFonts w:ascii="Times New Roman" w:cs="Times New Roman" w:eastAsia="Times New Roman" w:hAnsi="Times New Roman"/>
          <w:sz w:val="17"/>
          <w:szCs w:val="17"/>
          <w:color w:val="auto"/>
        </w:rPr>
        <w:t xml:space="preserve">, and the replacement, renewal or extension thereof (including Liens incurred, assumed or suffered to exist in connection with any Permitted Refinancing Indebtedness permitted pursuant to </w:t>
      </w:r>
      <w:r>
        <w:rPr>
          <w:rFonts w:ascii="Times New Roman" w:cs="Times New Roman" w:eastAsia="Times New Roman" w:hAnsi="Times New Roman"/>
          <w:sz w:val="17"/>
          <w:szCs w:val="17"/>
          <w:u w:val="single" w:color="auto"/>
          <w:color w:val="auto"/>
        </w:rPr>
        <w:t>Section 9.1(c)</w:t>
      </w:r>
      <w:r>
        <w:rPr>
          <w:rFonts w:ascii="Times New Roman" w:cs="Times New Roman" w:eastAsia="Times New Roman" w:hAnsi="Times New Roman"/>
          <w:sz w:val="17"/>
          <w:szCs w:val="17"/>
          <w:color w:val="auto"/>
        </w:rPr>
        <w:t xml:space="preserve"> (solely to the extent that such Liens were in existence on the Closing Date and described on </w:t>
      </w:r>
      <w:r>
        <w:rPr>
          <w:rFonts w:ascii="Times New Roman" w:cs="Times New Roman" w:eastAsia="Times New Roman" w:hAnsi="Times New Roman"/>
          <w:sz w:val="17"/>
          <w:szCs w:val="17"/>
          <w:u w:val="single" w:color="auto"/>
          <w:color w:val="auto"/>
        </w:rPr>
        <w:t>Schedule 9.2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38"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assets not constituting Collateral securing Indebtedness permitted under </w:t>
      </w:r>
      <w:r>
        <w:rPr>
          <w:rFonts w:ascii="Times New Roman" w:cs="Times New Roman" w:eastAsia="Times New Roman" w:hAnsi="Times New Roman"/>
          <w:sz w:val="17"/>
          <w:szCs w:val="17"/>
          <w:u w:val="single" w:color="auto"/>
          <w:color w:val="auto"/>
        </w:rPr>
        <w:t>Section 9.1(o)</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1280"/>
          </w:cols>
          <w:pgMar w:left="300" w:top="1191" w:right="319" w:bottom="1440" w:gutter="0" w:footer="0" w:header="0"/>
        </w:sectPr>
      </w:pPr>
    </w:p>
    <w:bookmarkStart w:id="503" w:name="page504"/>
    <w:bookmarkEnd w:id="503"/>
    <w:p>
      <w:pPr>
        <w:jc w:val="both"/>
        <w:ind w:firstLine="509"/>
        <w:spacing w:after="0" w:line="239" w:lineRule="auto"/>
        <w:tabs>
          <w:tab w:leader="none" w:pos="953"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assessments and other governmental charges or levies (excluding any Lien imposed pursuant to any of the provisions of ERISA or Environmental Laws) (i) not yet due or as to which the period of grace (not to exceed thirty (30) days), if any, related thereto has not expired or (ii) which are being contested in good faith and by appropriate proceedings if adequate reserves are maintained to the extent required by GAAP;</w:t>
      </w:r>
    </w:p>
    <w:p>
      <w:pPr>
        <w:spacing w:after="0" w:line="130" w:lineRule="exact"/>
        <w:rPr>
          <w:rFonts w:ascii="Times New Roman" w:cs="Times New Roman" w:eastAsia="Times New Roman" w:hAnsi="Times New Roman"/>
          <w:sz w:val="17"/>
          <w:szCs w:val="17"/>
          <w:color w:val="auto"/>
        </w:rPr>
      </w:pPr>
    </w:p>
    <w:p>
      <w:pPr>
        <w:jc w:val="both"/>
        <w:ind w:firstLine="509"/>
        <w:spacing w:after="0" w:line="235" w:lineRule="auto"/>
        <w:tabs>
          <w:tab w:leader="none" w:pos="902"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claims of materialmen, mechanics, carriers, warehousemen, processors or landlords, for labor, materials, supplies or rentals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w:t>
      </w:r>
    </w:p>
    <w:p>
      <w:pPr>
        <w:ind w:left="260" w:hanging="256"/>
        <w:spacing w:after="0"/>
        <w:tabs>
          <w:tab w:leader="none" w:pos="260"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individually or in the aggregate, materially impair the use thereof in the operation of the business of the Borrower or any of its Subsidiaries;</w:t>
      </w:r>
    </w:p>
    <w:p>
      <w:pPr>
        <w:spacing w:after="0" w:line="143" w:lineRule="exact"/>
        <w:rPr>
          <w:rFonts w:ascii="Times New Roman" w:cs="Times New Roman" w:eastAsia="Times New Roman" w:hAnsi="Times New Roman"/>
          <w:sz w:val="17"/>
          <w:szCs w:val="17"/>
          <w:color w:val="auto"/>
        </w:rPr>
      </w:pPr>
    </w:p>
    <w:p>
      <w:pPr>
        <w:jc w:val="both"/>
        <w:ind w:firstLine="509"/>
        <w:spacing w:after="0" w:line="234" w:lineRule="auto"/>
        <w:tabs>
          <w:tab w:leader="none" w:pos="928" w:val="left"/>
        </w:tabs>
        <w:numPr>
          <w:ilvl w:val="1"/>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deposits or pledges made in the ordinary course of business in connection with, or to secure payment of, obligations under workers’ compensation, unemployment insurance and other types of social security or similar legislation, or to secure the performance of bids, trade contracts and leases (other than Indebtedness),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40" w:lineRule="exact"/>
        <w:rPr>
          <w:rFonts w:ascii="Times New Roman" w:cs="Times New Roman" w:eastAsia="Times New Roman" w:hAnsi="Times New Roman"/>
          <w:sz w:val="17"/>
          <w:szCs w:val="17"/>
          <w:color w:val="auto"/>
        </w:rPr>
      </w:pPr>
    </w:p>
    <w:p>
      <w:pPr>
        <w:ind w:firstLine="509"/>
        <w:spacing w:after="0" w:line="246" w:lineRule="auto"/>
        <w:tabs>
          <w:tab w:leader="none" w:pos="878" w:val="left"/>
        </w:tabs>
        <w:numPr>
          <w:ilvl w:val="1"/>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135" w:lineRule="exact"/>
        <w:rPr>
          <w:rFonts w:ascii="Times New Roman" w:cs="Times New Roman" w:eastAsia="Times New Roman" w:hAnsi="Times New Roman"/>
          <w:sz w:val="17"/>
          <w:szCs w:val="17"/>
          <w:color w:val="auto"/>
        </w:rPr>
      </w:pPr>
    </w:p>
    <w:p>
      <w:pPr>
        <w:ind w:firstLine="509"/>
        <w:spacing w:after="0" w:line="259" w:lineRule="auto"/>
        <w:tabs>
          <w:tab w:leader="none" w:pos="908" w:val="left"/>
        </w:tabs>
        <w:numPr>
          <w:ilvl w:val="1"/>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from the filing of precautionary UCC financing statements relating solely to personal property leased pursuant to operating leases entered into in the ordinary course of business;</w:t>
      </w:r>
    </w:p>
    <w:p>
      <w:pPr>
        <w:spacing w:after="0" w:line="114" w:lineRule="exact"/>
        <w:rPr>
          <w:rFonts w:ascii="Times New Roman" w:cs="Times New Roman" w:eastAsia="Times New Roman" w:hAnsi="Times New Roman"/>
          <w:sz w:val="17"/>
          <w:szCs w:val="17"/>
          <w:color w:val="auto"/>
        </w:rPr>
      </w:pPr>
    </w:p>
    <w:p>
      <w:pPr>
        <w:jc w:val="both"/>
        <w:ind w:firstLine="509"/>
        <w:spacing w:after="0" w:line="236" w:lineRule="auto"/>
        <w:tabs>
          <w:tab w:leader="none" w:pos="883" w:val="left"/>
        </w:tabs>
        <w:numPr>
          <w:ilvl w:val="1"/>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under </w:t>
      </w:r>
      <w:r>
        <w:rPr>
          <w:rFonts w:ascii="Times New Roman" w:cs="Times New Roman" w:eastAsia="Times New Roman" w:hAnsi="Times New Roman"/>
          <w:sz w:val="17"/>
          <w:szCs w:val="17"/>
          <w:u w:val="single" w:color="auto"/>
          <w:color w:val="auto"/>
        </w:rPr>
        <w:t>Section 9.1(d)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Liens shall be created within one hundred twenty (120) days of the acquisition, repair, construction, improvement or lease, as applicable, of the related Property, (ii) such Liens do not at any time encumber any property other than the Property financed or improved by such Indebtedness, (iii) the amount of Indebtedness secured thereby is not increased and (iv) the principal amount of Indebtedness secured by any such Lien shall at no time exceed one hundred percent (100%) of the original price for the purchase, repair, construction, improvement or lease amount (as applicable) of such Property at the time of purchase, repair, construction, improvement or lease (as applicable);</w:t>
      </w:r>
    </w:p>
    <w:p>
      <w:pPr>
        <w:spacing w:after="0" w:line="132" w:lineRule="exact"/>
        <w:rPr>
          <w:rFonts w:ascii="Times New Roman" w:cs="Times New Roman" w:eastAsia="Times New Roman" w:hAnsi="Times New Roman"/>
          <w:sz w:val="17"/>
          <w:szCs w:val="17"/>
          <w:color w:val="auto"/>
        </w:rPr>
      </w:pPr>
    </w:p>
    <w:p>
      <w:pPr>
        <w:ind w:firstLine="509"/>
        <w:spacing w:after="0" w:line="259" w:lineRule="auto"/>
        <w:tabs>
          <w:tab w:leader="none" w:pos="858" w:val="left"/>
        </w:tabs>
        <w:numPr>
          <w:ilvl w:val="1"/>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judgments for the payment of money not constituting an Event of Default under </w:t>
      </w:r>
      <w:r>
        <w:rPr>
          <w:rFonts w:ascii="Times New Roman" w:cs="Times New Roman" w:eastAsia="Times New Roman" w:hAnsi="Times New Roman"/>
          <w:sz w:val="17"/>
          <w:szCs w:val="17"/>
          <w:u w:val="single" w:color="auto"/>
          <w:color w:val="auto"/>
        </w:rPr>
        <w:t>Section 10.1(m)</w:t>
      </w:r>
      <w:r>
        <w:rPr>
          <w:rFonts w:ascii="Times New Roman" w:cs="Times New Roman" w:eastAsia="Times New Roman" w:hAnsi="Times New Roman"/>
          <w:sz w:val="17"/>
          <w:szCs w:val="17"/>
          <w:color w:val="auto"/>
        </w:rPr>
        <w:t xml:space="preserve"> or securing appeal or other surety bonds relating to such judgments;</w:t>
      </w:r>
    </w:p>
    <w:p>
      <w:pPr>
        <w:spacing w:after="0" w:line="114" w:lineRule="exact"/>
        <w:rPr>
          <w:rFonts w:ascii="Times New Roman" w:cs="Times New Roman" w:eastAsia="Times New Roman" w:hAnsi="Times New Roman"/>
          <w:sz w:val="17"/>
          <w:szCs w:val="17"/>
          <w:color w:val="auto"/>
        </w:rPr>
      </w:pPr>
    </w:p>
    <w:p>
      <w:pPr>
        <w:ind w:firstLine="509"/>
        <w:spacing w:after="0" w:line="259" w:lineRule="auto"/>
        <w:tabs>
          <w:tab w:leader="none" w:pos="889" w:val="left"/>
        </w:tabs>
        <w:numPr>
          <w:ilvl w:val="1"/>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Property (i) of a Person that becomes a Subsidiary existing at the time that such Person becomes a Subsidiary in connection with an acquisition permitted hereunder and (ii) of the Borrower or any of its Subsidiaries existing at the time such Property is purchased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1280"/>
          </w:cols>
          <w:pgMar w:left="300" w:top="1181" w:right="319" w:bottom="1440" w:gutter="0" w:footer="0" w:header="0"/>
        </w:sectPr>
      </w:pPr>
    </w:p>
    <w:bookmarkStart w:id="504" w:name="page505"/>
    <w:bookmarkEnd w:id="504"/>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otherwise acquired by the Borrower or such Subsidiary pursuant to a transaction permitted hereunder and, in each case any modification, replacement, renewal and extension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each of the foregoing clauses (i) and (ii), (A) such Liens are not incurred in connection with, or in anticipation of, such Permitted Acquisition, purchase or other acquisition, (B) such Liens do not encumber any Property other than Property encumbered at the time of such acquisition or such Person becoming a Subsidiary and the proceeds and products thereof and are not all asset Liens, (C) such Liens do not attach to any other Property of the Borrower or any of its Subsidiaries and (D) such Liens will secure only those obligations which it secures at the time such acquisition or purchase occurs;</w:t>
      </w:r>
    </w:p>
    <w:p>
      <w:pPr>
        <w:spacing w:after="0" w:line="135" w:lineRule="exact"/>
        <w:rPr>
          <w:sz w:val="20"/>
          <w:szCs w:val="20"/>
          <w:color w:val="auto"/>
        </w:rPr>
      </w:pPr>
    </w:p>
    <w:p>
      <w:pPr>
        <w:jc w:val="both"/>
        <w:ind w:firstLine="509"/>
        <w:spacing w:after="0" w:line="246" w:lineRule="auto"/>
        <w:tabs>
          <w:tab w:leader="none" w:pos="881"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Liens of a collecting bank arising in the ordinary course of business under Section 4-210 of the Uniform Commercial Code in effect in the relevant jurisdiction and (ii) Liens arising out of conditional sale, title retention, consignment or similar arrangements for the sale of any assets or property in the ordinary course of business;</w:t>
      </w:r>
    </w:p>
    <w:p>
      <w:pPr>
        <w:spacing w:after="0" w:line="145" w:lineRule="exact"/>
        <w:rPr>
          <w:rFonts w:ascii="Times New Roman" w:cs="Times New Roman" w:eastAsia="Times New Roman" w:hAnsi="Times New Roman"/>
          <w:sz w:val="17"/>
          <w:szCs w:val="17"/>
          <w:color w:val="auto"/>
        </w:rPr>
      </w:pPr>
    </w:p>
    <w:p>
      <w:pPr>
        <w:ind w:left="960" w:hanging="451"/>
        <w:spacing w:after="0"/>
        <w:tabs>
          <w:tab w:leader="none" w:pos="960"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landlords arising in the ordinary course of business to the extent relating to the property and assets relating to any lease agreements with such</w:t>
      </w:r>
    </w:p>
    <w:p>
      <w:pPr>
        <w:spacing w:after="0" w:line="1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w:t>
      </w:r>
    </w:p>
    <w:p>
      <w:pPr>
        <w:spacing w:after="0" w:line="154" w:lineRule="exact"/>
        <w:rPr>
          <w:rFonts w:ascii="Times New Roman" w:cs="Times New Roman" w:eastAsia="Times New Roman" w:hAnsi="Times New Roman"/>
          <w:sz w:val="17"/>
          <w:szCs w:val="17"/>
          <w:color w:val="auto"/>
        </w:rPr>
      </w:pPr>
    </w:p>
    <w:p>
      <w:pPr>
        <w:jc w:val="both"/>
        <w:ind w:firstLine="509"/>
        <w:spacing w:after="0" w:line="242" w:lineRule="auto"/>
        <w:tabs>
          <w:tab w:leader="none" w:pos="901"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leases, licenses, subleases or sublicenses granted to others which do not (A) interfere in any material respect with the business of the Borrower or its Subsidiaries or materially detract from the value of the relevant assets of the Borrower or its Subsidiaries or (B) secure any Indebtedness and (ii) any interest or title of a licensor, sub-licensor, lessor or sub-lessor under leases, licenses, subleases or sublicenses entered into by the Borrower and any of its Subsidiaries as licensee, sub-licensee, lessee or sub-lessee in the ordinary course of business or any customary restriction or encumbrance with respect to the Property subject to any such lease, license, sublease or sublicense;</w:t>
      </w:r>
    </w:p>
    <w:p>
      <w:pPr>
        <w:spacing w:after="0" w:line="149" w:lineRule="exact"/>
        <w:rPr>
          <w:rFonts w:ascii="Times New Roman" w:cs="Times New Roman" w:eastAsia="Times New Roman" w:hAnsi="Times New Roman"/>
          <w:sz w:val="17"/>
          <w:szCs w:val="17"/>
          <w:color w:val="auto"/>
        </w:rPr>
      </w:pPr>
    </w:p>
    <w:p>
      <w:pPr>
        <w:ind w:firstLine="509"/>
        <w:spacing w:after="0" w:line="259" w:lineRule="auto"/>
        <w:tabs>
          <w:tab w:leader="none" w:pos="869"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Liens on Equity Interests of joint ventures securing capital contributions thereto and (ii) customary rights of first refusal and tag, drag and similar rights in joint venture agreements and agreements with respect to Non-Wholly-Owned Subsidiaries;</w:t>
      </w:r>
    </w:p>
    <w:p>
      <w:pPr>
        <w:spacing w:after="0" w:line="124" w:lineRule="exact"/>
        <w:rPr>
          <w:rFonts w:ascii="Times New Roman" w:cs="Times New Roman" w:eastAsia="Times New Roman" w:hAnsi="Times New Roman"/>
          <w:sz w:val="17"/>
          <w:szCs w:val="17"/>
          <w:color w:val="auto"/>
        </w:rPr>
      </w:pPr>
    </w:p>
    <w:p>
      <w:pPr>
        <w:ind w:firstLine="509"/>
        <w:spacing w:after="0" w:line="272" w:lineRule="auto"/>
        <w:tabs>
          <w:tab w:leader="none" w:pos="960"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Liens in favor of financial institutions arising in connection with Borrowers’ deposit and/or securities accounts held at such institutions, including bankers’ Liens, rights of setoff and similar Liens incurred on deposits made in the ordinary course of business and not securing borrowed money;</w:t>
      </w:r>
    </w:p>
    <w:p>
      <w:pPr>
        <w:spacing w:after="0" w:line="114"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mortgage instruments originated by the Mortgage Entities securing mortgage warehouse lines of Indebtedness permitted under </w:t>
      </w:r>
      <w:r>
        <w:rPr>
          <w:rFonts w:ascii="Times New Roman" w:cs="Times New Roman" w:eastAsia="Times New Roman" w:hAnsi="Times New Roman"/>
          <w:sz w:val="17"/>
          <w:szCs w:val="17"/>
          <w:u w:val="single" w:color="auto"/>
          <w:color w:val="auto"/>
        </w:rPr>
        <w:t>Section 9.1(p)</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Deposits and liens on cash collateral securing Indebtedness permitted under </w:t>
      </w:r>
      <w:r>
        <w:rPr>
          <w:rFonts w:ascii="Times New Roman" w:cs="Times New Roman" w:eastAsia="Times New Roman" w:hAnsi="Times New Roman"/>
          <w:sz w:val="17"/>
          <w:szCs w:val="17"/>
          <w:u w:val="single" w:color="auto"/>
          <w:color w:val="auto"/>
        </w:rPr>
        <w:t>Sections 9.1(b)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9.1(h)</w:t>
      </w:r>
      <w:r>
        <w:rPr>
          <w:rFonts w:ascii="Times New Roman" w:cs="Times New Roman" w:eastAsia="Times New Roman" w:hAnsi="Times New Roman"/>
          <w:sz w:val="17"/>
          <w:szCs w:val="17"/>
          <w:color w:val="auto"/>
        </w:rPr>
        <w:t>; and</w:t>
      </w:r>
    </w:p>
    <w:p>
      <w:pPr>
        <w:spacing w:after="0" w:line="172" w:lineRule="exact"/>
        <w:rPr>
          <w:rFonts w:ascii="Times New Roman" w:cs="Times New Roman" w:eastAsia="Times New Roman" w:hAnsi="Times New Roman"/>
          <w:sz w:val="17"/>
          <w:szCs w:val="17"/>
          <w:color w:val="auto"/>
        </w:rPr>
      </w:pPr>
    </w:p>
    <w:p>
      <w:pPr>
        <w:ind w:firstLine="509"/>
        <w:spacing w:after="0" w:line="259" w:lineRule="auto"/>
        <w:tabs>
          <w:tab w:leader="none" w:pos="927"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not otherwise permitted under this Section securing Indebtedness or other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Liens do not at any time secure the greater of (i) $35,000,000 and (ii) 25% of Consolidated EBITDA for the most recently ended Reference Period.</w:t>
      </w:r>
    </w:p>
    <w:p>
      <w:pPr>
        <w:spacing w:after="0" w:line="135"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7"/>
          <w:szCs w:val="17"/>
          <w:color w:val="auto"/>
        </w:rPr>
        <w:t>Section 9.3</w:t>
      </w:r>
      <w:r>
        <w:rPr>
          <w:sz w:val="20"/>
          <w:szCs w:val="20"/>
          <w:color w:val="auto"/>
        </w:rPr>
        <w:tab/>
      </w:r>
      <w:r>
        <w:rPr>
          <w:rFonts w:ascii="Times New Roman" w:cs="Times New Roman" w:eastAsia="Times New Roman" w:hAnsi="Times New Roman"/>
          <w:sz w:val="16"/>
          <w:szCs w:val="16"/>
          <w:u w:val="single" w:color="auto"/>
          <w:color w:val="auto"/>
        </w:rPr>
        <w:t>Investments</w:t>
      </w:r>
      <w:r>
        <w:rPr>
          <w:rFonts w:ascii="Times New Roman" w:cs="Times New Roman" w:eastAsia="Times New Roman" w:hAnsi="Times New Roman"/>
          <w:sz w:val="16"/>
          <w:szCs w:val="16"/>
          <w:color w:val="auto"/>
        </w:rPr>
        <w:t>. Make, hold or otherwise permit to exist any Investment,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1280"/>
          </w:cols>
          <w:pgMar w:left="300" w:top="1181" w:right="319" w:bottom="1440" w:gutter="0" w:footer="0" w:header="0"/>
        </w:sectPr>
      </w:pPr>
    </w:p>
    <w:bookmarkStart w:id="505" w:name="page506"/>
    <w:bookmarkEnd w:id="505"/>
    <w:p>
      <w:pPr>
        <w:jc w:val="both"/>
        <w:ind w:firstLine="509"/>
        <w:spacing w:after="0" w:line="246" w:lineRule="auto"/>
        <w:tabs>
          <w:tab w:leader="none" w:pos="905"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existing on the Closing Date (other than Investments in Subsidiaries existing on the Closing Date) and described on </w:t>
      </w:r>
      <w:r>
        <w:rPr>
          <w:rFonts w:ascii="Times New Roman" w:cs="Times New Roman" w:eastAsia="Times New Roman" w:hAnsi="Times New Roman"/>
          <w:sz w:val="17"/>
          <w:szCs w:val="17"/>
          <w:u w:val="single" w:color="auto"/>
          <w:color w:val="auto"/>
        </w:rPr>
        <w:t>Schedule 9.3</w:t>
      </w:r>
      <w:r>
        <w:rPr>
          <w:rFonts w:ascii="Times New Roman" w:cs="Times New Roman" w:eastAsia="Times New Roman" w:hAnsi="Times New Roman"/>
          <w:sz w:val="17"/>
          <w:szCs w:val="17"/>
          <w:color w:val="auto"/>
        </w:rPr>
        <w:t xml:space="preserve"> and any modification, replacement, renewal or extension thereof so long as such modification, renewal or extension thereof does not increase the amount of such Investment except as otherwise permitted by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jc w:val="both"/>
        <w:ind w:firstLine="509"/>
        <w:spacing w:after="0" w:line="242" w:lineRule="auto"/>
        <w:tabs>
          <w:tab w:leader="none" w:pos="872"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 existing on the Closing Date in Subsidiaries existing on the Closing Date, (ii) made after the Closing Date by any Credit Party in any other Credit Party, (iii) made after the Closing Date by any Subsidiary that is not a Guarantor (other than WF Brokerage) in any Credit Party, (iv) made after the Closing Date by any Subsidiary that is not a Guarantor in any other Subsidiary that is not a Guarantor and (v) made after the Closing Date by the Borrower in any Subsidiary that is not a Credit Party (other than WF Brokerage) up to the greater of (A) $35,000,000 and (B) 25% of Consolidated EBITDA for the most recently ended Reference Period;</w:t>
      </w:r>
    </w:p>
    <w:p>
      <w:pPr>
        <w:spacing w:after="0" w:line="149" w:lineRule="exact"/>
        <w:rPr>
          <w:rFonts w:ascii="Times New Roman" w:cs="Times New Roman" w:eastAsia="Times New Roman" w:hAnsi="Times New Roman"/>
          <w:sz w:val="17"/>
          <w:szCs w:val="17"/>
          <w:color w:val="auto"/>
        </w:rPr>
      </w:pPr>
    </w:p>
    <w:p>
      <w:pPr>
        <w:ind w:firstLine="509"/>
        <w:spacing w:after="0" w:line="259" w:lineRule="auto"/>
        <w:tabs>
          <w:tab w:leader="none" w:pos="884"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made to Wealthfront Holdings, Wealthfront Home Lending or any other Mortgage Entity in an aggregate amount not to exceed $50,000,000 during the term of this Agreement;</w:t>
      </w:r>
    </w:p>
    <w:p>
      <w:pPr>
        <w:spacing w:after="0" w:line="135"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by any Credit Party in WF Brokerage under </w:t>
      </w:r>
      <w:r>
        <w:rPr>
          <w:rFonts w:ascii="Times New Roman" w:cs="Times New Roman" w:eastAsia="Times New Roman" w:hAnsi="Times New Roman"/>
          <w:sz w:val="17"/>
          <w:szCs w:val="17"/>
          <w:u w:val="single" w:color="auto"/>
          <w:color w:val="auto"/>
        </w:rPr>
        <w:t>Section 9.1(f)</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by WF Brokerage in any Credit Party under </w:t>
      </w:r>
      <w:r>
        <w:rPr>
          <w:rFonts w:ascii="Times New Roman" w:cs="Times New Roman" w:eastAsia="Times New Roman" w:hAnsi="Times New Roman"/>
          <w:sz w:val="17"/>
          <w:szCs w:val="17"/>
          <w:u w:val="single" w:color="auto"/>
          <w:color w:val="auto"/>
        </w:rPr>
        <w:t>Section 9.1(g)</w:t>
      </w:r>
      <w:r>
        <w:rPr>
          <w:rFonts w:ascii="Times New Roman" w:cs="Times New Roman" w:eastAsia="Times New Roman" w:hAnsi="Times New Roman"/>
          <w:sz w:val="17"/>
          <w:szCs w:val="17"/>
          <w:color w:val="auto"/>
        </w:rPr>
        <w:t xml:space="preserve"> that do not otherwise violate any other provision of this Agreement;</w:t>
      </w:r>
    </w:p>
    <w:p>
      <w:pPr>
        <w:spacing w:after="0" w:line="161"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cash and Cash Equivalents;</w:t>
      </w:r>
    </w:p>
    <w:p>
      <w:pPr>
        <w:spacing w:after="0" w:line="172"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deposits made in the ordinary course of business to secure the performance of leases or other obligations as permitted by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Hedge Agreements permitted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in the form of Restricted Payments permitted pursuant to </w:t>
      </w:r>
      <w:r>
        <w:rPr>
          <w:rFonts w:ascii="Times New Roman" w:cs="Times New Roman" w:eastAsia="Times New Roman" w:hAnsi="Times New Roman"/>
          <w:sz w:val="17"/>
          <w:szCs w:val="17"/>
          <w:u w:val="single" w:color="auto"/>
          <w:color w:val="auto"/>
        </w:rPr>
        <w:t>Section 9.6</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Guarantees permitted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the endorsement of negotiable instruments for deposit or collection or similar transactions in the ordinary course of business;</w:t>
      </w:r>
    </w:p>
    <w:p>
      <w:pPr>
        <w:spacing w:after="0" w:line="172" w:lineRule="exact"/>
        <w:rPr>
          <w:rFonts w:ascii="Times New Roman" w:cs="Times New Roman" w:eastAsia="Times New Roman" w:hAnsi="Times New Roman"/>
          <w:sz w:val="17"/>
          <w:szCs w:val="17"/>
          <w:color w:val="auto"/>
        </w:rPr>
      </w:pPr>
    </w:p>
    <w:p>
      <w:pPr>
        <w:jc w:val="both"/>
        <w:ind w:firstLine="509"/>
        <w:spacing w:after="0" w:line="245" w:lineRule="auto"/>
        <w:tabs>
          <w:tab w:leader="none" w:pos="838"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(i) travel advances, employee relocation loans and other employee loans and advances in the ordinary course of business and (ii) loans to employees, officers or directors relating to the purchase of equity securities of Borrower pursuant to employee stock purchase plans or arrangements approved by Borrower’s board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aggregate amount of loans or other Investments made pursuant to this clause (l) does not exceed $5,000,000 in an aggregate amount at any time outstanding;</w:t>
      </w:r>
    </w:p>
    <w:p>
      <w:pPr>
        <w:spacing w:after="0" w:line="137" w:lineRule="exact"/>
        <w:rPr>
          <w:rFonts w:ascii="Times New Roman" w:cs="Times New Roman" w:eastAsia="Times New Roman" w:hAnsi="Times New Roman"/>
          <w:sz w:val="17"/>
          <w:szCs w:val="17"/>
          <w:color w:val="auto"/>
        </w:rPr>
      </w:pPr>
    </w:p>
    <w:p>
      <w:pPr>
        <w:ind w:left="920" w:hanging="411"/>
        <w:spacing w:after="0"/>
        <w:tabs>
          <w:tab w:leader="none" w:pos="92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by the Borrower or any Subsidiary thereof in the form of:</w:t>
      </w:r>
    </w:p>
    <w:p>
      <w:pPr>
        <w:spacing w:after="0" w:line="172" w:lineRule="exact"/>
        <w:rPr>
          <w:rFonts w:ascii="Times New Roman" w:cs="Times New Roman" w:eastAsia="Times New Roman" w:hAnsi="Times New Roman"/>
          <w:sz w:val="17"/>
          <w:szCs w:val="17"/>
          <w:color w:val="auto"/>
        </w:rPr>
      </w:pPr>
    </w:p>
    <w:p>
      <w:pPr>
        <w:ind w:left="500" w:firstLine="513"/>
        <w:spacing w:after="0" w:line="259" w:lineRule="auto"/>
        <w:tabs>
          <w:tab w:leader="none" w:pos="1375" w:val="left"/>
        </w:tabs>
        <w:numPr>
          <w:ilvl w:val="1"/>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Permitted Acquisitions to the extent that any Person or Property acquired in such Acquisition becomes a part of the Borrower or a Guarantor or becomes a Guarantor in the manner contemplated by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280"/>
          </w:cols>
          <w:pgMar w:left="300" w:top="1180" w:right="319" w:bottom="1440" w:gutter="0" w:footer="0" w:header="0"/>
        </w:sectPr>
      </w:pPr>
    </w:p>
    <w:bookmarkStart w:id="506" w:name="page507"/>
    <w:bookmarkEnd w:id="506"/>
    <w:p>
      <w:pPr>
        <w:ind w:left="500" w:firstLine="513"/>
        <w:spacing w:after="0" w:line="259" w:lineRule="auto"/>
        <w:tabs>
          <w:tab w:leader="none" w:pos="1413" w:val="left"/>
        </w:tabs>
        <w:numPr>
          <w:ilvl w:val="1"/>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Acquisitions to the extent that any Person or Property acquired in such Acquisition does not become a Guarantor or a part of a Credit Party, provided that the cash consideration paid in connection therewith does not exceed $100,000,000 in the aggregate during the term of this Agreement;</w:t>
      </w:r>
    </w:p>
    <w:p>
      <w:pPr>
        <w:spacing w:after="0" w:line="124" w:lineRule="exact"/>
        <w:rPr>
          <w:rFonts w:ascii="Times New Roman" w:cs="Times New Roman" w:eastAsia="Times New Roman" w:hAnsi="Times New Roman"/>
          <w:sz w:val="17"/>
          <w:szCs w:val="17"/>
          <w:color w:val="auto"/>
        </w:rPr>
      </w:pPr>
    </w:p>
    <w:p>
      <w:pPr>
        <w:ind w:firstLine="509"/>
        <w:spacing w:after="0" w:line="272" w:lineRule="auto"/>
        <w:tabs>
          <w:tab w:leader="none" w:pos="944"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14" w:lineRule="exact"/>
        <w:rPr>
          <w:rFonts w:ascii="Times New Roman" w:cs="Times New Roman" w:eastAsia="Times New Roman" w:hAnsi="Times New Roman"/>
          <w:sz w:val="17"/>
          <w:szCs w:val="17"/>
          <w:color w:val="auto"/>
        </w:rPr>
      </w:pPr>
    </w:p>
    <w:p>
      <w:pPr>
        <w:ind w:firstLine="509"/>
        <w:spacing w:after="0" w:line="272" w:lineRule="auto"/>
        <w:tabs>
          <w:tab w:leader="none" w:pos="970"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notes receivable and other credit extensions to customers and suppliers who are not Affiliates,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this clause (n) shall not apply to Investments by a Borrower in any Subsidiary;</w:t>
      </w:r>
    </w:p>
    <w:p>
      <w:pPr>
        <w:spacing w:after="0" w:line="114" w:lineRule="exact"/>
        <w:rPr>
          <w:rFonts w:ascii="Times New Roman" w:cs="Times New Roman" w:eastAsia="Times New Roman" w:hAnsi="Times New Roman"/>
          <w:sz w:val="17"/>
          <w:szCs w:val="17"/>
          <w:color w:val="auto"/>
        </w:rPr>
      </w:pPr>
    </w:p>
    <w:p>
      <w:pPr>
        <w:jc w:val="both"/>
        <w:ind w:firstLine="509"/>
        <w:spacing w:after="0" w:line="252" w:lineRule="auto"/>
        <w:tabs>
          <w:tab w:leader="none" w:pos="932"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in joint ventures or strategic alliances in the ordinary course of Borrower’s and its Subsidiaries’ business consisting of the non-exclusive licensing of technology, the development of technology or the providing of technical support,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cash Investments by Borrower or its Subsidiaries do not exceed Two Hundred Fifty Thousand Dollars ($250,000) in the aggregate in any fiscal year;</w:t>
      </w:r>
    </w:p>
    <w:p>
      <w:pPr>
        <w:spacing w:after="0" w:line="130" w:lineRule="exact"/>
        <w:rPr>
          <w:rFonts w:ascii="Times New Roman" w:cs="Times New Roman" w:eastAsia="Times New Roman" w:hAnsi="Times New Roman"/>
          <w:sz w:val="17"/>
          <w:szCs w:val="17"/>
          <w:color w:val="auto"/>
        </w:rPr>
      </w:pPr>
    </w:p>
    <w:p>
      <w:pPr>
        <w:ind w:firstLine="509"/>
        <w:spacing w:after="0" w:line="272" w:lineRule="auto"/>
        <w:tabs>
          <w:tab w:leader="none" w:pos="997"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Foreign Subsidiaries; provided, that the aggregate amount of all such Investments shall not at any time exceed the greater of (i) $35,000,000 and (ii) 25% of Consolidated EBITDA for the most recently ended Reference Period;</w:t>
      </w:r>
    </w:p>
    <w:p>
      <w:pPr>
        <w:spacing w:after="0" w:line="114" w:lineRule="exact"/>
        <w:rPr>
          <w:rFonts w:ascii="Times New Roman" w:cs="Times New Roman" w:eastAsia="Times New Roman" w:hAnsi="Times New Roman"/>
          <w:sz w:val="17"/>
          <w:szCs w:val="17"/>
          <w:color w:val="auto"/>
        </w:rPr>
      </w:pPr>
    </w:p>
    <w:p>
      <w:pPr>
        <w:ind w:firstLine="509"/>
        <w:spacing w:after="0" w:line="259" w:lineRule="auto"/>
        <w:tabs>
          <w:tab w:leader="none" w:pos="879"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margin lending products, including portfolio lines of credit, and securities lending products provided by Wealthfront Advisers LLC, Wealthfront Strategies LLC, WF Brokerage or any other Subsidiary that is a registered investment advisor or registered broker-dealer; and</w:t>
      </w:r>
    </w:p>
    <w:p>
      <w:pPr>
        <w:spacing w:after="0" w:line="135" w:lineRule="exact"/>
        <w:rPr>
          <w:rFonts w:ascii="Times New Roman" w:cs="Times New Roman" w:eastAsia="Times New Roman" w:hAnsi="Times New Roman"/>
          <w:sz w:val="17"/>
          <w:szCs w:val="17"/>
          <w:color w:val="auto"/>
        </w:rPr>
      </w:pPr>
    </w:p>
    <w:p>
      <w:pPr>
        <w:jc w:val="both"/>
        <w:ind w:firstLine="509"/>
        <w:spacing w:after="0" w:line="242" w:lineRule="auto"/>
        <w:tabs>
          <w:tab w:leader="none" w:pos="916"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not otherwise permitted under this Section (other than Acquisitions);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immediately before and immediately after giving pro forma effect to any such Investments and any Indebtedness incurred in connection therewith, no Default or Event of Default shall have occurred and be continuing or would be caused by the incurrence of such Investments;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aggregate amount of all Investments made pursuant to this </w:t>
      </w:r>
      <w:r>
        <w:rPr>
          <w:rFonts w:ascii="Times New Roman" w:cs="Times New Roman" w:eastAsia="Times New Roman" w:hAnsi="Times New Roman"/>
          <w:sz w:val="17"/>
          <w:szCs w:val="17"/>
          <w:u w:val="single" w:color="auto"/>
          <w:color w:val="auto"/>
        </w:rPr>
        <w:t>clause (s)</w:t>
      </w:r>
      <w:r>
        <w:rPr>
          <w:rFonts w:ascii="Times New Roman" w:cs="Times New Roman" w:eastAsia="Times New Roman" w:hAnsi="Times New Roman"/>
          <w:sz w:val="17"/>
          <w:szCs w:val="17"/>
          <w:color w:val="auto"/>
        </w:rPr>
        <w:t xml:space="preserve"> shall (A) not exceed the greater of (x) $45,000,000 and (y) 30% of Consolidated EBITDA for the most recently ended Reference Period or (B) be an unlimited amount if the Consolidated Total Net Leverage Ratio at the time such Investment is made is not greater than 3:00 to 1:00 determined on a Pro Forma Basis.</w:t>
      </w:r>
    </w:p>
    <w:p>
      <w:pPr>
        <w:spacing w:after="0" w:line="150"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7"/>
          <w:szCs w:val="17"/>
          <w:color w:val="auto"/>
        </w:rPr>
        <w:t xml:space="preserve">For purposes of determining the amount of any Investment outstanding for purposes of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such amount shall be deemed to be the amount of such Investment when made, purchased or acquired (without adjustment for subsequent increases or decreases in the value of such Investment)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any amount realized in respect of such Investment upon the sale, collection or return of capital (not to exceed the original amount invested).</w:t>
      </w:r>
    </w:p>
    <w:p>
      <w:pPr>
        <w:spacing w:after="0" w:line="145"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Fundamental Changes</w:t>
      </w:r>
      <w:r>
        <w:rPr>
          <w:rFonts w:ascii="Times New Roman" w:cs="Times New Roman" w:eastAsia="Times New Roman" w:hAnsi="Times New Roman"/>
          <w:sz w:val="17"/>
          <w:szCs w:val="17"/>
          <w:color w:val="auto"/>
        </w:rPr>
        <w:t>. Merge, consolidate, amalgamate or enter into any similar combination with (including by division), or enter into any Asset Disposition of all or substantially all of its assets (whether in a single transaction or a series of transactions)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1280"/>
          </w:cols>
          <w:pgMar w:left="300" w:top="1181" w:right="31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7"/>
          <w:szCs w:val="17"/>
          <w:color w:val="auto"/>
        </w:rPr>
        <w:t>other Person or liquidate, wind-up or dissolve itself (or suffer any liquidation or dissolution) except:</w:t>
      </w:r>
    </w:p>
    <w:p>
      <w:pPr>
        <w:spacing w:after="0" w:line="172" w:lineRule="exact"/>
        <w:rPr>
          <w:sz w:val="20"/>
          <w:szCs w:val="20"/>
          <w:color w:val="auto"/>
        </w:rPr>
      </w:pPr>
    </w:p>
    <w:p>
      <w:pPr>
        <w:jc w:val="both"/>
        <w:ind w:firstLine="509"/>
        <w:spacing w:after="0" w:line="282" w:lineRule="auto"/>
        <w:tabs>
          <w:tab w:leader="none" w:pos="1018"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Wholly-Owned Subsidiary of the Borrower (other than WF Brokerage) may be merged, amalgamated, liquidated, dissolved, wound up or consolidated with or into the Borrower or any Subsidiary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such Subsidiary is a Credit Party, such Subsidiary shall be merged, amalgamated, liquidated, dissolved, wound up or consolidated with or into the Borrower or any Credit Party and the Borrower or such Credit Party shall be the continuing or surviving entity);</w:t>
      </w:r>
    </w:p>
    <w:p>
      <w:pPr>
        <w:spacing w:after="0" w:line="118" w:lineRule="exact"/>
        <w:rPr>
          <w:rFonts w:ascii="Times New Roman" w:cs="Times New Roman" w:eastAsia="Times New Roman" w:hAnsi="Times New Roman"/>
          <w:sz w:val="16"/>
          <w:szCs w:val="16"/>
          <w:color w:val="auto"/>
        </w:rPr>
      </w:pPr>
    </w:p>
    <w:p>
      <w:pPr>
        <w:ind w:left="880" w:hanging="371"/>
        <w:spacing w:after="0"/>
        <w:tabs>
          <w:tab w:leader="none" w:pos="880"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Guarantor may be merged, amalgamated or consolidated with or into, or be liquidated into, any other Guarantor;</w:t>
      </w:r>
    </w:p>
    <w:p>
      <w:pPr>
        <w:spacing w:after="0" w:line="182"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Guarantor may dispose of all or substantially all of its assets (upon voluntary liquidation, dissolution, winding up, division or otherwise) to any other</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Credit Party;</w:t>
      </w:r>
    </w:p>
    <w:p>
      <w:pPr>
        <w:spacing w:after="0" w:line="154" w:lineRule="exact"/>
        <w:rPr>
          <w:rFonts w:ascii="Times New Roman" w:cs="Times New Roman" w:eastAsia="Times New Roman" w:hAnsi="Times New Roman"/>
          <w:sz w:val="16"/>
          <w:szCs w:val="16"/>
          <w:color w:val="auto"/>
        </w:rPr>
      </w:pPr>
    </w:p>
    <w:p>
      <w:pPr>
        <w:ind w:left="860" w:hanging="351"/>
        <w:spacing w:after="0"/>
        <w:tabs>
          <w:tab w:leader="none" w:pos="860"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Asset Dispositions permitted by </w:t>
      </w:r>
      <w:r>
        <w:rPr>
          <w:rFonts w:ascii="Times New Roman" w:cs="Times New Roman" w:eastAsia="Times New Roman" w:hAnsi="Times New Roman"/>
          <w:sz w:val="17"/>
          <w:szCs w:val="17"/>
          <w:u w:val="single" w:color="auto"/>
          <w:color w:val="auto"/>
        </w:rPr>
        <w:t>Section 9.5</w:t>
      </w:r>
      <w:r>
        <w:rPr>
          <w:rFonts w:ascii="Times New Roman" w:cs="Times New Roman" w:eastAsia="Times New Roman" w:hAnsi="Times New Roman"/>
          <w:sz w:val="17"/>
          <w:szCs w:val="17"/>
          <w:color w:val="auto"/>
        </w:rPr>
        <w:t>; and</w:t>
      </w:r>
    </w:p>
    <w:p>
      <w:pPr>
        <w:spacing w:after="0" w:line="172" w:lineRule="exact"/>
        <w:rPr>
          <w:rFonts w:ascii="Times New Roman" w:cs="Times New Roman" w:eastAsia="Times New Roman" w:hAnsi="Times New Roman"/>
          <w:sz w:val="17"/>
          <w:szCs w:val="17"/>
          <w:color w:val="auto"/>
        </w:rPr>
      </w:pPr>
    </w:p>
    <w:p>
      <w:pPr>
        <w:jc w:val="both"/>
        <w:ind w:firstLine="509"/>
        <w:spacing w:after="0" w:line="289" w:lineRule="auto"/>
        <w:tabs>
          <w:tab w:leader="none" w:pos="871"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Person may merge with or into the Borrower or any of its Wholly-Owned Subsidiaries in connection with a Permitted Acquisition permitted pursuant to </w:t>
      </w:r>
      <w:r>
        <w:rPr>
          <w:rFonts w:ascii="Times New Roman" w:cs="Times New Roman" w:eastAsia="Times New Roman" w:hAnsi="Times New Roman"/>
          <w:sz w:val="16"/>
          <w:szCs w:val="16"/>
          <w:u w:val="single" w:color="auto"/>
          <w:color w:val="auto"/>
        </w:rPr>
        <w:t>Section 9.3(m)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in the case of a merger involving the Borrower or a Guarantor, the continuing or surviving Person shall be the Borrower or such Guarantor and (ii) the continuing or surviving Person shall be the Borrower or a Wholly-Owned Subsidiary of the Borrower and shall comply with </w:t>
      </w:r>
      <w:r>
        <w:rPr>
          <w:rFonts w:ascii="Times New Roman" w:cs="Times New Roman" w:eastAsia="Times New Roman" w:hAnsi="Times New Roman"/>
          <w:sz w:val="16"/>
          <w:szCs w:val="16"/>
          <w:u w:val="single" w:color="auto"/>
          <w:color w:val="auto"/>
        </w:rPr>
        <w:t>Section 8.14</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7"/>
          <w:szCs w:val="17"/>
          <w:color w:val="auto"/>
        </w:rPr>
        <w:t>Section 9.5</w:t>
      </w:r>
      <w:r>
        <w:rPr>
          <w:sz w:val="20"/>
          <w:szCs w:val="20"/>
          <w:color w:val="auto"/>
        </w:rPr>
        <w:tab/>
      </w:r>
      <w:r>
        <w:rPr>
          <w:rFonts w:ascii="Times New Roman" w:cs="Times New Roman" w:eastAsia="Times New Roman" w:hAnsi="Times New Roman"/>
          <w:sz w:val="16"/>
          <w:szCs w:val="16"/>
          <w:u w:val="single" w:color="auto"/>
          <w:color w:val="auto"/>
        </w:rPr>
        <w:t>Asset Dispositions</w:t>
      </w:r>
      <w:r>
        <w:rPr>
          <w:rFonts w:ascii="Times New Roman" w:cs="Times New Roman" w:eastAsia="Times New Roman" w:hAnsi="Times New Roman"/>
          <w:sz w:val="16"/>
          <w:szCs w:val="16"/>
          <w:color w:val="auto"/>
        </w:rPr>
        <w:t>. Make any Asset Disposition except:</w:t>
      </w:r>
    </w:p>
    <w:p>
      <w:pPr>
        <w:spacing w:after="0" w:line="172" w:lineRule="exact"/>
        <w:rPr>
          <w:sz w:val="20"/>
          <w:szCs w:val="20"/>
          <w:color w:val="auto"/>
        </w:rPr>
      </w:pPr>
    </w:p>
    <w:p>
      <w:pPr>
        <w:ind w:left="860" w:hanging="351"/>
        <w:spacing w:after="0"/>
        <w:tabs>
          <w:tab w:leader="none" w:pos="86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disposition, termination or unwinding of any Hedge Agreement;</w:t>
      </w:r>
    </w:p>
    <w:p>
      <w:pPr>
        <w:spacing w:after="0" w:line="172"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cash and Cash Equivalents in the ordinary course of business;</w:t>
      </w:r>
    </w:p>
    <w:p>
      <w:pPr>
        <w:spacing w:after="0" w:line="172"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Dispositions solely among Credit Parties;</w:t>
      </w:r>
    </w:p>
    <w:p>
      <w:pPr>
        <w:spacing w:after="0" w:line="172" w:lineRule="exact"/>
        <w:rPr>
          <w:rFonts w:ascii="Times New Roman" w:cs="Times New Roman" w:eastAsia="Times New Roman" w:hAnsi="Times New Roman"/>
          <w:sz w:val="17"/>
          <w:szCs w:val="17"/>
          <w:color w:val="auto"/>
        </w:rPr>
      </w:pPr>
    </w:p>
    <w:p>
      <w:pPr>
        <w:ind w:firstLine="509"/>
        <w:spacing w:after="0" w:line="285" w:lineRule="auto"/>
        <w:tabs>
          <w:tab w:leader="none" w:pos="902"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by any Subsidiary that is not a Credit Party of its assets to any Credit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connection with any such transfer, such Credit Party shall not pay more than an amount equal to the fair market value of such assets as determined in good faith at the time of such transfer);</w:t>
      </w:r>
    </w:p>
    <w:p>
      <w:pPr>
        <w:spacing w:after="0" w:line="113" w:lineRule="exact"/>
        <w:rPr>
          <w:rFonts w:ascii="Times New Roman" w:cs="Times New Roman" w:eastAsia="Times New Roman" w:hAnsi="Times New Roman"/>
          <w:sz w:val="17"/>
          <w:szCs w:val="17"/>
          <w:color w:val="auto"/>
        </w:rPr>
      </w:pPr>
    </w:p>
    <w:p>
      <w:pPr>
        <w:ind w:firstLine="509"/>
        <w:spacing w:after="0" w:line="272" w:lineRule="auto"/>
        <w:tabs>
          <w:tab w:leader="none" w:pos="871"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non-exclusive licenses and sublicenses of intellectual property rights in the ordinary course of business not interfering, individually or in the aggregate, in any material respect with the business of the Borrower and its Subsidiaries;</w:t>
      </w:r>
    </w:p>
    <w:p>
      <w:pPr>
        <w:spacing w:after="0" w:line="124" w:lineRule="exact"/>
        <w:rPr>
          <w:rFonts w:ascii="Times New Roman" w:cs="Times New Roman" w:eastAsia="Times New Roman" w:hAnsi="Times New Roman"/>
          <w:sz w:val="17"/>
          <w:szCs w:val="17"/>
          <w:color w:val="auto"/>
        </w:rPr>
      </w:pPr>
    </w:p>
    <w:p>
      <w:pPr>
        <w:jc w:val="both"/>
        <w:ind w:firstLine="509"/>
        <w:spacing w:after="0" w:line="265" w:lineRule="auto"/>
        <w:tabs>
          <w:tab w:leader="none" w:pos="854"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subleases, licenses or sublicenses of real or personal property granted by the Borrower or any of its Subsidiaries to others in the ordinary course of business not detracting from the value of such real or personal property or interfering in any material respect with the business of the Borrower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1280"/>
          </w:cols>
          <w:pgMar w:left="300" w:top="1191" w:right="319" w:bottom="1440" w:gutter="0" w:footer="0" w:header="0"/>
        </w:sectPr>
      </w:pPr>
    </w:p>
    <w:bookmarkStart w:id="508" w:name="page509"/>
    <w:bookmarkEnd w:id="508"/>
    <w:p>
      <w:pPr>
        <w:ind w:left="860" w:hanging="351"/>
        <w:spacing w:after="0"/>
        <w:tabs>
          <w:tab w:leader="none" w:pos="860"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Asset Dispositions of property in the form of an Investment permitted pursuant to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firstLine="509"/>
        <w:spacing w:after="0" w:line="259" w:lineRule="auto"/>
        <w:tabs>
          <w:tab w:leader="none" w:pos="963"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Asset Dispositions not otherwise permitted pursuant to this Section;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aggregate during the term of this Agreement such Asset Dispositions do not exceed the greater of (i) $10,000,000 and (ii) 5% of Consolidated EBITDA for the most recently ended Reference Period;</w:t>
      </w:r>
    </w:p>
    <w:p>
      <w:pPr>
        <w:spacing w:after="0" w:line="114" w:lineRule="exact"/>
        <w:rPr>
          <w:rFonts w:ascii="Times New Roman" w:cs="Times New Roman" w:eastAsia="Times New Roman" w:hAnsi="Times New Roman"/>
          <w:sz w:val="17"/>
          <w:szCs w:val="17"/>
          <w:color w:val="auto"/>
        </w:rPr>
      </w:pPr>
    </w:p>
    <w:p>
      <w:pPr>
        <w:jc w:val="both"/>
        <w:ind w:firstLine="509"/>
        <w:spacing w:after="0" w:line="236" w:lineRule="auto"/>
        <w:tabs>
          <w:tab w:leader="none" w:pos="847"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of any agreement between any Credit Party and Wealthfront Holdings or Wealthfront Home Lending, (ii) transfer to employees relating to the mortgage business from the Credit Parties to Wealthfront Holdings or Wealthfront Home Lending, and (iii) forgiveness, writedown or other disposition of intercompany loans owed by Wealthfront Holdings and Wealthfront Home Lending to Credit Parties, in each case, if Wealthfront Holdings and Wealthfront Home Lending become direct or indirect Wholly-Owned Subsidiaries of the Borrower (notwithstanding that Wealthfront Holdings and Wealthfront Home Lending may remain Excluded Subsidiaries pursuant to the terms thereof); and</w:t>
      </w:r>
    </w:p>
    <w:p>
      <w:pPr>
        <w:spacing w:after="0" w:line="132" w:lineRule="exact"/>
        <w:rPr>
          <w:rFonts w:ascii="Times New Roman" w:cs="Times New Roman" w:eastAsia="Times New Roman" w:hAnsi="Times New Roman"/>
          <w:sz w:val="17"/>
          <w:szCs w:val="17"/>
          <w:color w:val="auto"/>
        </w:rPr>
      </w:pPr>
    </w:p>
    <w:p>
      <w:pPr>
        <w:jc w:val="both"/>
        <w:ind w:firstLine="509"/>
        <w:spacing w:after="0" w:line="237" w:lineRule="auto"/>
        <w:tabs>
          <w:tab w:leader="none" w:pos="835"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Asset Dispositions not otherwise permitted pursuant to this Section;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at the time of such Asset Disposition, no Default or Event of Default shall exist or would result from such Asset Disposition, (ii) such Asset Disposition is made for fair market value as determined in good faith by the Borrower and the consideration received shall be no less than 75% in cash, and (iii) the Borrower is in pro forma compliance with the financial covenants set forth in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as certified by the Borrower to the Administrative Agent prior to such Asset Disposition.</w:t>
      </w:r>
    </w:p>
    <w:p>
      <w:pPr>
        <w:spacing w:after="0" w:line="142"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7"/>
          <w:szCs w:val="17"/>
          <w:color w:val="auto"/>
        </w:rPr>
        <w:t>Section 9.6</w:t>
      </w:r>
      <w:r>
        <w:rPr>
          <w:sz w:val="20"/>
          <w:szCs w:val="20"/>
          <w:color w:val="auto"/>
        </w:rPr>
        <w:tab/>
      </w:r>
      <w:r>
        <w:rPr>
          <w:rFonts w:ascii="Times New Roman" w:cs="Times New Roman" w:eastAsia="Times New Roman" w:hAnsi="Times New Roman"/>
          <w:sz w:val="16"/>
          <w:szCs w:val="16"/>
          <w:u w:val="single" w:color="auto"/>
          <w:color w:val="auto"/>
        </w:rPr>
        <w:t>Restricted Payments</w:t>
      </w:r>
      <w:r>
        <w:rPr>
          <w:rFonts w:ascii="Times New Roman" w:cs="Times New Roman" w:eastAsia="Times New Roman" w:hAnsi="Times New Roman"/>
          <w:sz w:val="16"/>
          <w:szCs w:val="16"/>
          <w:color w:val="auto"/>
        </w:rPr>
        <w:t>. Declare or make any Restricted Payments;</w:t>
      </w:r>
      <w:r>
        <w:rPr>
          <w:rFonts w:ascii="Times New Roman" w:cs="Times New Roman" w:eastAsia="Times New Roman" w:hAnsi="Times New Roman"/>
          <w:sz w:val="16"/>
          <w:szCs w:val="16"/>
          <w:u w:val="single" w:color="auto"/>
          <w:color w:val="auto"/>
        </w:rPr>
        <w:t xml:space="preserve"> provided </w:t>
      </w:r>
      <w:r>
        <w:rPr>
          <w:rFonts w:ascii="Times New Roman" w:cs="Times New Roman" w:eastAsia="Times New Roman" w:hAnsi="Times New Roman"/>
          <w:sz w:val="16"/>
          <w:szCs w:val="16"/>
          <w:color w:val="auto"/>
        </w:rPr>
        <w:t>that:</w:t>
      </w:r>
    </w:p>
    <w:p>
      <w:pPr>
        <w:spacing w:after="0" w:line="151" w:lineRule="exact"/>
        <w:rPr>
          <w:sz w:val="20"/>
          <w:szCs w:val="20"/>
          <w:color w:val="auto"/>
        </w:rPr>
      </w:pPr>
    </w:p>
    <w:p>
      <w:pPr>
        <w:ind w:firstLine="509"/>
        <w:spacing w:after="0" w:line="259" w:lineRule="auto"/>
        <w:tabs>
          <w:tab w:leader="none" w:pos="878"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Default or Event of Default has occurred and is continuing or would result therefrom, the Borrower may pay dividends in shares of its own Qualified Equity Interests;</w:t>
      </w:r>
    </w:p>
    <w:p>
      <w:pPr>
        <w:spacing w:after="0" w:line="124"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Subsidiary of the Borrower may make Restricted Payments to the Borrower or any Guarantor;</w:t>
      </w:r>
    </w:p>
    <w:p>
      <w:pPr>
        <w:spacing w:after="0" w:line="151" w:lineRule="exact"/>
        <w:rPr>
          <w:rFonts w:ascii="Times New Roman" w:cs="Times New Roman" w:eastAsia="Times New Roman" w:hAnsi="Times New Roman"/>
          <w:sz w:val="17"/>
          <w:szCs w:val="17"/>
          <w:color w:val="auto"/>
        </w:rPr>
      </w:pPr>
    </w:p>
    <w:p>
      <w:pPr>
        <w:ind w:firstLine="509"/>
        <w:spacing w:after="0" w:line="259" w:lineRule="auto"/>
        <w:tabs>
          <w:tab w:leader="none" w:pos="958"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purchase or repurchase fractional shares of capital stock arising out of stock dividends, splits, or combination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amount expended pursuant to this clause (c) does not exceed $25,000;</w:t>
      </w:r>
    </w:p>
    <w:p>
      <w:pPr>
        <w:spacing w:after="0" w:line="114"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convert or exchange any of its convertible securities solely into Qualified Equity Interests;</w:t>
      </w:r>
    </w:p>
    <w:p>
      <w:pPr>
        <w:spacing w:after="0" w:line="161" w:lineRule="exact"/>
        <w:rPr>
          <w:rFonts w:ascii="Times New Roman" w:cs="Times New Roman" w:eastAsia="Times New Roman" w:hAnsi="Times New Roman"/>
          <w:sz w:val="17"/>
          <w:szCs w:val="17"/>
          <w:color w:val="auto"/>
        </w:rPr>
      </w:pPr>
    </w:p>
    <w:p>
      <w:pPr>
        <w:jc w:val="both"/>
        <w:ind w:firstLine="509"/>
        <w:spacing w:after="0" w:line="234" w:lineRule="auto"/>
        <w:tabs>
          <w:tab w:leader="none" w:pos="947"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repurchase Equity Interests held by any future, present or former employee, director, officer, manager, consultant or independent contractor of the Borrower, including any repurchase, retirement or redemption pursuant to stock option plans, benefit plans or similar agreement or arrangement or upon their death, disability, retirement, severance or termination of employment or service so long as (i) no Default or Event of Default has occurred and is continuing or would result therefrom and (ii) the Consolidated Total Net Leverage Ratio at the time such repurchase occurs is no greater than 3:00 to 1:00 determined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1280"/>
          </w:cols>
          <w:pgMar w:left="300" w:top="1180" w:right="319" w:bottom="1440" w:gutter="0" w:footer="0" w:header="0"/>
        </w:sectPr>
      </w:pPr>
    </w:p>
    <w:bookmarkStart w:id="509" w:name="page510"/>
    <w:bookmarkEnd w:id="509"/>
    <w:p>
      <w:pPr>
        <w:jc w:val="both"/>
        <w:ind w:firstLine="509"/>
        <w:spacing w:after="0" w:line="254" w:lineRule="auto"/>
        <w:tabs>
          <w:tab w:leader="none" w:pos="881"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repurchase Equity Interests deemed to occur in connection with the “net exercise” or “net settlement” of options, warrants or similar Equity Interests (where such repurchase represents a portion of the exercise price thereof) and in connection with payments made or expected to be made in respect of withholding or similar taxes payable or expected to be payable by any future, present or former employee, director, officer, manager, consultant or independent contractor in connection with the exercise of stock options or the grant, vesting or delivery of Equity Interests;</w:t>
      </w:r>
    </w:p>
    <w:p>
      <w:pPr>
        <w:spacing w:after="0" w:line="139" w:lineRule="exact"/>
        <w:rPr>
          <w:rFonts w:ascii="Times New Roman" w:cs="Times New Roman" w:eastAsia="Times New Roman" w:hAnsi="Times New Roman"/>
          <w:sz w:val="17"/>
          <w:szCs w:val="17"/>
          <w:color w:val="auto"/>
        </w:rPr>
      </w:pPr>
    </w:p>
    <w:p>
      <w:pPr>
        <w:ind w:firstLine="509"/>
        <w:spacing w:after="0" w:line="285" w:lineRule="auto"/>
        <w:tabs>
          <w:tab w:leader="none" w:pos="891"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after an IPO, the Borrower may make Restricted Payments in an amount not to exceed 6.0% per fiscal year of the net cash IPO proceeds received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Event of Default has occurred and is continuing;</w:t>
      </w:r>
    </w:p>
    <w:p>
      <w:pPr>
        <w:spacing w:after="0" w:line="113"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repurchase Equity Interests with the proceeds of Qualified Equity Interests issued substantially concurrently with such repurchase; and</w:t>
      </w:r>
    </w:p>
    <w:p>
      <w:pPr>
        <w:spacing w:after="0" w:line="183" w:lineRule="exact"/>
        <w:rPr>
          <w:rFonts w:ascii="Times New Roman" w:cs="Times New Roman" w:eastAsia="Times New Roman" w:hAnsi="Times New Roman"/>
          <w:sz w:val="16"/>
          <w:szCs w:val="16"/>
          <w:color w:val="auto"/>
        </w:rPr>
      </w:pPr>
    </w:p>
    <w:p>
      <w:pPr>
        <w:jc w:val="both"/>
        <w:ind w:firstLine="509"/>
        <w:spacing w:after="0" w:line="258" w:lineRule="auto"/>
        <w:tabs>
          <w:tab w:leader="none" w:pos="841"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make any other Restricted Payments so long as prior to making such Restricted Payment and immediately after giving effect (including giving effect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thereto (i) no Default or Event of Default has occurred and is continuing or would result therefrom and (ii) the Consolidated Total Net Leverage Ratio is less than 2:50 to 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any time clause (ii) is not satisfied, then Restricted Payments under this clause (ii) may be made up to $25,000,000 in the aggregate in any fiscal year.</w:t>
      </w:r>
    </w:p>
    <w:p>
      <w:pPr>
        <w:spacing w:after="0" w:line="13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 xml:space="preserve">Section 9.7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Directly or indirectly enter into any transaction, including any purchase, sale, lease or exchange of Property, the rendering of any service or the payment of any management, advisory or similar fees, involving $5,000,000 or more in the aggregate, with (i) any officer, director, holder of any Equity Interests in, or other Affiliate of, the Borrower or any of its Subsidiaries, or (ii) any Affiliate of any such officer, director or holder, other than:</w:t>
      </w:r>
    </w:p>
    <w:p>
      <w:pPr>
        <w:spacing w:after="0" w:line="137" w:lineRule="exact"/>
        <w:rPr>
          <w:sz w:val="20"/>
          <w:szCs w:val="20"/>
          <w:color w:val="auto"/>
        </w:rPr>
      </w:pPr>
    </w:p>
    <w:p>
      <w:pPr>
        <w:ind w:left="860" w:hanging="351"/>
        <w:spacing w:after="0"/>
        <w:tabs>
          <w:tab w:leader="none" w:pos="860"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transactions permitted by </w:t>
      </w:r>
      <w:r>
        <w:rPr>
          <w:rFonts w:ascii="Times New Roman" w:cs="Times New Roman" w:eastAsia="Times New Roman" w:hAnsi="Times New Roman"/>
          <w:sz w:val="17"/>
          <w:szCs w:val="17"/>
          <w:u w:val="single" w:color="auto"/>
          <w:color w:val="auto"/>
        </w:rPr>
        <w:t>Sections 9.1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9.6</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transactions existing on the Closing Date and described on </w:t>
      </w:r>
      <w:r>
        <w:rPr>
          <w:rFonts w:ascii="Times New Roman" w:cs="Times New Roman" w:eastAsia="Times New Roman" w:hAnsi="Times New Roman"/>
          <w:sz w:val="17"/>
          <w:szCs w:val="17"/>
          <w:u w:val="single" w:color="auto"/>
          <w:color w:val="auto"/>
        </w:rPr>
        <w:t>Schedule 9.7</w:t>
      </w:r>
      <w:r>
        <w:rPr>
          <w:rFonts w:ascii="Times New Roman" w:cs="Times New Roman" w:eastAsia="Times New Roman" w:hAnsi="Times New Roman"/>
          <w:sz w:val="17"/>
          <w:szCs w:val="17"/>
          <w:color w:val="auto"/>
        </w:rPr>
        <w:t>;</w:t>
      </w:r>
    </w:p>
    <w:p>
      <w:pPr>
        <w:spacing w:after="0" w:line="182"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solely among Credit Parties and not otherwise prohibited under this Agreement;</w:t>
      </w:r>
    </w:p>
    <w:p>
      <w:pPr>
        <w:spacing w:after="0" w:line="172" w:lineRule="exact"/>
        <w:rPr>
          <w:rFonts w:ascii="Times New Roman" w:cs="Times New Roman" w:eastAsia="Times New Roman" w:hAnsi="Times New Roman"/>
          <w:sz w:val="17"/>
          <w:szCs w:val="17"/>
          <w:color w:val="auto"/>
        </w:rPr>
      </w:pPr>
    </w:p>
    <w:p>
      <w:pPr>
        <w:jc w:val="both"/>
        <w:ind w:firstLine="509"/>
        <w:spacing w:after="0" w:line="258" w:lineRule="auto"/>
        <w:tabs>
          <w:tab w:leader="none" w:pos="934"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transactions in the ordinary course of business on terms at least as favorable to the Credit Parties and their respective Subsidiaries as would be obtained by it on a comparable arm’s-length transaction with an independent, unrelated third party as determined in good faith by the board of directors (or equivalent governing body) of the Borrower;</w:t>
      </w:r>
    </w:p>
    <w:p>
      <w:pPr>
        <w:spacing w:after="0" w:line="136" w:lineRule="exact"/>
        <w:rPr>
          <w:rFonts w:ascii="Times New Roman" w:cs="Times New Roman" w:eastAsia="Times New Roman" w:hAnsi="Times New Roman"/>
          <w:sz w:val="17"/>
          <w:szCs w:val="17"/>
          <w:color w:val="auto"/>
        </w:rPr>
      </w:pPr>
    </w:p>
    <w:p>
      <w:pPr>
        <w:ind w:firstLine="509"/>
        <w:spacing w:after="0" w:line="285" w:lineRule="auto"/>
        <w:tabs>
          <w:tab w:leader="none" w:pos="918"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severance and other similar compensation arrangements (including equity incentive plans and employee benefit plans and arrangements) with their respective officers and employees in the ordinary course of business;</w:t>
      </w:r>
    </w:p>
    <w:p>
      <w:pPr>
        <w:spacing w:after="0" w:line="113" w:lineRule="exact"/>
        <w:rPr>
          <w:rFonts w:ascii="Times New Roman" w:cs="Times New Roman" w:eastAsia="Times New Roman" w:hAnsi="Times New Roman"/>
          <w:sz w:val="17"/>
          <w:szCs w:val="17"/>
          <w:color w:val="auto"/>
        </w:rPr>
      </w:pPr>
    </w:p>
    <w:p>
      <w:pPr>
        <w:ind w:firstLine="509"/>
        <w:spacing w:after="0" w:line="272" w:lineRule="auto"/>
        <w:tabs>
          <w:tab w:leader="none" w:pos="847"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customary fees and reasonable out of pocket costs to, and indemnities for the benefit of, directors, officers and employees of the Borrower and its Subsidiaries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1280"/>
          </w:cols>
          <w:pgMar w:left="300" w:top="1191" w:right="31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7"/>
          <w:szCs w:val="17"/>
          <w:color w:val="auto"/>
        </w:rPr>
        <w:t>ordinary course of business to the extent attributable to the ownership or operation of the Borrower and its Subsidiaries; and</w:t>
      </w:r>
    </w:p>
    <w:p>
      <w:pPr>
        <w:spacing w:after="0" w:line="162" w:lineRule="exact"/>
        <w:rPr>
          <w:sz w:val="20"/>
          <w:szCs w:val="20"/>
          <w:color w:val="auto"/>
        </w:rPr>
      </w:pPr>
    </w:p>
    <w:p>
      <w:pPr>
        <w:ind w:firstLine="509"/>
        <w:spacing w:after="0" w:line="259" w:lineRule="auto"/>
        <w:tabs>
          <w:tab w:leader="none" w:pos="901"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pricing, cost plus and cost sharing arrangements among the Borrower and its Subsidiaries or among the Borrower’s Subsidiaries in the ordinary course of business.</w:t>
      </w:r>
    </w:p>
    <w:p>
      <w:pPr>
        <w:spacing w:after="0" w:line="135"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7"/>
          <w:szCs w:val="17"/>
          <w:color w:val="auto"/>
        </w:rPr>
        <w:t>Section 9.8</w:t>
      </w:r>
      <w:r>
        <w:rPr>
          <w:sz w:val="20"/>
          <w:szCs w:val="20"/>
          <w:color w:val="auto"/>
        </w:rPr>
        <w:tab/>
      </w:r>
      <w:r>
        <w:rPr>
          <w:rFonts w:ascii="Times New Roman" w:cs="Times New Roman" w:eastAsia="Times New Roman" w:hAnsi="Times New Roman"/>
          <w:sz w:val="16"/>
          <w:szCs w:val="16"/>
          <w:u w:val="single" w:color="auto"/>
          <w:color w:val="auto"/>
        </w:rPr>
        <w:t>Accounting Changes; Organizational Documents.</w:t>
      </w:r>
    </w:p>
    <w:p>
      <w:pPr>
        <w:spacing w:after="0" w:line="162" w:lineRule="exact"/>
        <w:rPr>
          <w:sz w:val="20"/>
          <w:szCs w:val="20"/>
          <w:color w:val="auto"/>
        </w:rPr>
      </w:pPr>
    </w:p>
    <w:p>
      <w:pPr>
        <w:ind w:firstLine="509"/>
        <w:spacing w:after="0" w:line="272" w:lineRule="auto"/>
        <w:tabs>
          <w:tab w:leader="none" w:pos="923"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its Fiscal Year end, or make (without the consent of the Administrative Agent) any material change in its accounting treatment and reporting practices except as required by GAAP.</w:t>
      </w:r>
    </w:p>
    <w:p>
      <w:pPr>
        <w:spacing w:after="0" w:line="114" w:lineRule="exact"/>
        <w:rPr>
          <w:rFonts w:ascii="Times New Roman" w:cs="Times New Roman" w:eastAsia="Times New Roman" w:hAnsi="Times New Roman"/>
          <w:sz w:val="17"/>
          <w:szCs w:val="17"/>
          <w:color w:val="auto"/>
        </w:rPr>
      </w:pPr>
    </w:p>
    <w:p>
      <w:pPr>
        <w:jc w:val="both"/>
        <w:ind w:firstLine="509"/>
        <w:spacing w:after="0" w:line="252" w:lineRule="auto"/>
        <w:tabs>
          <w:tab w:leader="none" w:pos="928"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or change its Organizational Documents in any manner materially adverse to the rights or interests of the Lenders (provided that the Lenders acknowledge that any amendment, modification or change to its Organizational Documents customary in connection with an IPO shall not be materially adverse to the rights or interests of the Lenders).</w:t>
      </w:r>
    </w:p>
    <w:p>
      <w:pPr>
        <w:spacing w:after="0" w:line="131"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7"/>
          <w:szCs w:val="17"/>
          <w:color w:val="auto"/>
        </w:rPr>
        <w:t>Section 9.9</w:t>
      </w:r>
      <w:r>
        <w:rPr>
          <w:sz w:val="20"/>
          <w:szCs w:val="20"/>
          <w:color w:val="auto"/>
        </w:rPr>
        <w:tab/>
      </w:r>
      <w:r>
        <w:rPr>
          <w:rFonts w:ascii="Times New Roman" w:cs="Times New Roman" w:eastAsia="Times New Roman" w:hAnsi="Times New Roman"/>
          <w:sz w:val="16"/>
          <w:szCs w:val="16"/>
          <w:u w:val="single" w:color="auto"/>
          <w:color w:val="auto"/>
        </w:rPr>
        <w:t>Payments and Modifications of Subordinated Indebtedness.</w:t>
      </w:r>
    </w:p>
    <w:p>
      <w:pPr>
        <w:spacing w:after="0" w:line="172" w:lineRule="exact"/>
        <w:rPr>
          <w:sz w:val="20"/>
          <w:szCs w:val="20"/>
          <w:color w:val="auto"/>
        </w:rPr>
      </w:pPr>
    </w:p>
    <w:p>
      <w:pPr>
        <w:jc w:val="both"/>
        <w:ind w:firstLine="509"/>
        <w:spacing w:after="0" w:line="246" w:lineRule="auto"/>
        <w:tabs>
          <w:tab w:leader="none" w:pos="985" w:val="left"/>
        </w:tabs>
        <w:numPr>
          <w:ilvl w:val="0"/>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waive or supplement (or permit the modification, amendment, waiver or supplement of) any of the terms or provisions of any Subordinated Indebtedness in any respect which would materially and adversely affect the rights or interests of the Administrative Agent and Lenders hereunder or would violate the subordination terms thereof or the subordination agreement applicable thereto.</w:t>
      </w:r>
    </w:p>
    <w:p>
      <w:pPr>
        <w:spacing w:after="0" w:line="145" w:lineRule="exact"/>
        <w:rPr>
          <w:rFonts w:ascii="Times New Roman" w:cs="Times New Roman" w:eastAsia="Times New Roman" w:hAnsi="Times New Roman"/>
          <w:sz w:val="17"/>
          <w:szCs w:val="17"/>
          <w:color w:val="auto"/>
        </w:rPr>
      </w:pPr>
    </w:p>
    <w:p>
      <w:pPr>
        <w:jc w:val="both"/>
        <w:ind w:firstLine="509"/>
        <w:spacing w:after="0" w:line="252" w:lineRule="auto"/>
        <w:tabs>
          <w:tab w:leader="none" w:pos="877" w:val="left"/>
        </w:tabs>
        <w:numPr>
          <w:ilvl w:val="0"/>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repay, redeem, purchase, defease or acquire for value (including (i) by way of depositing with any trustee with respect thereto money or securities before due for the purpose of paying when due and (ii) at the maturity thereof), any Subordinated Indebtedness, or make any payment in violation of any subordination terms of any Subordinated Indebtedness, except:</w:t>
      </w:r>
    </w:p>
    <w:p>
      <w:pPr>
        <w:spacing w:after="0" w:line="130" w:lineRule="exact"/>
        <w:rPr>
          <w:rFonts w:ascii="Times New Roman" w:cs="Times New Roman" w:eastAsia="Times New Roman" w:hAnsi="Times New Roman"/>
          <w:sz w:val="17"/>
          <w:szCs w:val="17"/>
          <w:color w:val="auto"/>
        </w:rPr>
      </w:pPr>
    </w:p>
    <w:p>
      <w:pPr>
        <w:ind w:left="500" w:firstLine="513"/>
        <w:spacing w:after="0" w:line="259" w:lineRule="auto"/>
        <w:tabs>
          <w:tab w:leader="none" w:pos="1348"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Permitted Refinancing Indebtedness permitted by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and in compliance with any subordination provisions thereof or the subordination agreement applicable thereto;</w:t>
      </w:r>
    </w:p>
    <w:p>
      <w:pPr>
        <w:spacing w:after="0" w:line="135" w:lineRule="exact"/>
        <w:rPr>
          <w:rFonts w:ascii="Times New Roman" w:cs="Times New Roman" w:eastAsia="Times New Roman" w:hAnsi="Times New Roman"/>
          <w:sz w:val="17"/>
          <w:szCs w:val="17"/>
          <w:color w:val="auto"/>
        </w:rPr>
      </w:pPr>
    </w:p>
    <w:p>
      <w:pPr>
        <w:jc w:val="both"/>
        <w:ind w:left="500" w:firstLine="513"/>
        <w:spacing w:after="0" w:line="246" w:lineRule="auto"/>
        <w:tabs>
          <w:tab w:leader="none" w:pos="1385"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Default or Event of Default then exists or would be caused thereby, mandatory repayments, repurchases, redemptions or defeasances of Subordinated Indebtedness (in each case, except to the extent prohibited by the subordination terms thereof or the subordination agreement applicable thereto);</w:t>
      </w:r>
    </w:p>
    <w:p>
      <w:pPr>
        <w:spacing w:after="0" w:line="145" w:lineRule="exact"/>
        <w:rPr>
          <w:rFonts w:ascii="Times New Roman" w:cs="Times New Roman" w:eastAsia="Times New Roman" w:hAnsi="Times New Roman"/>
          <w:sz w:val="17"/>
          <w:szCs w:val="17"/>
          <w:color w:val="auto"/>
        </w:rPr>
      </w:pPr>
    </w:p>
    <w:p>
      <w:pPr>
        <w:jc w:val="both"/>
        <w:ind w:left="500" w:firstLine="513"/>
        <w:spacing w:after="0" w:line="252" w:lineRule="auto"/>
        <w:tabs>
          <w:tab w:leader="none" w:pos="1551"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and prepayments of any Subordinated Indebtedness made solely with the proceeds of Qualified Equity Interests or any capital contribution in respect of Qualified Equity Interests of Borrower, so long as immediately before and after giving effect to any such payment or prepayment, no Default or Event of Default then exists;</w:t>
      </w:r>
    </w:p>
    <w:p>
      <w:pPr>
        <w:spacing w:after="0" w:line="130" w:lineRule="exact"/>
        <w:rPr>
          <w:rFonts w:ascii="Times New Roman" w:cs="Times New Roman" w:eastAsia="Times New Roman" w:hAnsi="Times New Roman"/>
          <w:sz w:val="17"/>
          <w:szCs w:val="17"/>
          <w:color w:val="auto"/>
        </w:rPr>
      </w:pPr>
    </w:p>
    <w:p>
      <w:pPr>
        <w:ind w:left="500" w:firstLine="513"/>
        <w:spacing w:after="0" w:line="259" w:lineRule="auto"/>
        <w:tabs>
          <w:tab w:leader="none" w:pos="1416"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payments and prepayments of Subordinated Indebtedness as a result of the conversion of all or any portion of such Subordinated Indebtedness into Qualified Equity Interests of the Borrower, and (B) payments of interest in respect of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1280"/>
          </w:cols>
          <w:pgMar w:left="300" w:top="1181" w:right="319" w:bottom="1440" w:gutter="0" w:footer="0" w:header="0"/>
        </w:sectPr>
      </w:pPr>
    </w:p>
    <w:bookmarkStart w:id="511" w:name="page512"/>
    <w:bookmarkEnd w:id="511"/>
    <w:p>
      <w:pPr>
        <w:ind w:left="500"/>
        <w:spacing w:after="0"/>
        <w:rPr>
          <w:sz w:val="20"/>
          <w:szCs w:val="20"/>
          <w:color w:val="auto"/>
        </w:rPr>
      </w:pPr>
      <w:r>
        <w:rPr>
          <w:rFonts w:ascii="Times New Roman" w:cs="Times New Roman" w:eastAsia="Times New Roman" w:hAnsi="Times New Roman"/>
          <w:sz w:val="17"/>
          <w:szCs w:val="17"/>
          <w:color w:val="auto"/>
        </w:rPr>
        <w:t xml:space="preserve">Indebtedness in the form of payment in kind interest constituting Indebtedness permitted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ind w:left="500" w:firstLine="513"/>
        <w:spacing w:after="0" w:line="259" w:lineRule="auto"/>
        <w:tabs>
          <w:tab w:leader="none" w:pos="1387"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regularly scheduled interest, expenses and indemnities in respect of Subordinated Indebtedness (except to the extent prohibited by the subordination terms thereof or the subordination agreement applicable thereto); and</w:t>
      </w:r>
    </w:p>
    <w:p>
      <w:pPr>
        <w:spacing w:after="0" w:line="114" w:lineRule="exact"/>
        <w:rPr>
          <w:rFonts w:ascii="Times New Roman" w:cs="Times New Roman" w:eastAsia="Times New Roman" w:hAnsi="Times New Roman"/>
          <w:sz w:val="17"/>
          <w:szCs w:val="17"/>
          <w:color w:val="auto"/>
        </w:rPr>
      </w:pPr>
    </w:p>
    <w:p>
      <w:pPr>
        <w:jc w:val="both"/>
        <w:ind w:left="500" w:firstLine="513"/>
        <w:spacing w:after="0" w:line="237" w:lineRule="auto"/>
        <w:tabs>
          <w:tab w:leader="none" w:pos="1436"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payments and prepayments of any Subordinated Indebtedness so long as prior to making such payments and prepayments and immediately after giving effect (including giving effect on a Pro Forma Basis) thereto (i) no Default or Event of Default has occurred and is continuing or would result therefrom and (ii) the Consolidated Total Net Leverage Ratio is less than 2:50 to 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any time that clause (ii) is not satisfied, then payments and prepayments under this clause (ii) may be made up to $25,000,000 in the aggregate in any fiscal year.</w:t>
      </w:r>
    </w:p>
    <w:p>
      <w:pPr>
        <w:spacing w:after="0" w:line="142"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9.10</w:t>
      </w:r>
      <w:r>
        <w:rPr>
          <w:sz w:val="20"/>
          <w:szCs w:val="20"/>
          <w:color w:val="auto"/>
        </w:rPr>
        <w:tab/>
      </w:r>
      <w:r>
        <w:rPr>
          <w:rFonts w:ascii="Times New Roman" w:cs="Times New Roman" w:eastAsia="Times New Roman" w:hAnsi="Times New Roman"/>
          <w:sz w:val="16"/>
          <w:szCs w:val="16"/>
          <w:u w:val="single" w:color="auto"/>
          <w:color w:val="auto"/>
        </w:rPr>
        <w:t>No Further Negative Pledges; Restrictive Agreements.</w:t>
      </w:r>
    </w:p>
    <w:p>
      <w:pPr>
        <w:spacing w:after="0" w:line="151" w:lineRule="exact"/>
        <w:rPr>
          <w:sz w:val="20"/>
          <w:szCs w:val="20"/>
          <w:color w:val="auto"/>
        </w:rPr>
      </w:pPr>
    </w:p>
    <w:p>
      <w:pPr>
        <w:jc w:val="both"/>
        <w:ind w:firstLine="509"/>
        <w:spacing w:after="0" w:line="233" w:lineRule="auto"/>
        <w:tabs>
          <w:tab w:leader="none" w:pos="872"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Times New Roman" w:cs="Times New Roman" w:eastAsia="Times New Roman" w:hAnsi="Times New Roman"/>
          <w:sz w:val="17"/>
          <w:szCs w:val="17"/>
          <w:u w:val="single" w:color="auto"/>
          <w:color w:val="auto"/>
        </w:rPr>
        <w:t>Section 9.1(d)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restriction contained therein relates only to the asset or assets financed thereby), (iii) customary restrictions contained in the organizational documents of any Subsidiary that is not a Guarantor as of the Closing Date and (iv) customary restrictions in connection with any Permitted Lien or any document or instrument governing any Permitted Lien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restriction contained therein relates only to the asset or assets subject to such Permitted Lien).</w:t>
      </w:r>
    </w:p>
    <w:p>
      <w:pPr>
        <w:spacing w:after="0" w:line="143" w:lineRule="exact"/>
        <w:rPr>
          <w:rFonts w:ascii="Times New Roman" w:cs="Times New Roman" w:eastAsia="Times New Roman" w:hAnsi="Times New Roman"/>
          <w:sz w:val="17"/>
          <w:szCs w:val="17"/>
          <w:color w:val="auto"/>
        </w:rPr>
      </w:pPr>
    </w:p>
    <w:p>
      <w:pPr>
        <w:jc w:val="both"/>
        <w:ind w:firstLine="509"/>
        <w:spacing w:after="0" w:line="234" w:lineRule="auto"/>
        <w:tabs>
          <w:tab w:leader="none" w:pos="943"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or (iii) make loans or advances to any Credit Party, except in each case for such encumbrances or restrictions existing under or by reason of (A) this Agreement and the other Loan Documents and (B) Applicable Law.</w:t>
      </w:r>
    </w:p>
    <w:p>
      <w:pPr>
        <w:spacing w:after="0" w:line="140" w:lineRule="exact"/>
        <w:rPr>
          <w:rFonts w:ascii="Times New Roman" w:cs="Times New Roman" w:eastAsia="Times New Roman" w:hAnsi="Times New Roman"/>
          <w:sz w:val="17"/>
          <w:szCs w:val="17"/>
          <w:color w:val="auto"/>
        </w:rPr>
      </w:pPr>
    </w:p>
    <w:p>
      <w:pPr>
        <w:jc w:val="both"/>
        <w:ind w:firstLine="509"/>
        <w:spacing w:after="0" w:line="233" w:lineRule="auto"/>
        <w:tabs>
          <w:tab w:leader="none" w:pos="935"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Create or otherwise cause or suffer to exist or become effective any consensual encumbrance or restriction on the ability of any Credit Party or any Subsidiary thereof to (i) sell, lease or transfer any of its properties or assets to any Credit Party or (ii) act as a Credit Party pursuant to the Loan Documents or any renewals, refinancings, exchanges, refundings or extension thereof, except in each case for such encumbrances or restrictions existing under or by reason of (A) this Agreement and the other Loan Documents, (B) Applicable Law, (C) any document or instrument governing Indebtedness incurred pursuant to </w:t>
      </w:r>
      <w:r>
        <w:rPr>
          <w:rFonts w:ascii="Times New Roman" w:cs="Times New Roman" w:eastAsia="Times New Roman" w:hAnsi="Times New Roman"/>
          <w:sz w:val="17"/>
          <w:szCs w:val="17"/>
          <w:u w:val="single" w:color="auto"/>
          <w:color w:val="auto"/>
        </w:rPr>
        <w:t>Section 9.1(d)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restriction contained therein relates only to the asset or assets acquired in connection therewith), (D) any Permitted Lien or any document or instrument governing any Permitted Lien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restriction contained therein relates only to the asset or assets subject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1280"/>
          </w:cols>
          <w:pgMar w:left="300" w:top="1181" w:right="319" w:bottom="1440" w:gutter="0" w:footer="0" w:header="0"/>
        </w:sectPr>
      </w:pPr>
    </w:p>
    <w:bookmarkStart w:id="512" w:name="page513"/>
    <w:bookmarkEnd w:id="512"/>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Permitted Lien), (E) obligations that are binding on a Subsidiary at the time such Subsidiary first becomes a Subsidiary of the Borrower, so long as such obligations are not entered into in contemplation of such Person becoming a Subsidiary, (F) customary restrictions contained in an agreement related to the sale of Property (to the extent such sale is permitted pursuant to </w:t>
      </w:r>
      <w:r>
        <w:rPr>
          <w:rFonts w:ascii="Times New Roman" w:cs="Times New Roman" w:eastAsia="Times New Roman" w:hAnsi="Times New Roman"/>
          <w:sz w:val="17"/>
          <w:szCs w:val="17"/>
          <w:u w:val="single" w:color="auto"/>
          <w:color w:val="auto"/>
        </w:rPr>
        <w:t>Section 9.5</w:t>
      </w:r>
      <w:r>
        <w:rPr>
          <w:rFonts w:ascii="Times New Roman" w:cs="Times New Roman" w:eastAsia="Times New Roman" w:hAnsi="Times New Roman"/>
          <w:sz w:val="17"/>
          <w:szCs w:val="17"/>
          <w:color w:val="auto"/>
        </w:rPr>
        <w:t>) that limit the transfer of such Property pending the consummation of such sale, (G) customary restrictions in leases, subleases, licenses and sublicenses or asset sale agreements otherwise permitted by this Agreement so long as such restrictions relate only to the assets subject thereto and (H) customary provisions restricting assignment of any agreement entered into in the ordinary course of business.</w:t>
      </w:r>
    </w:p>
    <w:p>
      <w:pPr>
        <w:spacing w:after="0" w:line="151"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Nature of Business</w:t>
      </w:r>
      <w:r>
        <w:rPr>
          <w:rFonts w:ascii="Times New Roman" w:cs="Times New Roman" w:eastAsia="Times New Roman" w:hAnsi="Times New Roman"/>
          <w:sz w:val="17"/>
          <w:szCs w:val="17"/>
          <w:color w:val="auto"/>
        </w:rPr>
        <w:t>. Engage in any business other than the businesses conducted by the Borrower and its Subsidiaries as of the Closing Date and businesses and business activities reasonably related or ancillary thereto.</w:t>
      </w:r>
    </w:p>
    <w:p>
      <w:pPr>
        <w:spacing w:after="0" w:line="125"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9.12</w:t>
      </w:r>
      <w:r>
        <w:rPr>
          <w:sz w:val="20"/>
          <w:szCs w:val="20"/>
          <w:color w:val="auto"/>
        </w:rPr>
        <w:tab/>
      </w:r>
      <w:r>
        <w:rPr>
          <w:rFonts w:ascii="Times New Roman" w:cs="Times New Roman" w:eastAsia="Times New Roman" w:hAnsi="Times New Roman"/>
          <w:sz w:val="16"/>
          <w:szCs w:val="16"/>
          <w:u w:val="single" w:color="auto"/>
          <w:color w:val="auto"/>
        </w:rPr>
        <w:t>Financial Covenants.</w:t>
      </w:r>
    </w:p>
    <w:p>
      <w:pPr>
        <w:spacing w:after="0" w:line="172" w:lineRule="exact"/>
        <w:rPr>
          <w:sz w:val="20"/>
          <w:szCs w:val="20"/>
          <w:color w:val="auto"/>
        </w:rPr>
      </w:pPr>
    </w:p>
    <w:p>
      <w:pPr>
        <w:ind w:left="880" w:hanging="371"/>
        <w:spacing w:after="0"/>
        <w:tabs>
          <w:tab w:leader="none" w:pos="88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Consolidated Total Net Leverage Ratio</w:t>
      </w:r>
      <w:r>
        <w:rPr>
          <w:rFonts w:ascii="Times New Roman" w:cs="Times New Roman" w:eastAsia="Times New Roman" w:hAnsi="Times New Roman"/>
          <w:sz w:val="16"/>
          <w:szCs w:val="16"/>
          <w:color w:val="auto"/>
        </w:rPr>
        <w:t>. As of the last day of any fiscal quarter, permit the Consolidated Total Net Leverage Ratio to be greater than 3.50</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to 1.00.</w:t>
      </w:r>
    </w:p>
    <w:p>
      <w:pPr>
        <w:spacing w:after="0" w:line="164" w:lineRule="exact"/>
        <w:rPr>
          <w:rFonts w:ascii="Times New Roman" w:cs="Times New Roman" w:eastAsia="Times New Roman" w:hAnsi="Times New Roman"/>
          <w:sz w:val="16"/>
          <w:szCs w:val="16"/>
          <w:color w:val="auto"/>
        </w:rPr>
      </w:pPr>
    </w:p>
    <w:p>
      <w:pPr>
        <w:ind w:left="880" w:hanging="371"/>
        <w:spacing w:after="0"/>
        <w:tabs>
          <w:tab w:leader="none" w:pos="88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Consolidated Fixed Charge Coverage Ratio</w:t>
      </w:r>
      <w:r>
        <w:rPr>
          <w:rFonts w:ascii="Times New Roman" w:cs="Times New Roman" w:eastAsia="Times New Roman" w:hAnsi="Times New Roman"/>
          <w:sz w:val="16"/>
          <w:szCs w:val="16"/>
          <w:color w:val="auto"/>
        </w:rPr>
        <w:t>. As of the last day of any fiscal quarter, permit the Consolidated Fixed Charge Coverage Ratio to be less than</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1.25 to 1.00.</w:t>
      </w:r>
    </w:p>
    <w:p>
      <w:pPr>
        <w:spacing w:after="0" w:line="154" w:lineRule="exact"/>
        <w:rPr>
          <w:rFonts w:ascii="Times New Roman" w:cs="Times New Roman" w:eastAsia="Times New Roman" w:hAnsi="Times New Roman"/>
          <w:sz w:val="16"/>
          <w:szCs w:val="16"/>
          <w:color w:val="auto"/>
        </w:rPr>
      </w:pPr>
    </w:p>
    <w:p>
      <w:pPr>
        <w:ind w:left="860" w:hanging="351"/>
        <w:spacing w:after="0"/>
        <w:tabs>
          <w:tab w:leader="none" w:pos="860"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Minimum Tangible Net Worth</w:t>
      </w:r>
      <w:r>
        <w:rPr>
          <w:rFonts w:ascii="Times New Roman" w:cs="Times New Roman" w:eastAsia="Times New Roman" w:hAnsi="Times New Roman"/>
          <w:sz w:val="17"/>
          <w:szCs w:val="17"/>
          <w:color w:val="auto"/>
        </w:rPr>
        <w:t>. Permit Tangible Net Worth, at the end of each fiscal quarter, to be an amount less than $200,000,000.</w:t>
      </w:r>
    </w:p>
    <w:p>
      <w:pPr>
        <w:spacing w:after="0" w:line="172" w:lineRule="exact"/>
        <w:rPr>
          <w:sz w:val="20"/>
          <w:szCs w:val="20"/>
          <w:color w:val="auto"/>
        </w:rPr>
      </w:pPr>
    </w:p>
    <w:p>
      <w:pPr>
        <w:jc w:val="both"/>
        <w:ind w:firstLine="505"/>
        <w:spacing w:after="0" w:line="253" w:lineRule="auto"/>
        <w:rPr>
          <w:sz w:val="20"/>
          <w:szCs w:val="20"/>
          <w:color w:val="auto"/>
        </w:rPr>
      </w:pPr>
      <w:r>
        <w:rPr>
          <w:rFonts w:ascii="Times New Roman" w:cs="Times New Roman" w:eastAsia="Times New Roman" w:hAnsi="Times New Roman"/>
          <w:sz w:val="17"/>
          <w:szCs w:val="17"/>
          <w:color w:val="auto"/>
        </w:rPr>
        <w:t xml:space="preserve">Section 9.13 </w:t>
      </w:r>
      <w:r>
        <w:rPr>
          <w:rFonts w:ascii="Times New Roman" w:cs="Times New Roman" w:eastAsia="Times New Roman" w:hAnsi="Times New Roman"/>
          <w:sz w:val="17"/>
          <w:szCs w:val="17"/>
          <w:u w:val="single" w:color="auto"/>
          <w:color w:val="auto"/>
        </w:rPr>
        <w:t>Limitations Regarding Outbound Investment Rules</w:t>
      </w:r>
      <w:r>
        <w:rPr>
          <w:rFonts w:ascii="Times New Roman" w:cs="Times New Roman" w:eastAsia="Times New Roman" w:hAnsi="Times New Roman"/>
          <w:sz w:val="17"/>
          <w:szCs w:val="17"/>
          <w:color w:val="auto"/>
        </w:rPr>
        <w:t>.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United States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41"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 xml:space="preserve">Section 9.14 </w:t>
      </w:r>
      <w:r>
        <w:rPr>
          <w:rFonts w:ascii="Times New Roman" w:cs="Times New Roman" w:eastAsia="Times New Roman" w:hAnsi="Times New Roman"/>
          <w:sz w:val="17"/>
          <w:szCs w:val="17"/>
          <w:u w:val="single" w:color="auto"/>
          <w:color w:val="auto"/>
        </w:rPr>
        <w:t>Disposal of Subsidiary Interests</w:t>
      </w:r>
      <w:r>
        <w:rPr>
          <w:rFonts w:ascii="Times New Roman" w:cs="Times New Roman" w:eastAsia="Times New Roman" w:hAnsi="Times New Roman"/>
          <w:sz w:val="17"/>
          <w:szCs w:val="17"/>
          <w:color w:val="auto"/>
        </w:rPr>
        <w:t>. Permit any Subsidiary to be a Non-Wholly-Owned Subsidiary except as a result of or in connection with a dissolution, merger, amalgamation, consolidation or disposition permitted by Section 9.4 or 9.5.</w:t>
      </w:r>
    </w:p>
    <w:p>
      <w:pPr>
        <w:spacing w:after="0" w:line="135"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 xml:space="preserve">Section 9.15 </w:t>
      </w:r>
      <w:r>
        <w:rPr>
          <w:rFonts w:ascii="Times New Roman" w:cs="Times New Roman" w:eastAsia="Times New Roman" w:hAnsi="Times New Roman"/>
          <w:sz w:val="17"/>
          <w:szCs w:val="17"/>
          <w:u w:val="single" w:color="auto"/>
          <w:color w:val="auto"/>
        </w:rPr>
        <w:t>Certain Transactions</w:t>
      </w:r>
      <w:r>
        <w:rPr>
          <w:rFonts w:ascii="Times New Roman" w:cs="Times New Roman" w:eastAsia="Times New Roman" w:hAnsi="Times New Roman"/>
          <w:sz w:val="17"/>
          <w:szCs w:val="17"/>
          <w:color w:val="auto"/>
        </w:rPr>
        <w:t>. Notwithstanding anything herein to the contrary, in no event shall any Credit Party contribute, or otherwise invest, any Material Asset in, or make any Asset Disposition of any Material Asset to, any Subsidiary (including any Mortgage Entity) that is not a Credit Party.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DEFAULT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1280"/>
          </w:cols>
          <w:pgMar w:left="300" w:top="1191" w:right="319" w:bottom="1440" w:gutter="0" w:footer="0" w:header="0"/>
        </w:sectPr>
      </w:pPr>
    </w:p>
    <w:bookmarkStart w:id="513" w:name="page514"/>
    <w:bookmarkEnd w:id="513"/>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 Each of the following shall constitute an Event of Default:</w:t>
      </w:r>
    </w:p>
    <w:p>
      <w:pPr>
        <w:spacing w:after="0" w:line="151" w:lineRule="exact"/>
        <w:rPr>
          <w:sz w:val="20"/>
          <w:szCs w:val="20"/>
          <w:color w:val="auto"/>
        </w:rPr>
      </w:pPr>
    </w:p>
    <w:p>
      <w:pPr>
        <w:jc w:val="both"/>
        <w:ind w:firstLine="509"/>
        <w:spacing w:after="0" w:line="239" w:lineRule="auto"/>
        <w:tabs>
          <w:tab w:leader="none" w:pos="944"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in Payment of Principal of Loans and Reimbursement Obligations</w:t>
      </w:r>
      <w:r>
        <w:rPr>
          <w:rFonts w:ascii="Times New Roman" w:cs="Times New Roman" w:eastAsia="Times New Roman" w:hAnsi="Times New Roman"/>
          <w:sz w:val="17"/>
          <w:szCs w:val="17"/>
          <w:color w:val="auto"/>
        </w:rPr>
        <w:t xml:space="preserve">. The Borrower shall default in any payment of principal of any Loan or Reimbursement Obligation when and as due (whether at maturity, by reason of acceleration or otherwise) or fail to provide Cash Collateral pursuant to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2.5(d)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5.15(a)(v)</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jc w:val="both"/>
        <w:ind w:firstLine="509"/>
        <w:spacing w:after="0" w:line="239" w:lineRule="auto"/>
        <w:tabs>
          <w:tab w:leader="none" w:pos="964"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Payment Default</w:t>
      </w:r>
      <w:r>
        <w:rPr>
          <w:rFonts w:ascii="Times New Roman" w:cs="Times New Roman" w:eastAsia="Times New Roman" w:hAnsi="Times New Roman"/>
          <w:sz w:val="17"/>
          <w:szCs w:val="17"/>
          <w:color w:val="auto"/>
        </w:rPr>
        <w:t>. The Borrower or any other Credit Party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41" w:lineRule="exact"/>
        <w:rPr>
          <w:rFonts w:ascii="Times New Roman" w:cs="Times New Roman" w:eastAsia="Times New Roman" w:hAnsi="Times New Roman"/>
          <w:sz w:val="17"/>
          <w:szCs w:val="17"/>
          <w:color w:val="auto"/>
        </w:rPr>
      </w:pPr>
    </w:p>
    <w:p>
      <w:pPr>
        <w:jc w:val="both"/>
        <w:ind w:firstLine="509"/>
        <w:spacing w:after="0" w:line="233" w:lineRule="auto"/>
        <w:tabs>
          <w:tab w:leader="none" w:pos="933"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Misrepresentation</w:t>
      </w:r>
      <w:r>
        <w:rPr>
          <w:rFonts w:ascii="Times New Roman" w:cs="Times New Roman" w:eastAsia="Times New Roman" w:hAnsi="Times New Roman"/>
          <w:sz w:val="17"/>
          <w:szCs w:val="17"/>
          <w:color w:val="auto"/>
        </w:rPr>
        <w:t>. Any representation, warranty, certification or statement of fact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in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33" w:lineRule="exact"/>
        <w:rPr>
          <w:rFonts w:ascii="Times New Roman" w:cs="Times New Roman" w:eastAsia="Times New Roman" w:hAnsi="Times New Roman"/>
          <w:sz w:val="17"/>
          <w:szCs w:val="17"/>
          <w:color w:val="auto"/>
        </w:rPr>
      </w:pPr>
    </w:p>
    <w:p>
      <w:pPr>
        <w:ind w:firstLine="509"/>
        <w:spacing w:after="0" w:line="259" w:lineRule="auto"/>
        <w:tabs>
          <w:tab w:leader="none" w:pos="880"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in Performance of Certain Covenants</w:t>
      </w:r>
      <w:r>
        <w:rPr>
          <w:rFonts w:ascii="Times New Roman" w:cs="Times New Roman" w:eastAsia="Times New Roman" w:hAnsi="Times New Roman"/>
          <w:sz w:val="17"/>
          <w:szCs w:val="17"/>
          <w:color w:val="auto"/>
        </w:rPr>
        <w:t xml:space="preserve">. Any Credit Party or any Subsidiary thereof shall default in the performance or observance of any covenant or agreement contained in </w:t>
      </w:r>
      <w:r>
        <w:rPr>
          <w:rFonts w:ascii="Times New Roman" w:cs="Times New Roman" w:eastAsia="Times New Roman" w:hAnsi="Times New Roman"/>
          <w:sz w:val="17"/>
          <w:szCs w:val="17"/>
          <w:u w:val="single" w:color="auto"/>
          <w:color w:val="auto"/>
        </w:rPr>
        <w:t>Sections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8.5(b)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8.19</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w:t>
      </w:r>
    </w:p>
    <w:p>
      <w:pPr>
        <w:spacing w:after="0" w:line="124" w:lineRule="exact"/>
        <w:rPr>
          <w:rFonts w:ascii="Times New Roman" w:cs="Times New Roman" w:eastAsia="Times New Roman" w:hAnsi="Times New Roman"/>
          <w:sz w:val="17"/>
          <w:szCs w:val="17"/>
          <w:color w:val="auto"/>
        </w:rPr>
      </w:pPr>
    </w:p>
    <w:p>
      <w:pPr>
        <w:jc w:val="both"/>
        <w:ind w:firstLine="509"/>
        <w:spacing w:after="0" w:line="234" w:lineRule="auto"/>
        <w:tabs>
          <w:tab w:leader="none" w:pos="870"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in Performance of Other Covenants and Conditions</w:t>
      </w:r>
      <w:r>
        <w:rPr>
          <w:rFonts w:ascii="Times New Roman" w:cs="Times New Roman" w:eastAsia="Times New Roman" w:hAnsi="Times New Roman"/>
          <w:sz w:val="17"/>
          <w:szCs w:val="17"/>
          <w:color w:val="auto"/>
        </w:rPr>
        <w:t xml:space="preserve">. Any Credit Party or any Subsidiary thereof shall default in the performance or observance of any term, covenant, condition or agreement contained in this Agreement (other than as specifically provided for in this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or any other Loan Document and such default shall continue for a period of thirty (30) days after the earlier of (i) the Administrative Agent’s delivery of written notice thereof to the Borrower and (ii) a Responsible Officer of any Credit Party having obtained knowledge thereof.</w:t>
      </w:r>
    </w:p>
    <w:p>
      <w:pPr>
        <w:spacing w:after="0" w:line="141" w:lineRule="exact"/>
        <w:rPr>
          <w:rFonts w:ascii="Times New Roman" w:cs="Times New Roman" w:eastAsia="Times New Roman" w:hAnsi="Times New Roman"/>
          <w:sz w:val="17"/>
          <w:szCs w:val="17"/>
          <w:color w:val="auto"/>
        </w:rPr>
      </w:pPr>
    </w:p>
    <w:p>
      <w:pPr>
        <w:jc w:val="both"/>
        <w:ind w:firstLine="509"/>
        <w:spacing w:after="0" w:line="233" w:lineRule="auto"/>
        <w:tabs>
          <w:tab w:leader="none" w:pos="862"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Indebtedness Cross-Default</w:t>
      </w:r>
      <w:r>
        <w:rPr>
          <w:rFonts w:ascii="Times New Roman" w:cs="Times New Roman" w:eastAsia="Times New Roman" w:hAnsi="Times New Roman"/>
          <w:sz w:val="17"/>
          <w:szCs w:val="17"/>
          <w:color w:val="auto"/>
        </w:rPr>
        <w:t>. Any Credit Party or any Subsidiary thereof shall (i) default in the payment of any Indebtedness (other than the Loans or any Reimbursement Obligations) the aggregate principal amount (including undrawn committed or available amounts),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Obligations) the aggregate principal amount (including undrawn committed or available amounts), or with respect to any Hedge Agreement, the Hedge Termination Value, of which is in excess of the Threshold Amount or contained in any instrument or agreement evidencing, securing or relating thereto or any other event shall occur or condition exist,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1280"/>
          </w:cols>
          <w:pgMar w:left="300" w:top="1181" w:right="319" w:bottom="1440" w:gutter="0" w:footer="0" w:header="0"/>
        </w:sectPr>
      </w:pPr>
    </w:p>
    <w:bookmarkStart w:id="514" w:name="page515"/>
    <w:bookmarkEnd w:id="514"/>
    <w:p>
      <w:pPr>
        <w:jc w:val="both"/>
        <w:spacing w:after="0" w:line="254" w:lineRule="auto"/>
        <w:rPr>
          <w:sz w:val="20"/>
          <w:szCs w:val="20"/>
          <w:color w:val="auto"/>
        </w:rPr>
      </w:pPr>
      <w:r>
        <w:rPr>
          <w:rFonts w:ascii="Times New Roman" w:cs="Times New Roman" w:eastAsia="Times New Roman" w:hAnsi="Times New Roman"/>
          <w:sz w:val="17"/>
          <w:szCs w:val="17"/>
          <w:color w:val="auto"/>
        </w:rPr>
        <w:t>of which default or other event or condition is to cause, or to permit the holder or holders of such Indebtedness (or a trustee or agent on behalf of such holder or holders) to cause, with the giving of notice and/or lapse of time, if required, any such Indebtedness to (A) become due, or to be repurchased, prepaid, defeased or redeemed (automatically or otherwise), or an offer to repurchase, prepay, defease or redeem such Indebtedness to be made, prior to its stated maturity (any applicable grace period having expired) or (B) be cash collateralized.</w:t>
      </w:r>
    </w:p>
    <w:p>
      <w:pPr>
        <w:spacing w:after="0" w:line="140" w:lineRule="exact"/>
        <w:rPr>
          <w:sz w:val="20"/>
          <w:szCs w:val="20"/>
          <w:color w:val="auto"/>
        </w:rPr>
      </w:pPr>
    </w:p>
    <w:p>
      <w:pPr>
        <w:ind w:firstLine="509"/>
        <w:spacing w:after="0" w:line="285" w:lineRule="auto"/>
        <w:tabs>
          <w:tab w:leader="none" w:pos="922"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Cross-Defaults</w:t>
      </w:r>
      <w:r>
        <w:rPr>
          <w:rFonts w:ascii="Times New Roman" w:cs="Times New Roman" w:eastAsia="Times New Roman" w:hAnsi="Times New Roman"/>
          <w:sz w:val="17"/>
          <w:szCs w:val="17"/>
          <w:color w:val="auto"/>
        </w:rPr>
        <w:t>. Any Credit Party or any Subsidiary thereof shall default in the payment when due, or in the performance or observance, of any obligation or condition of any Material Contract that would reasonably be expected to result in a Material Adverse Effect.</w:t>
      </w:r>
    </w:p>
    <w:p>
      <w:pPr>
        <w:spacing w:after="0" w:line="113"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Any Change in Control shall occur.</w:t>
      </w:r>
    </w:p>
    <w:p>
      <w:pPr>
        <w:spacing w:after="0" w:line="172" w:lineRule="exact"/>
        <w:rPr>
          <w:rFonts w:ascii="Times New Roman" w:cs="Times New Roman" w:eastAsia="Times New Roman" w:hAnsi="Times New Roman"/>
          <w:sz w:val="17"/>
          <w:szCs w:val="17"/>
          <w:color w:val="auto"/>
        </w:rPr>
      </w:pPr>
    </w:p>
    <w:p>
      <w:pPr>
        <w:jc w:val="both"/>
        <w:ind w:firstLine="509"/>
        <w:spacing w:after="0" w:line="253" w:lineRule="auto"/>
        <w:tabs>
          <w:tab w:leader="none" w:pos="863"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Bankruptcy Proceeding</w:t>
      </w:r>
      <w:r>
        <w:rPr>
          <w:rFonts w:ascii="Times New Roman" w:cs="Times New Roman" w:eastAsia="Times New Roman" w:hAnsi="Times New Roman"/>
          <w:sz w:val="17"/>
          <w:szCs w:val="17"/>
          <w:color w:val="auto"/>
        </w:rPr>
        <w:t>. Any Credit Party or Subsidiary thereof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40" w:lineRule="exact"/>
        <w:rPr>
          <w:rFonts w:ascii="Times New Roman" w:cs="Times New Roman" w:eastAsia="Times New Roman" w:hAnsi="Times New Roman"/>
          <w:sz w:val="17"/>
          <w:szCs w:val="17"/>
          <w:color w:val="auto"/>
        </w:rPr>
      </w:pPr>
    </w:p>
    <w:p>
      <w:pPr>
        <w:jc w:val="both"/>
        <w:ind w:firstLine="509"/>
        <w:spacing w:after="0" w:line="258" w:lineRule="auto"/>
        <w:tabs>
          <w:tab w:leader="none" w:pos="916"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Involuntary Bankruptcy Proceeding</w:t>
      </w:r>
      <w:r>
        <w:rPr>
          <w:rFonts w:ascii="Times New Roman" w:cs="Times New Roman" w:eastAsia="Times New Roman" w:hAnsi="Times New Roman"/>
          <w:sz w:val="17"/>
          <w:szCs w:val="17"/>
          <w:color w:val="auto"/>
        </w:rPr>
        <w:t>. A case or other proceeding shall be commenced against any Credit Party or Subsidiary thereof in any court of competent jurisdiction seeking (i) relief under any Debtor Relief Laws, or (ii) the appointment of a trustee, receiver, custodian, liquidator or the like for any Credit Party or Subsidiary thereof or for all or any substantial part of its assets, domestic or foreign, and such case or proceeding shall continue without dismissal or stay for a period of sixty (60) consecutive days, or an order granting the relief requested in such case or proceeding under such Debtor Relief Laws shall be entered.</w:t>
      </w:r>
    </w:p>
    <w:p>
      <w:pPr>
        <w:spacing w:after="0" w:line="137" w:lineRule="exact"/>
        <w:rPr>
          <w:rFonts w:ascii="Times New Roman" w:cs="Times New Roman" w:eastAsia="Times New Roman" w:hAnsi="Times New Roman"/>
          <w:sz w:val="17"/>
          <w:szCs w:val="17"/>
          <w:color w:val="auto"/>
        </w:rPr>
      </w:pPr>
    </w:p>
    <w:p>
      <w:pPr>
        <w:jc w:val="both"/>
        <w:ind w:firstLine="509"/>
        <w:spacing w:after="0" w:line="254" w:lineRule="auto"/>
        <w:tabs>
          <w:tab w:leader="none" w:pos="880"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of Agreements</w:t>
      </w:r>
      <w:r>
        <w:rPr>
          <w:rFonts w:ascii="Times New Roman" w:cs="Times New Roman" w:eastAsia="Times New Roman" w:hAnsi="Times New Roman"/>
          <w:sz w:val="17"/>
          <w:szCs w:val="17"/>
          <w:color w:val="auto"/>
        </w:rPr>
        <w:t>.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50" w:lineRule="exact"/>
        <w:rPr>
          <w:rFonts w:ascii="Times New Roman" w:cs="Times New Roman" w:eastAsia="Times New Roman" w:hAnsi="Times New Roman"/>
          <w:sz w:val="17"/>
          <w:szCs w:val="17"/>
          <w:color w:val="auto"/>
        </w:rPr>
      </w:pPr>
    </w:p>
    <w:p>
      <w:pPr>
        <w:jc w:val="both"/>
        <w:ind w:firstLine="509"/>
        <w:spacing w:after="0" w:line="252" w:lineRule="auto"/>
        <w:tabs>
          <w:tab w:leader="none" w:pos="874"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ERISA Events</w:t>
      </w:r>
      <w:r>
        <w:rPr>
          <w:rFonts w:ascii="Times New Roman" w:cs="Times New Roman" w:eastAsia="Times New Roman" w:hAnsi="Times New Roman"/>
          <w:sz w:val="17"/>
          <w:szCs w:val="17"/>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 Termination Event or (iii) any Credit Party or any ERISA Affiliate makes a complete or partial withdrawal from any Multiemployer Plan and the Multiemployer Plan notifies any Credit Party or ERISA Affiliate that such entity has incurred a withdrawal liability requiring payments in an amount exceeding the Threshold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1280"/>
          </w:cols>
          <w:pgMar w:left="300" w:top="1191" w:right="319" w:bottom="1440" w:gutter="0" w:footer="0" w:header="0"/>
        </w:sectPr>
      </w:pPr>
    </w:p>
    <w:bookmarkStart w:id="515" w:name="page516"/>
    <w:bookmarkEnd w:id="515"/>
    <w:p>
      <w:pPr>
        <w:jc w:val="both"/>
        <w:ind w:firstLine="509"/>
        <w:spacing w:after="0" w:line="234" w:lineRule="auto"/>
        <w:tabs>
          <w:tab w:leader="none" w:pos="979" w:val="left"/>
        </w:tabs>
        <w:numPr>
          <w:ilvl w:val="0"/>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w:t>
      </w:r>
      <w:r>
        <w:rPr>
          <w:rFonts w:ascii="Times New Roman" w:cs="Times New Roman" w:eastAsia="Times New Roman" w:hAnsi="Times New Roman"/>
          <w:sz w:val="17"/>
          <w:szCs w:val="17"/>
          <w:color w:val="auto"/>
        </w:rPr>
        <w:t>. One or more judgments, orders or decrees shall be entered against any Credit Party or any Subsidiary thereof by any court and continues without having been paid, discharged, vacated or stayed for a period of thirty (30) consecutive days after the entry thereof and such judgments, orders or decrees (i) in the case of the payment of money, are individually or in the aggregate (to the extent not paid or covered by insurance as to which the relevant insurance company has acknowledged the claim and has not disputed coverage), in excess of the Threshold Amount or (ii) in the case of injunctive or other non-monetary relief, could reasonably be expected, individually or in the aggregate, to have a Material Adverse Effect.</w:t>
      </w:r>
    </w:p>
    <w:p>
      <w:pPr>
        <w:spacing w:after="0" w:line="140" w:lineRule="exact"/>
        <w:rPr>
          <w:rFonts w:ascii="Times New Roman" w:cs="Times New Roman" w:eastAsia="Times New Roman" w:hAnsi="Times New Roman"/>
          <w:sz w:val="17"/>
          <w:szCs w:val="17"/>
          <w:color w:val="auto"/>
        </w:rPr>
      </w:pPr>
    </w:p>
    <w:p>
      <w:pPr>
        <w:jc w:val="both"/>
        <w:ind w:firstLine="509"/>
        <w:spacing w:after="0" w:line="233" w:lineRule="auto"/>
        <w:tabs>
          <w:tab w:leader="none" w:pos="869" w:val="left"/>
        </w:tabs>
        <w:numPr>
          <w:ilvl w:val="0"/>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Subordination Terms</w:t>
      </w:r>
      <w:r>
        <w:rPr>
          <w:rFonts w:ascii="Times New Roman" w:cs="Times New Roman" w:eastAsia="Times New Roman" w:hAnsi="Times New Roman"/>
          <w:sz w:val="17"/>
          <w:szCs w:val="17"/>
          <w:color w:val="auto"/>
        </w:rPr>
        <w:t>. (i) Any of the Secured Obligations for any reason shall cease to be “senior debt,” “senior indebtedness,” “designated senior debt” or “senior secured financing” (or any comparable term) under, and as defined in, the documentation governing any Subordinated Indebtedness that is subordinated (in terms of payment or lien priority) to the Secured Obligations, (ii) the subordination provisions set forth in the documentation for any Subordinated Indebtedness that is subordinated (in terms of payment or lien priority) to the Secured Obligations shall, in whole or in part, cease to be effective or cease to be legally valid, binding and enforceable against the holders of any Subordinated Indebtedness, if applicable, or (iii) any Credit Party or any Subsidiary of any Credit Party, shall assert any of the foregoing in writing.</w:t>
      </w:r>
    </w:p>
    <w:p>
      <w:pPr>
        <w:spacing w:after="0" w:line="133" w:lineRule="exact"/>
        <w:rPr>
          <w:sz w:val="20"/>
          <w:szCs w:val="20"/>
          <w:color w:val="auto"/>
        </w:rPr>
      </w:pPr>
    </w:p>
    <w:p>
      <w:pPr>
        <w:ind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Upon the occurrence and during the continuance of an Event of Default, with the consent of the Required Lenders, the Administrative Agent may, or upon the request of the Required Lenders, the Administrative Agent shall, by notice to the Borrower:</w:t>
      </w:r>
    </w:p>
    <w:p>
      <w:pPr>
        <w:spacing w:after="0" w:line="114" w:lineRule="exact"/>
        <w:rPr>
          <w:sz w:val="20"/>
          <w:szCs w:val="20"/>
          <w:color w:val="auto"/>
        </w:rPr>
      </w:pPr>
    </w:p>
    <w:p>
      <w:pPr>
        <w:jc w:val="both"/>
        <w:ind w:firstLine="509"/>
        <w:spacing w:after="0" w:line="231" w:lineRule="auto"/>
        <w:tabs>
          <w:tab w:leader="none" w:pos="891"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Termination of Credit Facility</w:t>
      </w:r>
      <w:r>
        <w:rPr>
          <w:rFonts w:ascii="Times New Roman" w:cs="Times New Roman" w:eastAsia="Times New Roman" w:hAnsi="Times New Roman"/>
          <w:sz w:val="17"/>
          <w:szCs w:val="17"/>
          <w:color w:val="auto"/>
        </w:rPr>
        <w:t xml:space="preserve">. Terminate the Commitments and declare the principal of and interest on the Loans and the Reimbursement Obligations at the time outstanding, and all other amounts owed to the Lenders and to the Administrative Agent under this Agreement or any of the other Loan Documents (including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 to request borrowings or Letters of Credit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upon the occurrence of an Event of Default specified in </w:t>
      </w:r>
      <w:r>
        <w:rPr>
          <w:rFonts w:ascii="Times New Roman" w:cs="Times New Roman" w:eastAsia="Times New Roman" w:hAnsi="Times New Roman"/>
          <w:sz w:val="17"/>
          <w:szCs w:val="17"/>
          <w:u w:val="single" w:color="auto"/>
          <w:color w:val="auto"/>
        </w:rPr>
        <w:t>Section 10.1(i)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(j)</w:t>
      </w:r>
      <w:r>
        <w:rPr>
          <w:rFonts w:ascii="Times New Roman" w:cs="Times New Roman" w:eastAsia="Times New Roman" w:hAnsi="Times New Roman"/>
          <w:sz w:val="17"/>
          <w:szCs w:val="17"/>
          <w:color w:val="auto"/>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46" w:lineRule="exact"/>
        <w:rPr>
          <w:rFonts w:ascii="Times New Roman" w:cs="Times New Roman" w:eastAsia="Times New Roman" w:hAnsi="Times New Roman"/>
          <w:sz w:val="17"/>
          <w:szCs w:val="17"/>
          <w:color w:val="auto"/>
        </w:rPr>
      </w:pPr>
    </w:p>
    <w:p>
      <w:pPr>
        <w:jc w:val="both"/>
        <w:ind w:firstLine="509"/>
        <w:spacing w:after="0" w:line="234" w:lineRule="auto"/>
        <w:tabs>
          <w:tab w:leader="none" w:pos="89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Letters of Credit</w:t>
      </w:r>
      <w:r>
        <w:rPr>
          <w:rFonts w:ascii="Times New Roman" w:cs="Times New Roman" w:eastAsia="Times New Roman" w:hAnsi="Times New Roman"/>
          <w:sz w:val="17"/>
          <w:szCs w:val="17"/>
          <w:color w:val="auto"/>
        </w:rPr>
        <w:t xml:space="preserve">. With respect to all Letters of Credit with respect to which presentment for honor shall not have occurred at the time of an acceleration pursuant to the preceding paragraph, demand that the Borrower shall at such time deposit in a Cash Collateral account opened by the Administrative Agent an amount equal to the Minimum Collateral Amount of the aggregate then undrawn and unexpired amount of such Letter of Credit plus any accrued and unpaid interest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obligation to deposit such Cash Collateral shall become effective immediately, and such deposit shall be immediately due and payable, without demand or other notice of any kind, upon the occurrence of any Event of Default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1280"/>
          </w:cols>
          <w:pgMar w:left="300" w:top="1180" w:right="319" w:bottom="1440" w:gutter="0" w:footer="0" w:header="0"/>
        </w:sectPr>
      </w:pPr>
    </w:p>
    <w:bookmarkStart w:id="516" w:name="page517"/>
    <w:bookmarkEnd w:id="516"/>
    <w:p>
      <w:pPr>
        <w:jc w:val="both"/>
        <w:spacing w:after="0" w:line="252" w:lineRule="auto"/>
        <w:rPr>
          <w:sz w:val="20"/>
          <w:szCs w:val="20"/>
          <w:color w:val="auto"/>
        </w:rPr>
      </w:pP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(j)</w:t>
      </w:r>
      <w:r>
        <w:rPr>
          <w:rFonts w:ascii="Times New Roman" w:cs="Times New Roman" w:eastAsia="Times New Roman" w:hAnsi="Times New Roman"/>
          <w:sz w:val="16"/>
          <w:szCs w:val="16"/>
          <w:color w:val="auto"/>
        </w:rPr>
        <w:t xml:space="preserve">.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in accordance with </w:t>
      </w:r>
      <w:r>
        <w:rPr>
          <w:rFonts w:ascii="Times New Roman" w:cs="Times New Roman" w:eastAsia="Times New Roman" w:hAnsi="Times New Roman"/>
          <w:sz w:val="16"/>
          <w:szCs w:val="16"/>
          <w:u w:val="single" w:color="auto"/>
          <w:color w:val="auto"/>
        </w:rPr>
        <w:t>Section 10.4</w:t>
      </w:r>
      <w:r>
        <w:rPr>
          <w:rFonts w:ascii="Times New Roman" w:cs="Times New Roman" w:eastAsia="Times New Roman" w:hAnsi="Times New Roman"/>
          <w:sz w:val="16"/>
          <w:szCs w:val="16"/>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w:t>
      </w:r>
    </w:p>
    <w:p>
      <w:pPr>
        <w:spacing w:after="0" w:line="131" w:lineRule="exact"/>
        <w:rPr>
          <w:sz w:val="20"/>
          <w:szCs w:val="20"/>
          <w:color w:val="auto"/>
        </w:rPr>
      </w:pPr>
    </w:p>
    <w:p>
      <w:pPr>
        <w:ind w:firstLine="509"/>
        <w:spacing w:after="0" w:line="259" w:lineRule="auto"/>
        <w:tabs>
          <w:tab w:leader="none" w:pos="902"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Remedies</w:t>
      </w:r>
      <w:r>
        <w:rPr>
          <w:rFonts w:ascii="Times New Roman" w:cs="Times New Roman" w:eastAsia="Times New Roman" w:hAnsi="Times New Roman"/>
          <w:sz w:val="17"/>
          <w:szCs w:val="17"/>
          <w:color w:val="auto"/>
        </w:rPr>
        <w:t>. Exercise on behalf of the Secured Parties all of its other rights and remedies under this Agreement, the other Loan Documents and Applicable Law, in order to satisfy all of the Secured Obligations.</w:t>
      </w:r>
    </w:p>
    <w:p>
      <w:pPr>
        <w:spacing w:after="0" w:line="114"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10.3</w:t>
      </w:r>
      <w:r>
        <w:rPr>
          <w:sz w:val="20"/>
          <w:szCs w:val="20"/>
          <w:color w:val="auto"/>
        </w:rPr>
        <w:tab/>
      </w:r>
      <w:r>
        <w:rPr>
          <w:rFonts w:ascii="Times New Roman" w:cs="Times New Roman" w:eastAsia="Times New Roman" w:hAnsi="Times New Roman"/>
          <w:sz w:val="16"/>
          <w:szCs w:val="16"/>
          <w:u w:val="single" w:color="auto"/>
          <w:color w:val="auto"/>
        </w:rPr>
        <w:t>Rights and Remedies Cumulative; Non-Waiver; Etc.</w:t>
      </w:r>
    </w:p>
    <w:p>
      <w:pPr>
        <w:spacing w:after="0" w:line="162" w:lineRule="exact"/>
        <w:rPr>
          <w:sz w:val="20"/>
          <w:szCs w:val="20"/>
          <w:color w:val="auto"/>
        </w:rPr>
      </w:pPr>
    </w:p>
    <w:p>
      <w:pPr>
        <w:jc w:val="both"/>
        <w:ind w:firstLine="509"/>
        <w:spacing w:after="0" w:line="231" w:lineRule="auto"/>
        <w:tabs>
          <w:tab w:leader="none" w:pos="875"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45" w:lineRule="exact"/>
        <w:rPr>
          <w:rFonts w:ascii="Times New Roman" w:cs="Times New Roman" w:eastAsia="Times New Roman" w:hAnsi="Times New Roman"/>
          <w:sz w:val="17"/>
          <w:szCs w:val="17"/>
          <w:color w:val="auto"/>
        </w:rPr>
      </w:pPr>
    </w:p>
    <w:p>
      <w:pPr>
        <w:jc w:val="both"/>
        <w:ind w:firstLine="509"/>
        <w:spacing w:after="0" w:line="243" w:lineRule="auto"/>
        <w:tabs>
          <w:tab w:leader="none" w:pos="916"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for the benefit of all the Lenders and the Issuing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Issuing Lender or the Swingline Lender from exercising the rights and remedies that inure to its benefit (solely in its capacity as an Issuing Lender or Swingline Lender, as the case may be) hereunder and under the other Loan Documents, (iii) any Lender from exercising setoff rights in accordance with </w:t>
      </w:r>
      <w:r>
        <w:rPr>
          <w:rFonts w:ascii="Times New Roman" w:cs="Times New Roman" w:eastAsia="Times New Roman" w:hAnsi="Times New Roman"/>
          <w:sz w:val="16"/>
          <w:szCs w:val="16"/>
          <w:u w:val="single" w:color="auto"/>
          <w:color w:val="auto"/>
        </w:rPr>
        <w:t>Section 12.4</w:t>
      </w:r>
      <w:r>
        <w:rPr>
          <w:rFonts w:ascii="Times New Roman" w:cs="Times New Roman" w:eastAsia="Times New Roman" w:hAnsi="Times New Roman"/>
          <w:sz w:val="16"/>
          <w:szCs w:val="16"/>
          <w:color w:val="auto"/>
        </w:rPr>
        <w:t xml:space="preserve"> (subject to the terms of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or (iv) any Lender from filing proofs of claim or appearing and filing pleadings on its own behalf during the pendency of a proceeding relative to any Credit Party under any Debtor Relief Law;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if at any time there is no Person acting as Administrative Agent hereunder and under the other Loan Documents, then (A) the Required Lenders shall have the rights otherwise ascribed to the Administrative Agent pursuant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and (B) in addition to the matters set forth in clauses (ii), (iii) and</w:t>
      </w:r>
    </w:p>
    <w:p>
      <w:pPr>
        <w:spacing w:after="0" w:line="5" w:lineRule="exact"/>
        <w:rPr>
          <w:rFonts w:ascii="Times New Roman" w:cs="Times New Roman" w:eastAsia="Times New Roman" w:hAnsi="Times New Roman"/>
          <w:sz w:val="16"/>
          <w:szCs w:val="16"/>
          <w:color w:val="auto"/>
        </w:rPr>
      </w:pPr>
    </w:p>
    <w:p>
      <w:pPr>
        <w:ind w:left="280" w:hanging="276"/>
        <w:spacing w:after="0"/>
        <w:tabs>
          <w:tab w:leader="none" w:pos="280"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preceding proviso and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1280"/>
          </w:cols>
          <w:pgMar w:left="300" w:top="1181" w:right="31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any Lender may, with the consent of the Required Lenders, enforce any rights and remedies available to it and as authorized by the Required Lenders.</w:t>
      </w:r>
    </w:p>
    <w:p>
      <w:pPr>
        <w:spacing w:after="0" w:line="172"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u w:val="single" w:color="auto"/>
          <w:color w:val="auto"/>
        </w:rPr>
        <w:t>Crediting of Payments and Proceeds</w:t>
      </w:r>
      <w:r>
        <w:rPr>
          <w:rFonts w:ascii="Times New Roman" w:cs="Times New Roman" w:eastAsia="Times New Roman" w:hAnsi="Times New Roman"/>
          <w:sz w:val="17"/>
          <w:szCs w:val="17"/>
          <w:color w:val="auto"/>
        </w:rPr>
        <w:t xml:space="preserve">. In the event that the Obligations have been accelerated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subject to the provisions of </w:t>
      </w:r>
      <w:r>
        <w:rPr>
          <w:rFonts w:ascii="Times New Roman" w:cs="Times New Roman" w:eastAsia="Times New Roman" w:hAnsi="Times New Roman"/>
          <w:sz w:val="17"/>
          <w:szCs w:val="17"/>
          <w:u w:val="single" w:color="auto"/>
          <w:color w:val="auto"/>
        </w:rPr>
        <w:t>Sections 5.14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5.15</w:t>
      </w:r>
      <w:r>
        <w:rPr>
          <w:rFonts w:ascii="Times New Roman" w:cs="Times New Roman" w:eastAsia="Times New Roman" w:hAnsi="Times New Roman"/>
          <w:sz w:val="17"/>
          <w:szCs w:val="17"/>
          <w:color w:val="auto"/>
        </w:rPr>
        <w:t>, be applied by the Administrative Agent as follows:</w:t>
      </w:r>
    </w:p>
    <w:p>
      <w:pPr>
        <w:spacing w:after="0" w:line="150"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to payment of that portion of the Secured Obligations constituting fees, indemnities, expenses and other amounts, including attorney fees, payable to the Administrative Agent in its capacity as such;</w:t>
      </w:r>
    </w:p>
    <w:p>
      <w:pPr>
        <w:spacing w:after="0" w:line="12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payment of that portion of the Secured Obligations constituting fees (other than Commitment Fees and Letter of Credit fees payable to the Revolving Credit Lenders), indemnities and other amounts (other than principal and interest) payable to the Lenders, the Issuing Lenders and the Swingline Lender under the Loan Documents, including attorney fees, ratably among the Lenders, the Issuing Lenders and the Swingline Lender in proportion to the respective amounts described in this clause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payable to them;</w:t>
      </w:r>
    </w:p>
    <w:p>
      <w:pPr>
        <w:spacing w:after="0" w:line="13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to payment of that portion of the Secured Obligations constituting accrued and unpaid Commitment Fees, Letter of Credit fees payable to the Revolving Credit Lenders and interest on the Loans and Reimbursement Obligations, ratably among the Lenders, the Issuing Lenders and the Swingline Lender in proportion to the respective amounts described in this clause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payable to them;</w:t>
      </w:r>
    </w:p>
    <w:p>
      <w:pPr>
        <w:spacing w:after="0" w:line="137"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to payment of that portion of the Secured Obligations constituting unpaid principal of the Loans and Reimbursement Obligations and Secured Hedge Obligations and Secured Cash Management Obligations then owing and to Cash Collateralize any L/C Obligations then outstanding, ratably among the holders of such obligations in proportion to the respective amounts described in this clause </w:t>
      </w: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payable to them; and</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u w:val="single" w:color="auto"/>
          <w:color w:val="auto"/>
        </w:rPr>
        <w:t>Last</w:t>
      </w:r>
      <w:r>
        <w:rPr>
          <w:rFonts w:ascii="Times New Roman" w:cs="Times New Roman" w:eastAsia="Times New Roman" w:hAnsi="Times New Roman"/>
          <w:sz w:val="17"/>
          <w:szCs w:val="17"/>
          <w:color w:val="auto"/>
        </w:rPr>
        <w:t>, the balance, if any, after all of the Secured Obligations have been paid in full, to the Borrower or as otherwise required by Applicable Law.</w:t>
      </w:r>
    </w:p>
    <w:p>
      <w:pPr>
        <w:spacing w:after="0" w:line="172" w:lineRule="exact"/>
        <w:rPr>
          <w:sz w:val="20"/>
          <w:szCs w:val="20"/>
          <w:color w:val="auto"/>
        </w:rPr>
      </w:pPr>
    </w:p>
    <w:p>
      <w:pPr>
        <w:jc w:val="both"/>
        <w:ind w:firstLine="505"/>
        <w:spacing w:after="0" w:line="253" w:lineRule="auto"/>
        <w:rPr>
          <w:sz w:val="20"/>
          <w:szCs w:val="20"/>
          <w:color w:val="auto"/>
        </w:rPr>
      </w:pPr>
      <w:r>
        <w:rPr>
          <w:rFonts w:ascii="Times New Roman" w:cs="Times New Roman" w:eastAsia="Times New Roman" w:hAnsi="Times New Roman"/>
          <w:sz w:val="17"/>
          <w:szCs w:val="17"/>
          <w:color w:val="auto"/>
        </w:rPr>
        <w:t xml:space="preserve">Notwithstanding the foregoing, Secured Cash Management Obligations and Secured Hedge Obligations shall be excluded from the application described above if the Administrative Agent has not received written notice thereof, together with such supporting documentation as the Administrative Agent may request, from the applicable holders thereof following such acceleration or exercise of remedies and at least three (3) Business Days prior to the application of the proceeds thereof. Each holder of Secured Cash Management Obligations or Secured Hedge Obligations that, in either case, is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1280"/>
          </w:cols>
          <w:pgMar w:left="300" w:top="1191" w:right="319" w:bottom="1440" w:gutter="0" w:footer="0" w:header="0"/>
        </w:sectPr>
      </w:pPr>
    </w:p>
    <w:bookmarkStart w:id="518" w:name="page519"/>
    <w:bookmarkEnd w:id="518"/>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Administrative Agent May File Proofs of Claim</w:t>
      </w:r>
      <w:r>
        <w:rPr>
          <w:rFonts w:ascii="Times New Roman" w:cs="Times New Roman" w:eastAsia="Times New Roman" w:hAnsi="Times New Roman"/>
          <w:sz w:val="17"/>
          <w:szCs w:val="17"/>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Credit Party) shall be entitled and empowered (but not obligated) by intervention in such proceeding or otherwise:</w:t>
      </w:r>
    </w:p>
    <w:p>
      <w:pPr>
        <w:spacing w:after="0" w:line="137" w:lineRule="exact"/>
        <w:rPr>
          <w:sz w:val="20"/>
          <w:szCs w:val="20"/>
          <w:color w:val="auto"/>
        </w:rPr>
      </w:pPr>
    </w:p>
    <w:p>
      <w:pPr>
        <w:jc w:val="both"/>
        <w:ind w:firstLine="509"/>
        <w:spacing w:after="0" w:line="245" w:lineRule="auto"/>
        <w:tabs>
          <w:tab w:leader="none" w:pos="927"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 w:cs="Times New Roman" w:eastAsia="Times New Roman" w:hAnsi="Times New Roman"/>
          <w:sz w:val="17"/>
          <w:szCs w:val="17"/>
          <w:u w:val="single" w:color="auto"/>
          <w:color w:val="auto"/>
        </w:rPr>
        <w:t>Sections 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12.3</w:t>
      </w:r>
      <w:r>
        <w:rPr>
          <w:rFonts w:ascii="Times New Roman" w:cs="Times New Roman" w:eastAsia="Times New Roman" w:hAnsi="Times New Roman"/>
          <w:sz w:val="17"/>
          <w:szCs w:val="17"/>
          <w:color w:val="auto"/>
        </w:rPr>
        <w:t>) allowed in such judicial proceeding; and</w:t>
      </w:r>
    </w:p>
    <w:p>
      <w:pPr>
        <w:spacing w:after="0" w:line="137"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collect and receive any monies or other property payable or deliverable on any such claims and to distribute the same;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6"/>
          <w:szCs w:val="16"/>
          <w:u w:val="single" w:color="auto"/>
          <w:color w:val="auto"/>
        </w:rPr>
        <w:t>Sections 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12.3</w:t>
      </w:r>
      <w:r>
        <w:rPr>
          <w:rFonts w:ascii="Times New Roman" w:cs="Times New Roman" w:eastAsia="Times New Roman" w:hAnsi="Times New Roman"/>
          <w:sz w:val="16"/>
          <w:szCs w:val="16"/>
          <w:color w:val="auto"/>
        </w:rPr>
        <w:t>.</w:t>
      </w:r>
    </w:p>
    <w:p>
      <w:pPr>
        <w:spacing w:after="0" w:line="120"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10.6</w:t>
      </w:r>
      <w:r>
        <w:rPr>
          <w:sz w:val="20"/>
          <w:szCs w:val="20"/>
          <w:color w:val="auto"/>
        </w:rPr>
        <w:tab/>
      </w:r>
      <w:r>
        <w:rPr>
          <w:rFonts w:ascii="Times New Roman" w:cs="Times New Roman" w:eastAsia="Times New Roman" w:hAnsi="Times New Roman"/>
          <w:sz w:val="16"/>
          <w:szCs w:val="16"/>
          <w:u w:val="single" w:color="auto"/>
          <w:color w:val="auto"/>
        </w:rPr>
        <w:t>Credit Bidding.</w:t>
      </w:r>
    </w:p>
    <w:p>
      <w:pPr>
        <w:spacing w:after="0" w:line="172" w:lineRule="exact"/>
        <w:rPr>
          <w:sz w:val="20"/>
          <w:szCs w:val="20"/>
          <w:color w:val="auto"/>
        </w:rPr>
      </w:pPr>
    </w:p>
    <w:p>
      <w:pPr>
        <w:jc w:val="both"/>
        <w:ind w:firstLine="509"/>
        <w:spacing w:after="0" w:line="256" w:lineRule="auto"/>
        <w:tabs>
          <w:tab w:leader="none" w:pos="884"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Administrative Agent, on behalf of itself and the Secured Parties, shall have the right, exercisable at the direction of the Required Lenders, to credit bid and purchase for the benefit of the Administrative Agent and the Secured Parties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actions by the Administrative Agent with respect to such acquisition vehicle or vehicles, including any disposition of the assets or Equity Interests thereof,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1280"/>
          </w:cols>
          <w:pgMar w:left="300" w:top="1181" w:right="319" w:bottom="1440" w:gutter="0" w:footer="0" w:header="0"/>
        </w:sectPr>
      </w:pPr>
    </w:p>
    <w:bookmarkStart w:id="519" w:name="page520"/>
    <w:bookmarkEnd w:id="519"/>
    <w:p>
      <w:pPr>
        <w:spacing w:after="0" w:line="259" w:lineRule="auto"/>
        <w:rPr>
          <w:sz w:val="20"/>
          <w:szCs w:val="20"/>
          <w:color w:val="auto"/>
        </w:rPr>
      </w:pPr>
      <w:r>
        <w:rPr>
          <w:rFonts w:ascii="Times New Roman" w:cs="Times New Roman" w:eastAsia="Times New Roman" w:hAnsi="Times New Roman"/>
          <w:sz w:val="17"/>
          <w:szCs w:val="17"/>
          <w:color w:val="auto"/>
        </w:rPr>
        <w:t xml:space="preserve">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509"/>
        <w:spacing w:after="0" w:line="250" w:lineRule="auto"/>
        <w:tabs>
          <w:tab w:leader="none" w:pos="884"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of the Loan Documents, or exercise any right that it might otherwise have under Applicable Law to credit bid at foreclosure sales, UCC sales or other similar dispositions of Collateral.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ADMINISTRATIVE AGENT</w:t>
      </w:r>
    </w:p>
    <w:p>
      <w:pPr>
        <w:spacing w:after="0" w:line="172"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11.1</w:t>
      </w:r>
      <w:r>
        <w:rPr>
          <w:sz w:val="20"/>
          <w:szCs w:val="20"/>
          <w:color w:val="auto"/>
        </w:rPr>
        <w:tab/>
      </w:r>
      <w:r>
        <w:rPr>
          <w:rFonts w:ascii="Times New Roman" w:cs="Times New Roman" w:eastAsia="Times New Roman" w:hAnsi="Times New Roman"/>
          <w:sz w:val="16"/>
          <w:szCs w:val="16"/>
          <w:u w:val="single" w:color="auto"/>
          <w:color w:val="auto"/>
        </w:rPr>
        <w:t>Appointment and Authority</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09"/>
        <w:spacing w:after="0" w:line="242" w:lineRule="auto"/>
        <w:tabs>
          <w:tab w:leader="none" w:pos="866"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Lenders and each Issuing Lender hereby irrevocably appoints, designates and authorizes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(other than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xml:space="preserve"> which is included for the benefit of the Borrower as provided therein) are solely for the benefit of the Administrative Agent, the Arranger, the Lenders, the Issuing Lenders and their respective Related Parties, and neither the Borrower nor any Subsidiary thereof shall have rights as a third-party beneficiary of any of such provisions.</w:t>
      </w:r>
    </w:p>
    <w:p>
      <w:pPr>
        <w:spacing w:after="0" w:line="152" w:lineRule="exact"/>
        <w:rPr>
          <w:rFonts w:ascii="Times New Roman" w:cs="Times New Roman" w:eastAsia="Times New Roman" w:hAnsi="Times New Roman"/>
          <w:sz w:val="17"/>
          <w:szCs w:val="17"/>
          <w:color w:val="auto"/>
        </w:rPr>
      </w:pPr>
    </w:p>
    <w:p>
      <w:pPr>
        <w:jc w:val="both"/>
        <w:ind w:firstLine="509"/>
        <w:spacing w:after="0"/>
        <w:tabs>
          <w:tab w:leader="none" w:pos="894"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also act as the “</w:t>
      </w:r>
      <w:r>
        <w:rPr>
          <w:rFonts w:ascii="Times New Roman" w:cs="Times New Roman" w:eastAsia="Times New Roman" w:hAnsi="Times New Roman"/>
          <w:sz w:val="17"/>
          <w:szCs w:val="17"/>
          <w:u w:val="single" w:color="auto"/>
          <w:color w:val="auto"/>
        </w:rPr>
        <w:t>collateral agent</w:t>
      </w:r>
      <w:r>
        <w:rPr>
          <w:rFonts w:ascii="Times New Roman" w:cs="Times New Roman" w:eastAsia="Times New Roman" w:hAnsi="Times New Roman"/>
          <w:sz w:val="17"/>
          <w:szCs w:val="17"/>
          <w:color w:val="auto"/>
        </w:rPr>
        <w:t xml:space="preserve">” under the Loan Documents, and each of the Lenders (including each holder of Secured Hedge Obligations and Secured Cash Management Obligations)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and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(including </w:t>
      </w:r>
      <w:r>
        <w:rPr>
          <w:rFonts w:ascii="Times New Roman" w:cs="Times New Roman" w:eastAsia="Times New Roman" w:hAnsi="Times New Roman"/>
          <w:sz w:val="17"/>
          <w:szCs w:val="17"/>
          <w:u w:val="single" w:color="auto"/>
          <w:color w:val="auto"/>
        </w:rPr>
        <w:t>Sections 12.3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12.5(e)</w:t>
      </w:r>
      <w:r>
        <w:rPr>
          <w:rFonts w:ascii="Times New Roman" w:cs="Times New Roman" w:eastAsia="Times New Roman" w:hAnsi="Times New Roman"/>
          <w:sz w:val="17"/>
          <w:szCs w:val="17"/>
          <w:color w:val="auto"/>
        </w:rPr>
        <w:t xml:space="preserve"> as though such co-agents, sub-agents and attorneys-in-fact were the “collateral agent” under the Loan Documents) as if set forth in full herein with respect thereto.</w:t>
      </w:r>
    </w:p>
    <w:p>
      <w:pPr>
        <w:spacing w:after="0" w:line="143" w:lineRule="exact"/>
        <w:rPr>
          <w:rFonts w:ascii="Times New Roman" w:cs="Times New Roman" w:eastAsia="Times New Roman" w:hAnsi="Times New Roman"/>
          <w:sz w:val="17"/>
          <w:szCs w:val="17"/>
          <w:color w:val="auto"/>
        </w:rPr>
      </w:pPr>
    </w:p>
    <w:p>
      <w:pPr>
        <w:ind w:firstLine="509"/>
        <w:spacing w:after="0" w:line="259" w:lineRule="auto"/>
        <w:tabs>
          <w:tab w:leader="none" w:pos="925"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understood and agreed that the use of the term “agent” herein or in any other Loan Documents (or any other similar term) with reference to the Administrative Agent is not intended to connote any fiduciary or other implied (or express) obligations arising under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1280"/>
          </w:cols>
          <w:pgMar w:left="300" w:top="1181" w:right="319" w:bottom="1440" w:gutter="0" w:footer="0" w:header="0"/>
        </w:sectPr>
      </w:pPr>
    </w:p>
    <w:bookmarkStart w:id="520" w:name="page521"/>
    <w:bookmarkEnd w:id="520"/>
    <w:p>
      <w:pPr>
        <w:spacing w:after="0" w:line="272" w:lineRule="auto"/>
        <w:rPr>
          <w:sz w:val="20"/>
          <w:szCs w:val="20"/>
          <w:color w:val="auto"/>
        </w:rPr>
      </w:pPr>
      <w:r>
        <w:rPr>
          <w:rFonts w:ascii="Times New Roman" w:cs="Times New Roman" w:eastAsia="Times New Roman" w:hAnsi="Times New Roman"/>
          <w:sz w:val="17"/>
          <w:szCs w:val="17"/>
          <w:color w:val="auto"/>
        </w:rPr>
        <w:t>doctrine of any Applicable Law. Instead such term is used as a matter of market custom, and is intended to create or reflect only an administrative relationship between contracting parties.</w:t>
      </w:r>
    </w:p>
    <w:p>
      <w:pPr>
        <w:spacing w:after="0" w:line="125" w:lineRule="exact"/>
        <w:rPr>
          <w:sz w:val="20"/>
          <w:szCs w:val="20"/>
          <w:color w:val="auto"/>
        </w:rPr>
      </w:pPr>
    </w:p>
    <w:p>
      <w:pPr>
        <w:jc w:val="both"/>
        <w:ind w:firstLine="509"/>
        <w:spacing w:after="0" w:line="258" w:lineRule="auto"/>
        <w:tabs>
          <w:tab w:leader="none" w:pos="893"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Article and each party’s rights and obligations hereunder shall survive the resignation or replacement of the Administrative Agent or any transfer of rights or obligations by, or the replacement of, a Lender, the termination of Commitments or the repayment, satisfaction or discharge of all Obligations (or any portion thereof) under any Loan Document.</w:t>
      </w:r>
    </w:p>
    <w:p>
      <w:pPr>
        <w:spacing w:after="0" w:line="147" w:lineRule="exact"/>
        <w:rPr>
          <w:sz w:val="20"/>
          <w:szCs w:val="20"/>
          <w:color w:val="auto"/>
        </w:rPr>
      </w:pPr>
    </w:p>
    <w:p>
      <w:pPr>
        <w:jc w:val="both"/>
        <w:ind w:firstLine="505"/>
        <w:spacing w:after="0" w:line="251"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Rights as a Lender</w:t>
      </w:r>
      <w:r>
        <w:rPr>
          <w:rFonts w:ascii="Times New Roman" w:cs="Times New Roman" w:eastAsia="Times New Roman" w:hAnsi="Times New Roman"/>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capital markets or other business with the Borrower or any Subsidiary or other Affiliate thereof as if such Person were not the Administrative Agent hereunder and without any duty to account therefor to the Lenders or to provide notice to or consent of the Lenders with respect thereto.</w:t>
      </w:r>
    </w:p>
    <w:p>
      <w:pPr>
        <w:spacing w:after="0" w:line="146"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11.3</w:t>
      </w:r>
      <w:r>
        <w:rPr>
          <w:sz w:val="20"/>
          <w:szCs w:val="20"/>
          <w:color w:val="auto"/>
        </w:rPr>
        <w:tab/>
      </w:r>
      <w:r>
        <w:rPr>
          <w:rFonts w:ascii="Times New Roman" w:cs="Times New Roman" w:eastAsia="Times New Roman" w:hAnsi="Times New Roman"/>
          <w:sz w:val="16"/>
          <w:szCs w:val="16"/>
          <w:u w:val="single" w:color="auto"/>
          <w:color w:val="auto"/>
        </w:rPr>
        <w:t>Exculpatory Provisions</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jc w:val="both"/>
        <w:ind w:firstLine="509"/>
        <w:spacing w:after="0" w:line="258" w:lineRule="auto"/>
        <w:tabs>
          <w:tab w:leader="none" w:pos="858" w:val="left"/>
        </w:tabs>
        <w:numPr>
          <w:ilvl w:val="0"/>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the Arranger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 and their respective Related Parties:</w:t>
      </w:r>
    </w:p>
    <w:p>
      <w:pPr>
        <w:spacing w:after="0" w:line="147" w:lineRule="exact"/>
        <w:rPr>
          <w:rFonts w:ascii="Times New Roman" w:cs="Times New Roman" w:eastAsia="Times New Roman" w:hAnsi="Times New Roman"/>
          <w:sz w:val="17"/>
          <w:szCs w:val="17"/>
          <w:color w:val="auto"/>
        </w:rPr>
      </w:pPr>
    </w:p>
    <w:p>
      <w:pPr>
        <w:ind w:left="1360" w:hanging="347"/>
        <w:spacing w:after="0"/>
        <w:tabs>
          <w:tab w:leader="none" w:pos="1360"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subject to any agency, trust, fiduciary or other implied duties, regardless of whether a Default or Event of Default has occurred and is</w:t>
      </w:r>
    </w:p>
    <w:p>
      <w:pPr>
        <w:spacing w:after="0" w:line="22"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w:t>
      </w:r>
    </w:p>
    <w:p>
      <w:pPr>
        <w:spacing w:after="0" w:line="154" w:lineRule="exact"/>
        <w:rPr>
          <w:rFonts w:ascii="Times New Roman" w:cs="Times New Roman" w:eastAsia="Times New Roman" w:hAnsi="Times New Roman"/>
          <w:sz w:val="17"/>
          <w:szCs w:val="17"/>
          <w:color w:val="auto"/>
        </w:rPr>
      </w:pPr>
    </w:p>
    <w:p>
      <w:pPr>
        <w:jc w:val="both"/>
        <w:ind w:left="500" w:firstLine="513"/>
        <w:spacing w:after="0" w:line="253" w:lineRule="auto"/>
        <w:tabs>
          <w:tab w:leader="none" w:pos="1431"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40" w:lineRule="exact"/>
        <w:rPr>
          <w:rFonts w:ascii="Times New Roman" w:cs="Times New Roman" w:eastAsia="Times New Roman" w:hAnsi="Times New Roman"/>
          <w:sz w:val="17"/>
          <w:szCs w:val="17"/>
          <w:color w:val="auto"/>
        </w:rPr>
      </w:pPr>
    </w:p>
    <w:p>
      <w:pPr>
        <w:ind w:left="500" w:firstLine="513"/>
        <w:spacing w:after="0" w:line="272" w:lineRule="auto"/>
        <w:tabs>
          <w:tab w:leader="none" w:pos="1448"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have any duty to disclose, and shall not be liable for the failure to disclose to any Lender, any Issuing Lender or any other Person, any credit or other information relating concerning the business, prospects, operations, properties,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1280"/>
          </w:cols>
          <w:pgMar w:left="300" w:top="1191" w:right="319" w:bottom="1440" w:gutter="0" w:footer="0" w:header="0"/>
        </w:sectPr>
      </w:pPr>
    </w:p>
    <w:bookmarkStart w:id="521" w:name="page522"/>
    <w:bookmarkEnd w:id="521"/>
    <w:p>
      <w:pPr>
        <w:jc w:val="both"/>
        <w:ind w:left="500"/>
        <w:spacing w:after="0" w:line="258" w:lineRule="auto"/>
        <w:rPr>
          <w:sz w:val="20"/>
          <w:szCs w:val="20"/>
          <w:color w:val="auto"/>
        </w:rPr>
      </w:pPr>
      <w:r>
        <w:rPr>
          <w:rFonts w:ascii="Times New Roman" w:cs="Times New Roman" w:eastAsia="Times New Roman" w:hAnsi="Times New Roman"/>
          <w:sz w:val="17"/>
          <w:szCs w:val="17"/>
          <w:color w:val="auto"/>
        </w:rPr>
        <w:t>financial or other condition or creditworthiness of the Borrower or any of its Subsidiaries or Affiliates that is communicated to, obtained by or otherwise in the possession of the Person serving as the Administrative Agent, the Arranger or their respective Related Parties in any capacity, except for notices, reports and other documents that are required to be furnished by the Administrative Agent to the Lenders pursuant to the express provisions of this Agreement; and</w:t>
      </w:r>
    </w:p>
    <w:p>
      <w:pPr>
        <w:spacing w:after="0" w:line="137" w:lineRule="exact"/>
        <w:rPr>
          <w:sz w:val="20"/>
          <w:szCs w:val="20"/>
          <w:color w:val="auto"/>
        </w:rPr>
      </w:pPr>
    </w:p>
    <w:p>
      <w:pPr>
        <w:ind w:left="1480" w:hanging="467"/>
        <w:spacing w:after="0"/>
        <w:tabs>
          <w:tab w:leader="none" w:pos="1480"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required to account to any Lender or any Issuing Lender for any sum or profit received by the Administrative Agent for its own</w:t>
      </w:r>
    </w:p>
    <w:p>
      <w:pPr>
        <w:spacing w:after="0" w:line="22"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w:t>
      </w:r>
    </w:p>
    <w:p>
      <w:pPr>
        <w:spacing w:after="0" w:line="164" w:lineRule="exact"/>
        <w:rPr>
          <w:rFonts w:ascii="Times New Roman" w:cs="Times New Roman" w:eastAsia="Times New Roman" w:hAnsi="Times New Roman"/>
          <w:sz w:val="17"/>
          <w:szCs w:val="17"/>
          <w:color w:val="auto"/>
        </w:rPr>
      </w:pPr>
    </w:p>
    <w:p>
      <w:pPr>
        <w:jc w:val="both"/>
        <w:ind w:firstLine="509"/>
        <w:spacing w:after="0" w:line="251" w:lineRule="auto"/>
        <w:tabs>
          <w:tab w:leader="none" w:pos="963"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the Arranger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the Borrower, a Lender or an Issuing Lender.</w:t>
      </w:r>
    </w:p>
    <w:p>
      <w:pPr>
        <w:spacing w:after="0" w:line="145" w:lineRule="exact"/>
        <w:rPr>
          <w:rFonts w:ascii="Times New Roman" w:cs="Times New Roman" w:eastAsia="Times New Roman" w:hAnsi="Times New Roman"/>
          <w:sz w:val="17"/>
          <w:szCs w:val="17"/>
          <w:color w:val="auto"/>
        </w:rPr>
      </w:pPr>
    </w:p>
    <w:p>
      <w:pPr>
        <w:jc w:val="both"/>
        <w:ind w:firstLine="509"/>
        <w:spacing w:after="0" w:line="250" w:lineRule="auto"/>
        <w:tabs>
          <w:tab w:leader="none" w:pos="876"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the Arranger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the satisfaction of any condition set forth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or elsewhere herein, other than to confirm receipt of items expressly required to be delivered to the Administrative Agent, (vii) the validity, sufficiency, enforceability or effectiveness of any Loan Document or other agreement, instrument, document or other Communication executed or transmitted in accordance with </w:t>
      </w:r>
      <w:r>
        <w:rPr>
          <w:rFonts w:ascii="Times New Roman" w:cs="Times New Roman" w:eastAsia="Times New Roman" w:hAnsi="Times New Roman"/>
          <w:sz w:val="17"/>
          <w:szCs w:val="17"/>
          <w:u w:val="single" w:color="auto"/>
          <w:color w:val="auto"/>
        </w:rPr>
        <w:t>Sections 8.2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12.16</w:t>
      </w:r>
      <w:r>
        <w:rPr>
          <w:rFonts w:ascii="Times New Roman" w:cs="Times New Roman" w:eastAsia="Times New Roman" w:hAnsi="Times New Roman"/>
          <w:sz w:val="17"/>
          <w:szCs w:val="17"/>
          <w:color w:val="auto"/>
        </w:rPr>
        <w:t xml:space="preserve"> or (viii) the utilization of any Issuing Lender’s L/C Commitment (it being understood and agreed that each Issuing Lender shall monitor compliance with its own L/C Commitment without any further action by the Administrative Agent).</w:t>
      </w:r>
    </w:p>
    <w:p>
      <w:pPr>
        <w:spacing w:after="0" w:line="146" w:lineRule="exact"/>
        <w:rPr>
          <w:rFonts w:ascii="Times New Roman" w:cs="Times New Roman" w:eastAsia="Times New Roman" w:hAnsi="Times New Roman"/>
          <w:sz w:val="17"/>
          <w:szCs w:val="17"/>
          <w:color w:val="auto"/>
        </w:rPr>
      </w:pPr>
    </w:p>
    <w:p>
      <w:pPr>
        <w:jc w:val="both"/>
        <w:ind w:firstLine="509"/>
        <w:spacing w:after="0" w:line="258" w:lineRule="auto"/>
        <w:tabs>
          <w:tab w:leader="none" w:pos="911"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1280"/>
          </w:cols>
          <w:pgMar w:left="300" w:top="1191" w:right="31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7"/>
          <w:szCs w:val="17"/>
          <w:color w:val="auto"/>
        </w:rPr>
        <w:t>any liability with respect to or arising out of any assignment or participation of Loans, or disclosure of confidential information, to any Disqualified Institution.</w:t>
      </w:r>
    </w:p>
    <w:p>
      <w:pPr>
        <w:spacing w:after="0" w:line="162"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6"/>
          <w:szCs w:val="16"/>
          <w:color w:val="auto"/>
        </w:rPr>
        <w:t xml:space="preserve">Section 11.4 </w:t>
      </w:r>
      <w:r>
        <w:rPr>
          <w:rFonts w:ascii="Times New Roman" w:cs="Times New Roman" w:eastAsia="Times New Roman" w:hAnsi="Times New Roman"/>
          <w:sz w:val="16"/>
          <w:szCs w:val="16"/>
          <w:u w:val="single" w:color="auto"/>
          <w:color w:val="auto"/>
        </w:rPr>
        <w:t>Reliance by the Administrative Agent</w:t>
      </w:r>
      <w:r>
        <w:rPr>
          <w:rFonts w:ascii="Times New Roman" w:cs="Times New Roman" w:eastAsia="Times New Roman" w:hAnsi="Times New Roman"/>
          <w:sz w:val="16"/>
          <w:szCs w:val="16"/>
          <w:color w:val="auto"/>
        </w:rPr>
        <w:t xml:space="preserve">. The Administrative Agent shall be entitled to rely upon, shall be fully protected in relying and shall not incur any liability for relying or acting upon, any notice, request, certificate, consent, Communication, statement, instrument, document or other writing (including any electronic message, Internet or intranet website posting or other distribution) believed by it to be genuine and to have been signed, sent or otherwise authenticated by the proper Person, including any certification pursuant to </w:t>
      </w:r>
      <w:r>
        <w:rPr>
          <w:rFonts w:ascii="Times New Roman" w:cs="Times New Roman" w:eastAsia="Times New Roman" w:hAnsi="Times New Roman"/>
          <w:sz w:val="16"/>
          <w:szCs w:val="16"/>
          <w:u w:val="single" w:color="auto"/>
          <w:color w:val="auto"/>
        </w:rPr>
        <w:t>Section 11.9</w:t>
      </w:r>
      <w:r>
        <w:rPr>
          <w:rFonts w:ascii="Times New Roman" w:cs="Times New Roman" w:eastAsia="Times New Roman" w:hAnsi="Times New Roman"/>
          <w:sz w:val="16"/>
          <w:szCs w:val="16"/>
          <w:color w:val="auto"/>
        </w:rPr>
        <w:t xml:space="preserve"> or execution or transmission pursuant to </w:t>
      </w:r>
      <w:r>
        <w:rPr>
          <w:rFonts w:ascii="Times New Roman" w:cs="Times New Roman" w:eastAsia="Times New Roman" w:hAnsi="Times New Roman"/>
          <w:sz w:val="16"/>
          <w:szCs w:val="16"/>
          <w:u w:val="single" w:color="auto"/>
          <w:color w:val="auto"/>
        </w:rPr>
        <w:t>Sections 8.2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12.16.</w:t>
      </w:r>
      <w:r>
        <w:rPr>
          <w:rFonts w:ascii="Times New Roman" w:cs="Times New Roman" w:eastAsia="Times New Roman" w:hAnsi="Times New Roman"/>
          <w:sz w:val="16"/>
          <w:szCs w:val="16"/>
          <w:color w:val="auto"/>
        </w:rPr>
        <w:t xml:space="preserve"> The Administrative Agent also may rely upon any statement made to it orally or by telephone and believed by it to have been made by the proper Person, and shall be fully protected in relying or acting upon such statement or Communication and shall not incur any liability for relying or acting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Each Lender or Issuing Lender that has signed this Agreement or a signature page to an Assignment and Assumption or any other Loan Document pursuant to which it is to become a Lender or Issuing Lender hereunder shall be deemed to have consented to, approved and accepted and shall be deemed satisfied with each document or other matter required thereunder to be consented to, approved or accepted by such Lender or Issuing Lender or that is to be acceptable or satisfactory to such Lender or Issuing Lender.</w:t>
      </w:r>
    </w:p>
    <w:p>
      <w:pPr>
        <w:spacing w:after="0" w:line="144"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 xml:space="preserve">Section 11.5 </w:t>
      </w:r>
      <w:r>
        <w:rPr>
          <w:rFonts w:ascii="Times New Roman" w:cs="Times New Roman" w:eastAsia="Times New Roman" w:hAnsi="Times New Roman"/>
          <w:sz w:val="17"/>
          <w:szCs w:val="17"/>
          <w:u w:val="single" w:color="auto"/>
          <w:color w:val="auto"/>
        </w:rPr>
        <w:t>Delegation of Duties</w:t>
      </w:r>
      <w:r>
        <w:rPr>
          <w:rFonts w:ascii="Times New Roman" w:cs="Times New Roman" w:eastAsia="Times New Roman" w:hAnsi="Times New Roman"/>
          <w:sz w:val="17"/>
          <w:szCs w:val="17"/>
          <w:color w:val="auto"/>
        </w:rPr>
        <w:t>. The Administrative Agent may perform any and all of its duties and exercise its rights and powers hereunder or under any other Loan Document by or through any one (1)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40"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11.6</w:t>
      </w:r>
      <w:r>
        <w:rPr>
          <w:sz w:val="20"/>
          <w:szCs w:val="20"/>
          <w:color w:val="auto"/>
        </w:rPr>
        <w:tab/>
      </w:r>
      <w:r>
        <w:rPr>
          <w:rFonts w:ascii="Times New Roman" w:cs="Times New Roman" w:eastAsia="Times New Roman" w:hAnsi="Times New Roman"/>
          <w:sz w:val="16"/>
          <w:szCs w:val="16"/>
          <w:u w:val="single" w:color="auto"/>
          <w:color w:val="auto"/>
        </w:rPr>
        <w:t>Resignation of Administrative Agent</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jc w:val="both"/>
        <w:ind w:firstLine="509"/>
        <w:spacing w:after="0" w:line="246" w:lineRule="auto"/>
        <w:tabs>
          <w:tab w:leader="none" w:pos="882"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at any time give notice of its resignation to the Lenders, the Issuing Lenders and the Borrower. Upon receipt of any such notice of resignation, the Required Lenders shall have the right, in consultation with the Borrower, to appoint a successor, which shall be a bank or financial institution reasonably experienced in serving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1280"/>
          </w:cols>
          <w:pgMar w:left="300" w:top="1180" w:right="319" w:bottom="1440" w:gutter="0" w:footer="0" w:header="0"/>
        </w:sectPr>
      </w:pPr>
    </w:p>
    <w:bookmarkStart w:id="523" w:name="page524"/>
    <w:bookmarkEnd w:id="523"/>
    <w:p>
      <w:pPr>
        <w:jc w:val="both"/>
        <w:spacing w:after="0" w:line="242" w:lineRule="auto"/>
        <w:rPr>
          <w:sz w:val="20"/>
          <w:szCs w:val="20"/>
          <w:color w:val="auto"/>
        </w:rPr>
      </w:pPr>
      <w:r>
        <w:rPr>
          <w:rFonts w:ascii="Times New Roman" w:cs="Times New Roman" w:eastAsia="Times New Roman" w:hAnsi="Times New Roman"/>
          <w:sz w:val="17"/>
          <w:szCs w:val="17"/>
          <w:color w:val="auto"/>
        </w:rPr>
        <w:t>administrative agent on syndicated bank facilities with an office in the United States, or an Affiliate of any such bank or financial institution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17"/>
          <w:szCs w:val="17"/>
          <w:u w:val="single" w:color="auto"/>
          <w:color w:val="auto"/>
        </w:rPr>
        <w:t>Resignation Effective Date</w:t>
      </w:r>
      <w:r>
        <w:rPr>
          <w:rFonts w:ascii="Times New Roman" w:cs="Times New Roman" w:eastAsia="Times New Roman" w:hAnsi="Times New Roman"/>
          <w:sz w:val="17"/>
          <w:szCs w:val="17"/>
          <w:color w:val="auto"/>
        </w:rPr>
        <w:t xml:space="preserve">”), then the retiring Administrative Agent may (but shall not be obligated to), on behalf of the Lenders and the Issuing Lenders, appoint a successor Administrative Agent meeting the qualifications set forth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such successor Administrative Agent be a Defaulting Lender or a Disqualified Institution. Whether or not a successor has been appointed, such resignation shall become effective in accordance with such notice on the Resignation Effective Date.</w:t>
      </w:r>
    </w:p>
    <w:p>
      <w:pPr>
        <w:spacing w:after="0" w:line="142" w:lineRule="exact"/>
        <w:rPr>
          <w:sz w:val="20"/>
          <w:szCs w:val="20"/>
          <w:color w:val="auto"/>
        </w:rPr>
      </w:pPr>
    </w:p>
    <w:p>
      <w:pPr>
        <w:jc w:val="both"/>
        <w:ind w:firstLine="509"/>
        <w:spacing w:after="0" w:line="245" w:lineRule="auto"/>
        <w:tabs>
          <w:tab w:leader="none" w:pos="914"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7"/>
          <w:szCs w:val="17"/>
          <w:u w:val="single" w:color="auto"/>
          <w:color w:val="auto"/>
        </w:rPr>
        <w:t>Removal Effective Date</w:t>
      </w:r>
      <w:r>
        <w:rPr>
          <w:rFonts w:ascii="Times New Roman" w:cs="Times New Roman" w:eastAsia="Times New Roman" w:hAnsi="Times New Roman"/>
          <w:sz w:val="17"/>
          <w:szCs w:val="17"/>
          <w:color w:val="auto"/>
        </w:rPr>
        <w:t>”), then such removal shall nonetheless become effective in accordance with such notice on the Removal Effective Date.</w:t>
      </w:r>
    </w:p>
    <w:p>
      <w:pPr>
        <w:spacing w:after="0" w:line="137" w:lineRule="exact"/>
        <w:rPr>
          <w:rFonts w:ascii="Times New Roman" w:cs="Times New Roman" w:eastAsia="Times New Roman" w:hAnsi="Times New Roman"/>
          <w:sz w:val="17"/>
          <w:szCs w:val="17"/>
          <w:color w:val="auto"/>
        </w:rPr>
      </w:pPr>
    </w:p>
    <w:p>
      <w:pPr>
        <w:jc w:val="both"/>
        <w:ind w:firstLine="509"/>
        <w:spacing w:after="0" w:line="239" w:lineRule="auto"/>
        <w:tabs>
          <w:tab w:leader="none" w:pos="882"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7"/>
          <w:szCs w:val="17"/>
          <w:u w:val="single" w:color="auto"/>
          <w:color w:val="auto"/>
        </w:rPr>
        <w:t>Sections 12.3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12.5(e)</w:t>
      </w:r>
      <w:r>
        <w:rPr>
          <w:rFonts w:ascii="Times New Roman" w:cs="Times New Roman" w:eastAsia="Times New Roman" w:hAnsi="Times New Roman"/>
          <w:sz w:val="17"/>
          <w:szCs w:val="17"/>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 following its retirement or removal, including, without limitation, any actions taken with respect to acting as collateral agent or otherwise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1280"/>
          </w:cols>
          <w:pgMar w:left="300" w:top="1181" w:right="319" w:bottom="1440" w:gutter="0" w:footer="0" w:header="0"/>
        </w:sectPr>
      </w:pPr>
    </w:p>
    <w:bookmarkStart w:id="524" w:name="page525"/>
    <w:bookmarkEnd w:id="524"/>
    <w:p>
      <w:pPr>
        <w:spacing w:after="0" w:line="259" w:lineRule="auto"/>
        <w:rPr>
          <w:sz w:val="20"/>
          <w:szCs w:val="20"/>
          <w:color w:val="auto"/>
        </w:rPr>
      </w:pPr>
      <w:r>
        <w:rPr>
          <w:rFonts w:ascii="Times New Roman" w:cs="Times New Roman" w:eastAsia="Times New Roman" w:hAnsi="Times New Roman"/>
          <w:sz w:val="17"/>
          <w:szCs w:val="17"/>
          <w:color w:val="auto"/>
        </w:rPr>
        <w:t>any Collateral on behalf of any of the Secured Parties or in respect of any actions taken in connection with the transfer of agency to a replacement or successor Administrative Agent.</w:t>
      </w:r>
    </w:p>
    <w:p>
      <w:pPr>
        <w:spacing w:after="0" w:line="125" w:lineRule="exact"/>
        <w:rPr>
          <w:sz w:val="20"/>
          <w:szCs w:val="20"/>
          <w:color w:val="auto"/>
        </w:rPr>
      </w:pPr>
    </w:p>
    <w:p>
      <w:pPr>
        <w:jc w:val="both"/>
        <w:ind w:firstLine="509"/>
        <w:spacing w:after="0" w:line="243" w:lineRule="auto"/>
        <w:tabs>
          <w:tab w:leader="none" w:pos="882"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(i) such successor shall succeed to and become vested with all of the rights, powers, privileges and duties of the retiring Issuing Lender, if in its sole discretion it elects to, and Swingline Lender, (ii) the retiring Issuing Lender and Swingline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39" w:lineRule="exact"/>
        <w:rPr>
          <w:sz w:val="20"/>
          <w:szCs w:val="20"/>
          <w:color w:val="auto"/>
        </w:rPr>
      </w:pPr>
    </w:p>
    <w:p>
      <w:pPr>
        <w:jc w:val="both"/>
        <w:ind w:firstLine="505"/>
        <w:spacing w:after="0" w:line="238" w:lineRule="auto"/>
        <w:rPr>
          <w:sz w:val="20"/>
          <w:szCs w:val="20"/>
          <w:color w:val="auto"/>
        </w:rPr>
      </w:pPr>
      <w:r>
        <w:rPr>
          <w:rFonts w:ascii="Times New Roman" w:cs="Times New Roman" w:eastAsia="Times New Roman" w:hAnsi="Times New Roman"/>
          <w:sz w:val="17"/>
          <w:szCs w:val="17"/>
          <w:color w:val="auto"/>
        </w:rPr>
        <w:t xml:space="preserve">Section 11.7 </w:t>
      </w:r>
      <w:r>
        <w:rPr>
          <w:rFonts w:ascii="Times New Roman" w:cs="Times New Roman" w:eastAsia="Times New Roman" w:hAnsi="Times New Roman"/>
          <w:sz w:val="17"/>
          <w:szCs w:val="17"/>
          <w:u w:val="single" w:color="auto"/>
          <w:color w:val="auto"/>
        </w:rPr>
        <w:t>Non-Reliance on Administrative Agent and Other Lenders</w:t>
      </w:r>
      <w:r>
        <w:rPr>
          <w:rFonts w:ascii="Times New Roman" w:cs="Times New Roman" w:eastAsia="Times New Roman" w:hAnsi="Times New Roman"/>
          <w:sz w:val="17"/>
          <w:szCs w:val="17"/>
          <w:color w:val="auto"/>
        </w:rPr>
        <w:t>. Each Lender and each Issuing Lender expressly acknowledges that none of the Administrative Agent, the Arranger or any of their respective Related Parties has made any representations or warranties to it and that no act taken or failure to act by the Administrative Agent, the Arranger or any of their respective Related Parties, including any consent to, and acceptance of any assignment or review of the affairs of the Borrower and its Subsidiaries or Affiliates shall be deemed to constitute a representation or warranty of the Administrative Agent, the Arranger or any of their respective Related Parties to any Lender, any Issuing Lender or any other Secured Party as to any matter, including whether the Administrative Agent, the Arranger or any of their respective Related Parties have disclosed material information in their (or their respective Related Parties’) possession. Each Lender and each Issuing Lender expressly acknowledges, represents and warrants to the Administrative Agent and the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any Credit Party or its Subsidiaries or Affiliates or for the purpose of making, acquiring, purchasing or holding any other type of financial instrument such as a security, (c) it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 or hold such commercial loans or to provide such other facilities is, in each case, experienced in making, acquiring, purchasing or holding commercial loans or providing such other facilities, (d) it has, independently and without reliance upon the Administrative Agent, the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 and its Subsidiaries, all applicable bank or other regulatory Applicable Laws relating to the Transactions and the transactions contemplated by this Agreement and the other Loan Documents, (e) it has made its own independent decision to enter into this Agreement and the other Loan Documents to which it is a party and to extend credit hereunder and thereunder and (f) it has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1280"/>
          </w:cols>
          <w:pgMar w:left="300" w:top="1181" w:right="319" w:bottom="1440" w:gutter="0" w:footer="0" w:header="0"/>
        </w:sectPr>
      </w:pPr>
    </w:p>
    <w:bookmarkStart w:id="525" w:name="page526"/>
    <w:bookmarkEnd w:id="525"/>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 Each Lender and each Issuing Lender also acknowledges and agrees that (i) it will, independently and without reliance upon the Administrative Agent, the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 and its Subsidiaries and (ii) it will not assert any claim under any federal or state securities law or otherwise in contravention of this </w:t>
      </w:r>
      <w:r>
        <w:rPr>
          <w:rFonts w:ascii="Times New Roman" w:cs="Times New Roman" w:eastAsia="Times New Roman" w:hAnsi="Times New Roman"/>
          <w:sz w:val="17"/>
          <w:szCs w:val="17"/>
          <w:u w:val="single" w:color="auto"/>
          <w:color w:val="auto"/>
        </w:rPr>
        <w:t>Section 11.7</w:t>
      </w:r>
      <w:r>
        <w:rPr>
          <w:rFonts w:ascii="Times New Roman" w:cs="Times New Roman" w:eastAsia="Times New Roman" w:hAnsi="Times New Roman"/>
          <w:sz w:val="17"/>
          <w:szCs w:val="17"/>
          <w:color w:val="auto"/>
        </w:rPr>
        <w:t xml:space="preserve">. Each party (including in the case of each Lender, on behalf of itself and its Affiliates that are Secured Parties) acknowledges and agrees that the Administrative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the conflict between any such documentation and this Agreement, this Agreement shall control. In the event the Administrative Agent notifies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Administrative Agent provides such party with documentation that evidences such excluded amount is due and payable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in this sentence shall be deemed to impair any releases of Liens pursuant to </w:t>
      </w:r>
      <w:r>
        <w:rPr>
          <w:rFonts w:ascii="Times New Roman" w:cs="Times New Roman" w:eastAsia="Times New Roman" w:hAnsi="Times New Roman"/>
          <w:sz w:val="17"/>
          <w:szCs w:val="17"/>
          <w:u w:val="single" w:color="auto"/>
          <w:color w:val="auto"/>
        </w:rPr>
        <w:t>Section 11.9(a)(i)</w:t>
      </w:r>
      <w:r>
        <w:rPr>
          <w:rFonts w:ascii="Times New Roman" w:cs="Times New Roman" w:eastAsia="Times New Roman" w:hAnsi="Times New Roman"/>
          <w:sz w:val="17"/>
          <w:szCs w:val="17"/>
          <w:color w:val="auto"/>
        </w:rPr>
        <w:t xml:space="preserve"> or credit support provided by any Credit Party pursuant to </w:t>
      </w:r>
      <w:r>
        <w:rPr>
          <w:rFonts w:ascii="Times New Roman" w:cs="Times New Roman" w:eastAsia="Times New Roman" w:hAnsi="Times New Roman"/>
          <w:sz w:val="17"/>
          <w:szCs w:val="17"/>
          <w:u w:val="single" w:color="auto"/>
          <w:color w:val="auto"/>
        </w:rPr>
        <w:t>Section 11.9(a)(iii)</w:t>
      </w:r>
      <w:r>
        <w:rPr>
          <w:rFonts w:ascii="Times New Roman" w:cs="Times New Roman" w:eastAsia="Times New Roman" w:hAnsi="Times New Roman"/>
          <w:sz w:val="17"/>
          <w:szCs w:val="17"/>
          <w:color w:val="auto"/>
        </w:rPr>
        <w:t xml:space="preserve"> or any termination of Commitments, in each case, that has occurred, or is contemplated to occur, upon the receipt by the Administrative Agent of the amounts indicated to be due in respect of the Obligations in the applicable payment schedules, payoff statements, payoff letters, interest statements or bills and other similar documentation.</w:t>
      </w:r>
    </w:p>
    <w:p>
      <w:pPr>
        <w:spacing w:after="0" w:line="146"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11.8 </w:t>
      </w:r>
      <w:r>
        <w:rPr>
          <w:rFonts w:ascii="Times New Roman" w:cs="Times New Roman" w:eastAsia="Times New Roman" w:hAnsi="Times New Roman"/>
          <w:sz w:val="17"/>
          <w:szCs w:val="17"/>
          <w:u w:val="single" w:color="auto"/>
          <w:color w:val="auto"/>
        </w:rPr>
        <w:t>No Other Duties, Etc</w:t>
      </w:r>
      <w:r>
        <w:rPr>
          <w:rFonts w:ascii="Times New Roman" w:cs="Times New Roman" w:eastAsia="Times New Roman" w:hAnsi="Times New Roman"/>
          <w:sz w:val="17"/>
          <w:szCs w:val="17"/>
          <w:color w:val="auto"/>
        </w:rPr>
        <w:t>.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spacing w:after="0" w:line="148"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11.9</w:t>
      </w:r>
      <w:r>
        <w:rPr>
          <w:sz w:val="20"/>
          <w:szCs w:val="20"/>
          <w:color w:val="auto"/>
        </w:rPr>
        <w:tab/>
      </w:r>
      <w:r>
        <w:rPr>
          <w:rFonts w:ascii="Times New Roman" w:cs="Times New Roman" w:eastAsia="Times New Roman" w:hAnsi="Times New Roman"/>
          <w:sz w:val="16"/>
          <w:szCs w:val="16"/>
          <w:u w:val="single" w:color="auto"/>
          <w:color w:val="auto"/>
        </w:rPr>
        <w:t>Collateral and Guaranty Matters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firstLine="509"/>
        <w:spacing w:after="0" w:line="272" w:lineRule="auto"/>
        <w:tabs>
          <w:tab w:leader="none" w:pos="959"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Lenders (including in its or any of its Affiliate’s capacities as a holder of Secured Hedge Obligations and Secured Cash Management Obligations) irrevocably authorize the Administrative Agent, at its option and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1280"/>
          </w:cols>
          <w:pgMar w:left="300" w:top="1191" w:right="319" w:bottom="1440" w:gutter="0" w:footer="0" w:header="0"/>
        </w:sectPr>
      </w:pPr>
    </w:p>
    <w:bookmarkStart w:id="526" w:name="page527"/>
    <w:bookmarkEnd w:id="526"/>
    <w:p>
      <w:pPr>
        <w:jc w:val="both"/>
        <w:ind w:left="500" w:firstLine="513"/>
        <w:spacing w:after="0"/>
        <w:tabs>
          <w:tab w:leader="none" w:pos="1343"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release any Lien on any Collateral granted to or held by the Administrative Agent, for the ratable benefit of the Secured Parties, under any Loan Document (A) upon the termination of the Revolving Credit Commitment and payment in full of all Secured Obligations (other than (1) contingent indemnification obligations and (2) Secured Cash Management Obligations or Secured Hedge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this determination is being made concurrent with, or following, the acceleration of the Obligations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of this Agreement or the exercise of any remedy by the Administrative Agent or any Lender set forth in any Loan Document, no Secured Cash Management Obligations or Secured Hedge Obligations shall be excluded pursuant to this clause (2) to the extent such obligations would be subject to application pursuant to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 xml:space="preserve"> of the Credit Agreement)) and the expiration or termination of all Letters of Credit (other than Letters of Credit which have been Cash Collateralized or as to which other arrangements satisfactory to the Administrative Agent and the applicable Issuing Lender shall have been made), (B) that is sold or otherwise disposed of or to be sold or otherwise disposed of as part of or in connection with any sale or other disposition to a Person other than a Credit Party permitted under the Loan Documents, as certified by the Borrower, or (C) if approved, authorized or ratified in writing by the Required Lenders in accordance with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release of all or substantially of the Collateral shall be subject to </w:t>
      </w:r>
      <w:r>
        <w:rPr>
          <w:rFonts w:ascii="Times New Roman" w:cs="Times New Roman" w:eastAsia="Times New Roman" w:hAnsi="Times New Roman"/>
          <w:sz w:val="17"/>
          <w:szCs w:val="17"/>
          <w:u w:val="single" w:color="auto"/>
          <w:color w:val="auto"/>
        </w:rPr>
        <w:t>Section 12.2(i)</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ind w:left="500" w:firstLine="513"/>
        <w:spacing w:after="0" w:line="259" w:lineRule="auto"/>
        <w:tabs>
          <w:tab w:leader="none" w:pos="1380"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subordinate any Lien on any Collateral granted to or held by the Administrative Agent under any Loan Document to the holder of any Permitted Lien;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subordination of all or substantially all of the Collateral shall be subject to </w:t>
      </w:r>
      <w:r>
        <w:rPr>
          <w:rFonts w:ascii="Times New Roman" w:cs="Times New Roman" w:eastAsia="Times New Roman" w:hAnsi="Times New Roman"/>
          <w:sz w:val="17"/>
          <w:szCs w:val="17"/>
          <w:u w:val="single" w:color="auto"/>
          <w:color w:val="auto"/>
        </w:rPr>
        <w:t>Section 12.2(i)</w:t>
      </w:r>
      <w:r>
        <w:rPr>
          <w:rFonts w:ascii="Times New Roman" w:cs="Times New Roman" w:eastAsia="Times New Roman" w:hAnsi="Times New Roman"/>
          <w:sz w:val="17"/>
          <w:szCs w:val="17"/>
          <w:color w:val="auto"/>
        </w:rPr>
        <w:t>; and</w:t>
      </w:r>
    </w:p>
    <w:p>
      <w:pPr>
        <w:spacing w:after="0" w:line="135" w:lineRule="exact"/>
        <w:rPr>
          <w:rFonts w:ascii="Times New Roman" w:cs="Times New Roman" w:eastAsia="Times New Roman" w:hAnsi="Times New Roman"/>
          <w:sz w:val="17"/>
          <w:szCs w:val="17"/>
          <w:color w:val="auto"/>
        </w:rPr>
      </w:pPr>
    </w:p>
    <w:p>
      <w:pPr>
        <w:jc w:val="both"/>
        <w:ind w:left="500" w:firstLine="513"/>
        <w:spacing w:after="0" w:line="252" w:lineRule="auto"/>
        <w:tabs>
          <w:tab w:leader="none" w:pos="1485"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release any Guarantor from its obligations under any Loan Documents if such Person ceases to be a Subsidiary as a result of a transaction permitted under the Loan Documents, as certified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release of Guarantors comprising substantially all of the credit support for the Secured Obligations shall be subject to </w:t>
      </w:r>
      <w:r>
        <w:rPr>
          <w:rFonts w:ascii="Times New Roman" w:cs="Times New Roman" w:eastAsia="Times New Roman" w:hAnsi="Times New Roman"/>
          <w:sz w:val="17"/>
          <w:szCs w:val="17"/>
          <w:u w:val="single" w:color="auto"/>
          <w:color w:val="auto"/>
        </w:rPr>
        <w:t>Section 12.2(h)</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both"/>
        <w:ind w:firstLine="505"/>
        <w:spacing w:after="0" w:line="242" w:lineRule="auto"/>
        <w:rPr>
          <w:sz w:val="20"/>
          <w:szCs w:val="20"/>
          <w:color w:val="auto"/>
        </w:rPr>
      </w:pPr>
      <w:r>
        <w:rPr>
          <w:rFonts w:ascii="Times New Roman" w:cs="Times New Roman" w:eastAsia="Times New Roman" w:hAnsi="Times New Roman"/>
          <w:sz w:val="17"/>
          <w:szCs w:val="17"/>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Agreement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11.9</w:t>
      </w:r>
      <w:r>
        <w:rPr>
          <w:rFonts w:ascii="Times New Roman" w:cs="Times New Roman" w:eastAsia="Times New Roman" w:hAnsi="Times New Roman"/>
          <w:sz w:val="17"/>
          <w:szCs w:val="17"/>
          <w:color w:val="auto"/>
        </w:rPr>
        <w:t xml:space="preserve">. In each case as specified in this </w:t>
      </w:r>
      <w:r>
        <w:rPr>
          <w:rFonts w:ascii="Times New Roman" w:cs="Times New Roman" w:eastAsia="Times New Roman" w:hAnsi="Times New Roman"/>
          <w:sz w:val="17"/>
          <w:szCs w:val="17"/>
          <w:u w:val="single" w:color="auto"/>
          <w:color w:val="auto"/>
        </w:rPr>
        <w:t>Section 11.9</w:t>
      </w:r>
      <w:r>
        <w:rPr>
          <w:rFonts w:ascii="Times New Roman" w:cs="Times New Roman" w:eastAsia="Times New Roman" w:hAnsi="Times New Roman"/>
          <w:sz w:val="17"/>
          <w:szCs w:val="17"/>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the Guaranty Agreement, in each case in accordance with the terms of the Loan Documents and this </w:t>
      </w:r>
      <w:r>
        <w:rPr>
          <w:rFonts w:ascii="Times New Roman" w:cs="Times New Roman" w:eastAsia="Times New Roman" w:hAnsi="Times New Roman"/>
          <w:sz w:val="17"/>
          <w:szCs w:val="17"/>
          <w:u w:val="single" w:color="auto"/>
          <w:color w:val="auto"/>
        </w:rPr>
        <w:t>Section 11.9</w:t>
      </w:r>
      <w:r>
        <w:rPr>
          <w:rFonts w:ascii="Times New Roman" w:cs="Times New Roman" w:eastAsia="Times New Roman" w:hAnsi="Times New Roman"/>
          <w:sz w:val="17"/>
          <w:szCs w:val="17"/>
          <w:color w:val="auto"/>
        </w:rPr>
        <w:t xml:space="preserve"> as certified by the Borrower.</w:t>
      </w:r>
    </w:p>
    <w:p>
      <w:pPr>
        <w:spacing w:after="0" w:line="142" w:lineRule="exact"/>
        <w:rPr>
          <w:sz w:val="20"/>
          <w:szCs w:val="20"/>
          <w:color w:val="auto"/>
        </w:rPr>
      </w:pPr>
    </w:p>
    <w:p>
      <w:pPr>
        <w:jc w:val="both"/>
        <w:ind w:firstLine="509"/>
        <w:spacing w:after="0" w:line="252" w:lineRule="auto"/>
        <w:tabs>
          <w:tab w:leader="none" w:pos="899"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1280"/>
          </w:cols>
          <w:pgMar w:left="300" w:top="1180" w:right="31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7"/>
          <w:szCs w:val="17"/>
          <w:color w:val="auto"/>
        </w:rPr>
        <w:t>Agent be responsible or liable to the Lenders for any failure to monitor or maintain any portion of the Collateral.</w:t>
      </w:r>
    </w:p>
    <w:p>
      <w:pPr>
        <w:spacing w:after="0" w:line="162"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 xml:space="preserve">Section 11.10 </w:t>
      </w:r>
      <w:r>
        <w:rPr>
          <w:rFonts w:ascii="Times New Roman" w:cs="Times New Roman" w:eastAsia="Times New Roman" w:hAnsi="Times New Roman"/>
          <w:sz w:val="17"/>
          <w:szCs w:val="17"/>
          <w:u w:val="single" w:color="auto"/>
          <w:color w:val="auto"/>
        </w:rPr>
        <w:t>Secured Hedge Obligations and Secured Cash Management Obligations</w:t>
      </w:r>
      <w:r>
        <w:rPr>
          <w:rFonts w:ascii="Times New Roman" w:cs="Times New Roman" w:eastAsia="Times New Roman" w:hAnsi="Times New Roman"/>
          <w:sz w:val="17"/>
          <w:szCs w:val="17"/>
          <w:color w:val="auto"/>
        </w:rPr>
        <w:t xml:space="preserve">. No holder of any Secured Hedge Obligations or Secured Cash Management Obligations that obtains the benefits of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Guarantee or any Security Document, other than in its capacity as a Lender and, in such case, only to the extent expressly provided in the Loan Documents. The Administrative Agent shall not be required to verify the payment of, or that other satisfactory arrangements have been made with respect to, Secured Hedge Obligations and Secured Cash Management Obligations.</w:t>
      </w:r>
    </w:p>
    <w:p>
      <w:pPr>
        <w:spacing w:after="0" w:line="150" w:lineRule="exact"/>
        <w:rPr>
          <w:sz w:val="20"/>
          <w:szCs w:val="20"/>
          <w:color w:val="auto"/>
        </w:rPr>
      </w:pPr>
    </w:p>
    <w:p>
      <w:pPr>
        <w:ind w:left="50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11.11</w:t>
      </w:r>
      <w:r>
        <w:rPr>
          <w:sz w:val="20"/>
          <w:szCs w:val="20"/>
          <w:color w:val="auto"/>
        </w:rPr>
        <w:tab/>
      </w:r>
      <w:r>
        <w:rPr>
          <w:rFonts w:ascii="Times New Roman" w:cs="Times New Roman" w:eastAsia="Times New Roman" w:hAnsi="Times New Roman"/>
          <w:sz w:val="17"/>
          <w:szCs w:val="17"/>
          <w:u w:val="single" w:color="auto"/>
          <w:color w:val="auto"/>
        </w:rPr>
        <w:t>Certain ERISA Matters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509"/>
        <w:spacing w:after="0" w:line="252" w:lineRule="auto"/>
        <w:tabs>
          <w:tab w:leader="none" w:pos="865" w:val="left"/>
        </w:tabs>
        <w:numPr>
          <w:ilvl w:val="0"/>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(x) represents and warrants, as of the date such Person became a Lender party hereto,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Credit Party, that at least one (1) of the following is and will be true:</w:t>
      </w:r>
    </w:p>
    <w:p>
      <w:pPr>
        <w:spacing w:after="0" w:line="130" w:lineRule="exact"/>
        <w:rPr>
          <w:rFonts w:ascii="Times New Roman" w:cs="Times New Roman" w:eastAsia="Times New Roman" w:hAnsi="Times New Roman"/>
          <w:sz w:val="17"/>
          <w:szCs w:val="17"/>
          <w:color w:val="auto"/>
        </w:rPr>
      </w:pPr>
    </w:p>
    <w:p>
      <w:pPr>
        <w:jc w:val="both"/>
        <w:ind w:left="500" w:firstLine="513"/>
        <w:spacing w:after="0" w:line="252" w:lineRule="auto"/>
        <w:tabs>
          <w:tab w:leader="none" w:pos="1374" w:val="left"/>
        </w:tabs>
        <w:numPr>
          <w:ilvl w:val="1"/>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is not using “plan assets” (within the meaning of Section 3(42) of ERISA or otherwise for purposes of Title I of ERISA or Section 4975 of the Code) of one (1) or more Benefit Plans with respect to such Lender’s entrance into, participation in, administration of and performance of the Loans, the Letters of Credit or the Commitments or this Agreement;</w:t>
      </w:r>
    </w:p>
    <w:p>
      <w:pPr>
        <w:spacing w:after="0" w:line="141" w:lineRule="exact"/>
        <w:rPr>
          <w:rFonts w:ascii="Times New Roman" w:cs="Times New Roman" w:eastAsia="Times New Roman" w:hAnsi="Times New Roman"/>
          <w:sz w:val="17"/>
          <w:szCs w:val="17"/>
          <w:color w:val="auto"/>
        </w:rPr>
      </w:pPr>
    </w:p>
    <w:p>
      <w:pPr>
        <w:jc w:val="both"/>
        <w:ind w:left="500" w:firstLine="513"/>
        <w:spacing w:after="0"/>
        <w:tabs>
          <w:tab w:leader="none" w:pos="1398" w:val="left"/>
        </w:tabs>
        <w:numPr>
          <w:ilvl w:val="1"/>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prohibited transaction exemption set forth in one (1)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51" w:lineRule="exact"/>
        <w:rPr>
          <w:rFonts w:ascii="Times New Roman" w:cs="Times New Roman" w:eastAsia="Times New Roman" w:hAnsi="Times New Roman"/>
          <w:sz w:val="17"/>
          <w:szCs w:val="17"/>
          <w:color w:val="auto"/>
        </w:rPr>
      </w:pPr>
    </w:p>
    <w:p>
      <w:pPr>
        <w:jc w:val="both"/>
        <w:ind w:left="500" w:firstLine="513"/>
        <w:spacing w:after="0" w:line="252" w:lineRule="auto"/>
        <w:tabs>
          <w:tab w:leader="none" w:pos="1439" w:val="left"/>
        </w:tabs>
        <w:numPr>
          <w:ilvl w:val="1"/>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1280"/>
          </w:cols>
          <w:pgMar w:left="300" w:top="1180" w:right="319" w:bottom="1440" w:gutter="0" w:footer="0" w:header="0"/>
        </w:sectPr>
      </w:pPr>
    </w:p>
    <w:bookmarkStart w:id="528" w:name="page529"/>
    <w:bookmarkEnd w:id="528"/>
    <w:p>
      <w:pPr>
        <w:jc w:val="both"/>
        <w:ind w:left="500"/>
        <w:spacing w:after="0" w:line="245" w:lineRule="auto"/>
        <w:rPr>
          <w:sz w:val="20"/>
          <w:szCs w:val="20"/>
          <w:color w:val="auto"/>
        </w:rPr>
      </w:pPr>
      <w:r>
        <w:rPr>
          <w:rFonts w:ascii="Times New Roman" w:cs="Times New Roman" w:eastAsia="Times New Roman" w:hAnsi="Times New Roman"/>
          <w:sz w:val="17"/>
          <w:szCs w:val="17"/>
          <w:color w:val="auto"/>
        </w:rPr>
        <w:t>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37" w:lineRule="exact"/>
        <w:rPr>
          <w:sz w:val="20"/>
          <w:szCs w:val="20"/>
          <w:color w:val="auto"/>
        </w:rPr>
      </w:pPr>
    </w:p>
    <w:p>
      <w:pPr>
        <w:ind w:left="1460" w:hanging="447"/>
        <w:spacing w:after="0"/>
        <w:tabs>
          <w:tab w:leader="none" w:pos="1460" w:val="left"/>
        </w:tabs>
        <w:numPr>
          <w:ilvl w:val="1"/>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representation, warranty and covenant as may be agreed in writing between the Administrative Agent, in its sole discretion, and such</w:t>
      </w:r>
    </w:p>
    <w:p>
      <w:pPr>
        <w:spacing w:after="0" w:line="22"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w:t>
      </w:r>
    </w:p>
    <w:p>
      <w:pPr>
        <w:spacing w:after="0" w:line="143" w:lineRule="exact"/>
        <w:rPr>
          <w:rFonts w:ascii="Times New Roman" w:cs="Times New Roman" w:eastAsia="Times New Roman" w:hAnsi="Times New Roman"/>
          <w:sz w:val="17"/>
          <w:szCs w:val="17"/>
          <w:color w:val="auto"/>
        </w:rPr>
      </w:pPr>
    </w:p>
    <w:p>
      <w:pPr>
        <w:jc w:val="both"/>
        <w:ind w:firstLine="509"/>
        <w:spacing w:after="0" w:line="241" w:lineRule="auto"/>
        <w:tabs>
          <w:tab w:leader="none" w:pos="898" w:val="left"/>
        </w:tabs>
        <w:numPr>
          <w:ilvl w:val="0"/>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Credit Party, that none of the Administrative Agent, the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43" w:lineRule="exact"/>
        <w:rPr>
          <w:sz w:val="20"/>
          <w:szCs w:val="20"/>
          <w:color w:val="auto"/>
        </w:rPr>
      </w:pPr>
    </w:p>
    <w:p>
      <w:pPr>
        <w:ind w:left="500"/>
        <w:spacing w:after="0"/>
        <w:tabs>
          <w:tab w:leader="none" w:pos="1580" w:val="left"/>
        </w:tabs>
        <w:rPr>
          <w:sz w:val="20"/>
          <w:szCs w:val="20"/>
          <w:color w:val="auto"/>
        </w:rPr>
      </w:pPr>
      <w:r>
        <w:rPr>
          <w:rFonts w:ascii="Times New Roman" w:cs="Times New Roman" w:eastAsia="Times New Roman" w:hAnsi="Times New Roman"/>
          <w:sz w:val="17"/>
          <w:szCs w:val="17"/>
          <w:color w:val="auto"/>
        </w:rPr>
        <w:t>Section 11.12</w:t>
      </w:r>
      <w:r>
        <w:rPr>
          <w:sz w:val="20"/>
          <w:szCs w:val="20"/>
          <w:color w:val="auto"/>
        </w:rPr>
        <w:tab/>
      </w:r>
      <w:r>
        <w:rPr>
          <w:rFonts w:ascii="Times New Roman" w:cs="Times New Roman" w:eastAsia="Times New Roman" w:hAnsi="Times New Roman"/>
          <w:sz w:val="16"/>
          <w:szCs w:val="16"/>
          <w:u w:val="single" w:color="auto"/>
          <w:color w:val="auto"/>
        </w:rPr>
        <w:t>Erroneous Payments</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jc w:val="both"/>
        <w:ind w:firstLine="509"/>
        <w:spacing w:after="0" w:line="238" w:lineRule="auto"/>
        <w:tabs>
          <w:tab w:leader="none" w:pos="861"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 or any of its Affiliates, either for its own account or on behalf of a Lender, Issuing Lender or other Secured Party (each such recipient, a “Payment Recipient”)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7"/>
          <w:szCs w:val="17"/>
          <w:u w:val="single" w:color="auto"/>
          <w:color w:val="auto"/>
        </w:rPr>
        <w:t>Section 11.12(a),</w:t>
      </w:r>
      <w:r>
        <w:rPr>
          <w:rFonts w:ascii="Times New Roman" w:cs="Times New Roman" w:eastAsia="Times New Roman" w:hAnsi="Times New Roman"/>
          <w:sz w:val="17"/>
          <w:szCs w:val="17"/>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7"/>
          <w:szCs w:val="17"/>
          <w:u w:val="single" w:color="auto"/>
          <w:color w:val="auto"/>
        </w:rPr>
        <w:t>Erroneous Payment</w:t>
      </w:r>
      <w:r>
        <w:rPr>
          <w:rFonts w:ascii="Times New Roman" w:cs="Times New Roman" w:eastAsia="Times New Roman" w:hAnsi="Times New Roman"/>
          <w:sz w:val="17"/>
          <w:szCs w:val="17"/>
          <w:color w:val="auto"/>
        </w:rPr>
        <w:t>”), then, in each case, such Payment Recipient is deemed to have knowledge of such error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1280"/>
          </w:cols>
          <w:pgMar w:left="300" w:top="1180" w:right="31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6"/>
          <w:szCs w:val="16"/>
          <w:color w:val="auto"/>
        </w:rPr>
        <w:t xml:space="preserve">of its receipt of such Erroneous Payment;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in this Section shall require the Administrative Agent to provide any of the notices specified in clauses</w:t>
      </w:r>
    </w:p>
    <w:p>
      <w:pPr>
        <w:spacing w:after="0" w:line="34" w:lineRule="exact"/>
        <w:rPr>
          <w:sz w:val="20"/>
          <w:szCs w:val="20"/>
          <w:color w:val="auto"/>
        </w:rPr>
      </w:pPr>
    </w:p>
    <w:p>
      <w:pPr>
        <w:jc w:val="both"/>
        <w:ind w:firstLine="4"/>
        <w:spacing w:after="0" w:line="247" w:lineRule="auto"/>
        <w:tabs>
          <w:tab w:leader="none" w:pos="219"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45" w:lineRule="exact"/>
        <w:rPr>
          <w:rFonts w:ascii="Times New Roman" w:cs="Times New Roman" w:eastAsia="Times New Roman" w:hAnsi="Times New Roman"/>
          <w:sz w:val="17"/>
          <w:szCs w:val="17"/>
          <w:color w:val="auto"/>
        </w:rPr>
      </w:pPr>
    </w:p>
    <w:p>
      <w:pPr>
        <w:ind w:firstLine="509"/>
        <w:spacing w:after="0" w:line="285" w:lineRule="auto"/>
        <w:tabs>
          <w:tab w:leader="none" w:pos="878"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immediately preceding clause (a), each Payment Recipient agrees that, in the case of clause (a)(ii) above, it shall promptly notify the Administrative Agent in writing of such occurrence.</w:t>
      </w:r>
    </w:p>
    <w:p>
      <w:pPr>
        <w:spacing w:after="0" w:line="113" w:lineRule="exact"/>
        <w:rPr>
          <w:rFonts w:ascii="Times New Roman" w:cs="Times New Roman" w:eastAsia="Times New Roman" w:hAnsi="Times New Roman"/>
          <w:sz w:val="17"/>
          <w:szCs w:val="17"/>
          <w:color w:val="auto"/>
        </w:rPr>
      </w:pPr>
    </w:p>
    <w:p>
      <w:pPr>
        <w:jc w:val="both"/>
        <w:ind w:firstLine="509"/>
        <w:spacing w:after="0" w:line="251" w:lineRule="auto"/>
        <w:tabs>
          <w:tab w:leader="none" w:pos="878"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(1)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145" w:lineRule="exact"/>
        <w:rPr>
          <w:rFonts w:ascii="Times New Roman" w:cs="Times New Roman" w:eastAsia="Times New Roman" w:hAnsi="Times New Roman"/>
          <w:sz w:val="17"/>
          <w:szCs w:val="17"/>
          <w:color w:val="auto"/>
        </w:rPr>
      </w:pPr>
    </w:p>
    <w:p>
      <w:pPr>
        <w:jc w:val="both"/>
        <w:ind w:firstLine="509"/>
        <w:spacing w:after="0" w:line="249" w:lineRule="auto"/>
        <w:tabs>
          <w:tab w:leader="none" w:pos="917"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7"/>
          <w:szCs w:val="17"/>
          <w:u w:val="single" w:color="auto"/>
          <w:color w:val="auto"/>
        </w:rPr>
        <w:t>Erroneous Payment Return Deficiency</w:t>
      </w:r>
      <w:r>
        <w:rPr>
          <w:rFonts w:ascii="Times New Roman" w:cs="Times New Roman" w:eastAsia="Times New Roman" w:hAnsi="Times New Roman"/>
          <w:sz w:val="17"/>
          <w:szCs w:val="17"/>
          <w:color w:val="auto"/>
        </w:rPr>
        <w:t>”), then at the sole discretion of the Administrative Agent and upon the Administrative Agent’s written notice to such Lender, such Lender shall be deemed to have made a cashless assignment of the full face amount of the portion of its Loans (but not its Commitments) of the relevant Class with respect to which such Erroneous Payment was made (the “</w:t>
      </w:r>
      <w:r>
        <w:rPr>
          <w:rFonts w:ascii="Times New Roman" w:cs="Times New Roman" w:eastAsia="Times New Roman" w:hAnsi="Times New Roman"/>
          <w:sz w:val="17"/>
          <w:szCs w:val="17"/>
          <w:u w:val="single" w:color="auto"/>
          <w:color w:val="auto"/>
        </w:rPr>
        <w:t>Erroneous Payment Impacted Class</w:t>
      </w:r>
      <w:r>
        <w:rPr>
          <w:rFonts w:ascii="Times New Roman" w:cs="Times New Roman" w:eastAsia="Times New Roman" w:hAnsi="Times New Roman"/>
          <w:sz w:val="17"/>
          <w:szCs w:val="17"/>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7"/>
          <w:szCs w:val="17"/>
          <w:u w:val="single" w:color="auto"/>
          <w:color w:val="auto"/>
        </w:rPr>
        <w:t>Erroneous Payment Deficiency Assignment</w:t>
      </w:r>
      <w:r>
        <w:rPr>
          <w:rFonts w:ascii="Times New Roman" w:cs="Times New Roman" w:eastAsia="Times New Roman" w:hAnsi="Times New Roman"/>
          <w:sz w:val="17"/>
          <w:szCs w:val="17"/>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 xml:space="preserve"> and (3) the Administrative Agent may reflect such assignments in the Register without further consent or action by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1280"/>
          </w:cols>
          <w:pgMar w:left="300" w:top="1191" w:right="319" w:bottom="1440" w:gutter="0" w:footer="0" w:header="0"/>
        </w:sectPr>
      </w:pPr>
    </w:p>
    <w:bookmarkStart w:id="530" w:name="page531"/>
    <w:bookmarkEnd w:id="530"/>
    <w:p>
      <w:pPr>
        <w:jc w:val="both"/>
        <w:ind w:firstLine="509"/>
        <w:spacing w:after="0" w:line="266" w:lineRule="auto"/>
        <w:tabs>
          <w:tab w:leader="none" w:pos="909"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6"/>
          <w:szCs w:val="16"/>
          <w:u w:val="single" w:color="auto"/>
          <w:color w:val="auto"/>
        </w:rPr>
        <w:t>Section 11.12</w:t>
      </w:r>
      <w:r>
        <w:rPr>
          <w:rFonts w:ascii="Times New Roman" w:cs="Times New Roman" w:eastAsia="Times New Roman" w:hAnsi="Times New Roman"/>
          <w:sz w:val="16"/>
          <w:szCs w:val="16"/>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47" w:lineRule="exact"/>
        <w:rPr>
          <w:rFonts w:ascii="Times New Roman" w:cs="Times New Roman" w:eastAsia="Times New Roman" w:hAnsi="Times New Roman"/>
          <w:sz w:val="16"/>
          <w:szCs w:val="16"/>
          <w:color w:val="auto"/>
        </w:rPr>
      </w:pPr>
    </w:p>
    <w:p>
      <w:pPr>
        <w:jc w:val="both"/>
        <w:ind w:firstLine="509"/>
        <w:spacing w:after="0" w:line="258" w:lineRule="auto"/>
        <w:tabs>
          <w:tab w:leader="none" w:pos="902"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party’s obligations under this </w:t>
      </w:r>
      <w:r>
        <w:rPr>
          <w:rFonts w:ascii="Times New Roman" w:cs="Times New Roman" w:eastAsia="Times New Roman" w:hAnsi="Times New Roman"/>
          <w:sz w:val="17"/>
          <w:szCs w:val="17"/>
          <w:u w:val="single" w:color="auto"/>
          <w:color w:val="auto"/>
        </w:rPr>
        <w:t>Section 11.12</w:t>
      </w:r>
      <w:r>
        <w:rPr>
          <w:rFonts w:ascii="Times New Roman" w:cs="Times New Roman" w:eastAsia="Times New Roman" w:hAnsi="Times New Roman"/>
          <w:sz w:val="17"/>
          <w:szCs w:val="17"/>
          <w:color w:val="auto"/>
        </w:rPr>
        <w:t xml:space="preserve"> shall survive the resignation or replacement of the Administrative Agent or any transfer of rights or obligations by, or the replacement of, a Lender or any Issuing Lender, the termination of the Commitments or the repayment, satisfaction or discharge of all Obligations (or any portion thereof) under any Loan Document.</w:t>
      </w:r>
    </w:p>
    <w:p>
      <w:pPr>
        <w:spacing w:after="0" w:line="136" w:lineRule="exact"/>
        <w:rPr>
          <w:rFonts w:ascii="Times New Roman" w:cs="Times New Roman" w:eastAsia="Times New Roman" w:hAnsi="Times New Roman"/>
          <w:sz w:val="17"/>
          <w:szCs w:val="17"/>
          <w:color w:val="auto"/>
        </w:rPr>
      </w:pPr>
    </w:p>
    <w:p>
      <w:pPr>
        <w:ind w:firstLine="509"/>
        <w:spacing w:after="0" w:line="272" w:lineRule="auto"/>
        <w:tabs>
          <w:tab w:leader="none" w:pos="869"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w:t>
      </w:r>
      <w:r>
        <w:rPr>
          <w:rFonts w:ascii="Times New Roman" w:cs="Times New Roman" w:eastAsia="Times New Roman" w:hAnsi="Times New Roman"/>
          <w:sz w:val="17"/>
          <w:szCs w:val="17"/>
          <w:u w:val="single" w:color="auto"/>
          <w:color w:val="auto"/>
        </w:rPr>
        <w:t>Section 11.12</w:t>
      </w:r>
      <w:r>
        <w:rPr>
          <w:rFonts w:ascii="Times New Roman" w:cs="Times New Roman" w:eastAsia="Times New Roman" w:hAnsi="Times New Roman"/>
          <w:sz w:val="17"/>
          <w:szCs w:val="17"/>
          <w:color w:val="auto"/>
        </w:rPr>
        <w:t xml:space="preserve"> will constitute a waiver or release of any claim of the Administrative Agent hereunder arising from any Payment Recipient’s receipt of an Erroneous Payment.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MISCELLANEOUS</w:t>
      </w:r>
    </w:p>
    <w:p>
      <w:pPr>
        <w:spacing w:after="0" w:line="172"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12.1</w:t>
      </w:r>
      <w:r>
        <w:rPr>
          <w:sz w:val="20"/>
          <w:szCs w:val="20"/>
          <w:color w:val="auto"/>
        </w:rPr>
        <w:tab/>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jc w:val="both"/>
        <w:ind w:firstLine="509"/>
        <w:spacing w:after="0" w:line="258" w:lineRule="auto"/>
        <w:tabs>
          <w:tab w:leader="none" w:pos="933" w:val="left"/>
        </w:tabs>
        <w:numPr>
          <w:ilvl w:val="0"/>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Generally</w:t>
      </w:r>
      <w:r>
        <w:rPr>
          <w:rFonts w:ascii="Times New Roman" w:cs="Times New Roman" w:eastAsia="Times New Roman" w:hAnsi="Times New Roman"/>
          <w:sz w:val="17"/>
          <w:szCs w:val="17"/>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If to the Borrower:</w:t>
      </w:r>
    </w:p>
    <w:p>
      <w:pPr>
        <w:spacing w:after="0" w:line="8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Wealthfront Corporation</w:t>
      </w:r>
    </w:p>
    <w:p>
      <w:pPr>
        <w:spacing w:after="0" w:line="2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261 Hamilton Ave.</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Palo Alto, California 94301</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Attention of: Chief Legal &amp; Compliance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1280"/>
          </w:cols>
          <w:pgMar w:left="300" w:top="1191" w:right="319" w:bottom="1440" w:gutter="0" w:footer="0" w:header="0"/>
        </w:sectPr>
      </w:pPr>
    </w:p>
    <w:bookmarkStart w:id="531" w:name="page532"/>
    <w:bookmarkEnd w:id="531"/>
    <w:p>
      <w:pPr>
        <w:ind w:left="1520"/>
        <w:spacing w:after="0"/>
        <w:rPr>
          <w:sz w:val="20"/>
          <w:szCs w:val="20"/>
          <w:color w:val="auto"/>
        </w:rPr>
      </w:pPr>
      <w:r>
        <w:rPr>
          <w:rFonts w:ascii="Times New Roman" w:cs="Times New Roman" w:eastAsia="Times New Roman" w:hAnsi="Times New Roman"/>
          <w:sz w:val="17"/>
          <w:szCs w:val="17"/>
          <w:color w:val="auto"/>
        </w:rPr>
        <w:t>With copies to:</w:t>
      </w:r>
    </w:p>
    <w:p>
      <w:pPr>
        <w:spacing w:after="0" w:line="34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Fenwick &amp; West LLP</w:t>
      </w:r>
    </w:p>
    <w:p>
      <w:pPr>
        <w:ind w:left="2020"/>
        <w:spacing w:after="0" w:line="220" w:lineRule="auto"/>
        <w:rPr>
          <w:sz w:val="20"/>
          <w:szCs w:val="20"/>
          <w:color w:val="auto"/>
        </w:rPr>
      </w:pPr>
      <w:r>
        <w:rPr>
          <w:rFonts w:ascii="Times New Roman" w:cs="Times New Roman" w:eastAsia="Times New Roman" w:hAnsi="Times New Roman"/>
          <w:sz w:val="17"/>
          <w:szCs w:val="17"/>
          <w:color w:val="auto"/>
        </w:rPr>
        <w:t>555 California Street, 12</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San Francisco, CA 94104</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Attention of: Michael A. Brown</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If to Wells Fargo, as Administrative Agent:</w:t>
      </w:r>
    </w:p>
    <w:p>
      <w:pPr>
        <w:spacing w:after="0" w:line="17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2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MAC D1109-019</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1525 West W.T. Harris Blvd.</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Charlotte, NC 28262</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Attention of: Syndication Agency Services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With copies to:</w:t>
      </w:r>
    </w:p>
    <w:p>
      <w:pPr>
        <w:spacing w:after="0" w:line="17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2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7711 Plantation Rd</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Roanoke, VA 24019</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Attention: Loan Servicing Representative</w:t>
      </w:r>
    </w:p>
    <w:p>
      <w:pPr>
        <w:spacing w:after="0" w:line="16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and:</w:t>
      </w:r>
    </w:p>
    <w:p>
      <w:pPr>
        <w:spacing w:after="0" w:line="17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Wells Fargo Corporate and Investment Banking</w:t>
      </w:r>
    </w:p>
    <w:p>
      <w:pPr>
        <w:spacing w:after="0" w:line="2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90 South Seventh, 15th Floor</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Minneapolis, MN 55402</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Attention of: Nick Brokke</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If to any Lender:</w:t>
      </w:r>
    </w:p>
    <w:p>
      <w:pPr>
        <w:spacing w:after="0" w:line="172" w:lineRule="exact"/>
        <w:rPr>
          <w:sz w:val="20"/>
          <w:szCs w:val="20"/>
          <w:color w:val="auto"/>
        </w:rPr>
      </w:pPr>
    </w:p>
    <w:p>
      <w:pPr>
        <w:ind w:left="1520"/>
        <w:spacing w:after="0" w:line="272" w:lineRule="auto"/>
        <w:rPr>
          <w:sz w:val="20"/>
          <w:szCs w:val="20"/>
          <w:color w:val="auto"/>
        </w:rPr>
      </w:pPr>
      <w:r>
        <w:rPr>
          <w:rFonts w:ascii="Times New Roman" w:cs="Times New Roman" w:eastAsia="Times New Roman" w:hAnsi="Times New Roman"/>
          <w:sz w:val="17"/>
          <w:szCs w:val="17"/>
          <w:color w:val="auto"/>
        </w:rPr>
        <w:t>To the address of such Lender set forth on the Register with respect to deliveries of notices and other documentation that may contain material non-public information.</w:t>
      </w:r>
    </w:p>
    <w:p>
      <w:pPr>
        <w:spacing w:after="0" w:line="125" w:lineRule="exact"/>
        <w:rPr>
          <w:sz w:val="20"/>
          <w:szCs w:val="20"/>
          <w:color w:val="auto"/>
        </w:rPr>
      </w:pPr>
    </w:p>
    <w:p>
      <w:pPr>
        <w:ind w:firstLine="505"/>
        <w:spacing w:after="0" w:line="272" w:lineRule="auto"/>
        <w:rPr>
          <w:sz w:val="20"/>
          <w:szCs w:val="20"/>
          <w:color w:val="auto"/>
        </w:rPr>
      </w:pPr>
      <w:r>
        <w:rPr>
          <w:rFonts w:ascii="Times New Roman" w:cs="Times New Roman" w:eastAsia="Times New Roman" w:hAnsi="Times New Roman"/>
          <w:sz w:val="17"/>
          <w:szCs w:val="17"/>
          <w:color w:val="auto"/>
        </w:rPr>
        <w:t>Notices sent by hand or overnight courier service, or mailed by certified or registered mail, shall be deemed to have been given when received; notices sent by facsimile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1280"/>
          </w:cols>
          <w:pgMar w:left="300" w:top="1192" w:right="319" w:bottom="1440" w:gutter="0" w:footer="0" w:header="0"/>
        </w:sectPr>
      </w:pPr>
    </w:p>
    <w:bookmarkStart w:id="532" w:name="page533"/>
    <w:bookmarkEnd w:id="532"/>
    <w:p>
      <w:pPr>
        <w:jc w:val="both"/>
        <w:spacing w:after="0" w:line="246" w:lineRule="auto"/>
        <w:rPr>
          <w:sz w:val="20"/>
          <w:szCs w:val="20"/>
          <w:color w:val="auto"/>
        </w:rPr>
      </w:pPr>
      <w:r>
        <w:rPr>
          <w:rFonts w:ascii="Times New Roman" w:cs="Times New Roman" w:eastAsia="Times New Roman" w:hAnsi="Times New Roman"/>
          <w:sz w:val="17"/>
          <w:szCs w:val="17"/>
          <w:color w:val="auto"/>
        </w:rPr>
        <w:t>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45" w:lineRule="exact"/>
        <w:rPr>
          <w:sz w:val="20"/>
          <w:szCs w:val="20"/>
          <w:color w:val="auto"/>
        </w:rPr>
      </w:pPr>
    </w:p>
    <w:p>
      <w:pPr>
        <w:jc w:val="both"/>
        <w:ind w:firstLine="509"/>
        <w:spacing w:after="0" w:line="239" w:lineRule="auto"/>
        <w:tabs>
          <w:tab w:leader="none" w:pos="943"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Communications</w:t>
      </w:r>
      <w:r>
        <w:rPr>
          <w:rFonts w:ascii="Times New Roman" w:cs="Times New Roman" w:eastAsia="Times New Roman" w:hAnsi="Times New Roman"/>
          <w:sz w:val="17"/>
          <w:szCs w:val="17"/>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apply to notices to any Lender or any Issuing Lender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if such Lender or such Issuing Lender, as applicable, has notified the Administrative Agent that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55" w:lineRule="exact"/>
        <w:rPr>
          <w:rFonts w:ascii="Times New Roman" w:cs="Times New Roman" w:eastAsia="Times New Roman" w:hAnsi="Times New Roman"/>
          <w:sz w:val="17"/>
          <w:szCs w:val="17"/>
          <w:color w:val="auto"/>
        </w:rPr>
      </w:pPr>
    </w:p>
    <w:p>
      <w:pPr>
        <w:jc w:val="both"/>
        <w:ind w:firstLine="509"/>
        <w:spacing w:after="0" w:line="246" w:lineRule="auto"/>
        <w:tabs>
          <w:tab w:leader="none" w:pos="923"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Administrative Agent’s Office</w:t>
      </w:r>
      <w:r>
        <w:rPr>
          <w:rFonts w:ascii="Times New Roman" w:cs="Times New Roman" w:eastAsia="Times New Roman" w:hAnsi="Times New Roman"/>
          <w:sz w:val="17"/>
          <w:szCs w:val="17"/>
          <w:color w:val="auto"/>
        </w:rPr>
        <w:t>. The Administrative Agent hereby designates its office located at the address set forth above, or any subsequent office which shall have been specified for such purpose by written notice to the Borrower and Lenders, as the Administrative Agent’s Office referred to herein, to which payments due are to be made and at which Loans will be disbursed and Letters of Credit requested.</w:t>
      </w:r>
    </w:p>
    <w:p>
      <w:pPr>
        <w:spacing w:after="0" w:line="145" w:lineRule="exact"/>
        <w:rPr>
          <w:rFonts w:ascii="Times New Roman" w:cs="Times New Roman" w:eastAsia="Times New Roman" w:hAnsi="Times New Roman"/>
          <w:sz w:val="17"/>
          <w:szCs w:val="17"/>
          <w:color w:val="auto"/>
        </w:rPr>
      </w:pPr>
    </w:p>
    <w:p>
      <w:pPr>
        <w:jc w:val="both"/>
        <w:ind w:firstLine="509"/>
        <w:spacing w:after="0" w:line="246" w:lineRule="auto"/>
        <w:tabs>
          <w:tab w:leader="none" w:pos="901"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Address, Etc.</w:t>
      </w:r>
      <w:r>
        <w:rPr>
          <w:rFonts w:ascii="Times New Roman" w:cs="Times New Roman" w:eastAsia="Times New Roman" w:hAnsi="Times New Roman"/>
          <w:sz w:val="17"/>
          <w:szCs w:val="17"/>
          <w:color w:val="auto"/>
        </w:rPr>
        <w:t xml:space="preserve"> Each of the Borrower, the Administrative Agent, any Issuing Lender or the Swingline Lender may change its address or other contact information for notices and other communications hereunder by notice to the other parties hereto. Any Lender may change its address or facsimile number for notices and other communications hereunder by notice to the Borrower, the Administrative Agent, each Issuing Lender and the Swingline Lender.</w:t>
      </w:r>
    </w:p>
    <w:p>
      <w:pPr>
        <w:spacing w:after="0" w:line="145"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Platform</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left="500" w:firstLine="513"/>
        <w:spacing w:after="0" w:line="245" w:lineRule="auto"/>
        <w:tabs>
          <w:tab w:leader="none" w:pos="1435" w:val="left"/>
        </w:tabs>
        <w:numPr>
          <w:ilvl w:val="1"/>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each Lender and each Issuing Lender agrees that the Administrative Agent may, but shall not be obligated to, make the Borrower Materials available to the Issuing Lenders and the other Lenders by posting the Borrower Materials on the Platform. The Borrower acknowledges and agrees that the DQ List shall be deemed suitable for posting and may be posted by the Administrative Agent on the Platform, including the portion of the Platform that is designated for “public side”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1280"/>
          </w:cols>
          <w:pgMar w:left="300" w:top="1180" w:right="319" w:bottom="1440" w:gutter="0" w:footer="0" w:header="0"/>
        </w:sectPr>
      </w:pPr>
    </w:p>
    <w:bookmarkStart w:id="533" w:name="page534"/>
    <w:bookmarkEnd w:id="533"/>
    <w:p>
      <w:pPr>
        <w:jc w:val="both"/>
        <w:ind w:left="500" w:firstLine="513"/>
        <w:spacing w:after="0" w:line="249" w:lineRule="auto"/>
        <w:tabs>
          <w:tab w:leader="none" w:pos="1434" w:val="left"/>
        </w:tabs>
        <w:numPr>
          <w:ilvl w:val="1"/>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Although the Platform is secured pursuant to generally-applicable security procedures and policies implemented or modified by the Administrative Agent and its Related Parties, each of the Lenders, the Issuing Lenders and the Borrower acknowledges and agrees that distribution of information through an electronic means is not necessarily secure in all respects, the Administrative Agent, the Arranger and their respective Related Parties (collectively, the “</w:t>
      </w:r>
      <w:r>
        <w:rPr>
          <w:rFonts w:ascii="Times New Roman" w:cs="Times New Roman" w:eastAsia="Times New Roman" w:hAnsi="Times New Roman"/>
          <w:sz w:val="17"/>
          <w:szCs w:val="17"/>
          <w:u w:val="single" w:color="auto"/>
          <w:color w:val="auto"/>
        </w:rPr>
        <w:t>Agent Parties</w:t>
      </w:r>
      <w:r>
        <w:rPr>
          <w:rFonts w:ascii="Times New Roman" w:cs="Times New Roman" w:eastAsia="Times New Roman" w:hAnsi="Times New Roman"/>
          <w:sz w:val="17"/>
          <w:szCs w:val="17"/>
          <w:color w:val="auto"/>
        </w:rPr>
        <w:t xml:space="preserve">”) are not responsible for approving or vetting the representatives, designees or contacts of any Lender or Issuing Lender that are provided access to the Platform and that there may be confidentiality and other risks associated with such form of distribution. Each of the Borrower, each Lender and each Issuing Lender party hereto understands and accepts such risks. In no event shall the Agent Parties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Agent Party have any liability to any Credit Party, any Lender, any Issuing Lender or any other Person for indirect, special, incidental, consequential or punitive damages, losses or expenses (as opposed to actual damages, losses or expenses).</w:t>
      </w:r>
    </w:p>
    <w:p>
      <w:pPr>
        <w:spacing w:after="0" w:line="143" w:lineRule="exact"/>
        <w:rPr>
          <w:rFonts w:ascii="Times New Roman" w:cs="Times New Roman" w:eastAsia="Times New Roman" w:hAnsi="Times New Roman"/>
          <w:sz w:val="17"/>
          <w:szCs w:val="17"/>
          <w:color w:val="auto"/>
        </w:rPr>
      </w:pPr>
    </w:p>
    <w:p>
      <w:pPr>
        <w:jc w:val="both"/>
        <w:ind w:firstLine="509"/>
        <w:spacing w:after="0" w:line="255" w:lineRule="auto"/>
        <w:tabs>
          <w:tab w:leader="none" w:pos="851"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Private Side Designation</w:t>
      </w:r>
      <w:r>
        <w:rPr>
          <w:rFonts w:ascii="Times New Roman" w:cs="Times New Roman" w:eastAsia="Times New Roman" w:hAnsi="Times New Roman"/>
          <w:sz w:val="17"/>
          <w:szCs w:val="17"/>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Applicable Laws.</w:t>
      </w:r>
    </w:p>
    <w:p>
      <w:pPr>
        <w:spacing w:after="0" w:line="139"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7"/>
          <w:szCs w:val="17"/>
          <w:color w:val="auto"/>
        </w:rPr>
        <w:t xml:space="preserve">Section 12.2 </w:t>
      </w:r>
      <w:r>
        <w:rPr>
          <w:rFonts w:ascii="Times New Roman" w:cs="Times New Roman" w:eastAsia="Times New Roman" w:hAnsi="Times New Roman"/>
          <w:sz w:val="17"/>
          <w:szCs w:val="17"/>
          <w:u w:val="single" w:color="auto"/>
          <w:color w:val="auto"/>
        </w:rPr>
        <w:t>Amendments, Waivers and Consents</w:t>
      </w:r>
      <w:r>
        <w:rPr>
          <w:rFonts w:ascii="Times New Roman" w:cs="Times New Roman" w:eastAsia="Times New Roman" w:hAnsi="Times New Roman"/>
          <w:sz w:val="17"/>
          <w:szCs w:val="17"/>
          <w:color w:val="auto"/>
        </w:rPr>
        <w:t xml:space="preserve">. Except as set forth below or as specifically provided in any Loan Document (including </w:t>
      </w:r>
      <w:r>
        <w:rPr>
          <w:rFonts w:ascii="Times New Roman" w:cs="Times New Roman" w:eastAsia="Times New Roman" w:hAnsi="Times New Roman"/>
          <w:sz w:val="17"/>
          <w:szCs w:val="17"/>
          <w:u w:val="single" w:color="auto"/>
          <w:color w:val="auto"/>
        </w:rPr>
        <w:t>Section 5.8(c)</w:t>
      </w:r>
      <w:r>
        <w:rPr>
          <w:rFonts w:ascii="Times New Roman" w:cs="Times New Roman" w:eastAsia="Times New Roman" w:hAnsi="Times New Roman"/>
          <w:sz w:val="17"/>
          <w:szCs w:val="17"/>
          <w:color w:val="auto"/>
        </w:rPr>
        <w:t xml:space="preserve">), any term, covenant, agreement or condition of this Agreement or any of the other Loan Documents may be amended or waived by the Lenders, and any consent given by the Lenders, if, but only if, such amendment, waiver or consent is in writing and approved by the Required Lenders (or by the Administrative Agent with the consent of the Required Lenders) and delivered to the Administrative Agent and, in the case of an amendment, signed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amendment, waiver or consent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1280"/>
          </w:cols>
          <w:pgMar w:left="300" w:top="1191" w:right="319" w:bottom="1440" w:gutter="0" w:footer="0" w:header="0"/>
        </w:sectPr>
      </w:pPr>
    </w:p>
    <w:bookmarkStart w:id="534" w:name="page535"/>
    <w:bookmarkEnd w:id="534"/>
    <w:p>
      <w:pPr>
        <w:jc w:val="both"/>
        <w:ind w:firstLine="509"/>
        <w:spacing w:after="0" w:line="258" w:lineRule="auto"/>
        <w:tabs>
          <w:tab w:leader="none" w:pos="962"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subordinate any of the Obligations in right of payment or otherwise adversely affect the priority of payment of any of such Obligations or (ii) subordinate the Liens securing any Obligations in a disproportionate and adverse manner relative to the effect on the Liens of any other holder of the Obligations, in each case of clause (i) and (ii) without the consent of each of the Lenders directly and adversely affected thereby;</w:t>
      </w:r>
    </w:p>
    <w:p>
      <w:pPr>
        <w:spacing w:after="0" w:line="136" w:lineRule="exact"/>
        <w:rPr>
          <w:rFonts w:ascii="Times New Roman" w:cs="Times New Roman" w:eastAsia="Times New Roman" w:hAnsi="Times New Roman"/>
          <w:sz w:val="17"/>
          <w:szCs w:val="17"/>
          <w:color w:val="auto"/>
        </w:rPr>
      </w:pPr>
    </w:p>
    <w:p>
      <w:pPr>
        <w:ind w:firstLine="509"/>
        <w:spacing w:after="0" w:line="272" w:lineRule="auto"/>
        <w:tabs>
          <w:tab w:leader="none" w:pos="880"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increase or extend the Commitment of any Lender (or reinstate any Commitment terminated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or increase the amount of Loans of any Lender, in any case, without the written consent of such Lender;</w:t>
      </w:r>
    </w:p>
    <w:p>
      <w:pPr>
        <w:spacing w:after="0" w:line="135" w:lineRule="exact"/>
        <w:rPr>
          <w:rFonts w:ascii="Times New Roman" w:cs="Times New Roman" w:eastAsia="Times New Roman" w:hAnsi="Times New Roman"/>
          <w:sz w:val="17"/>
          <w:szCs w:val="17"/>
          <w:color w:val="auto"/>
        </w:rPr>
      </w:pPr>
    </w:p>
    <w:p>
      <w:pPr>
        <w:ind w:firstLine="509"/>
        <w:spacing w:after="0" w:line="272" w:lineRule="auto"/>
        <w:tabs>
          <w:tab w:leader="none" w:pos="862"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extend or postpone any date fixed by this Agreement or any other Loan Document for any payment of principal, interest, fees or other amounts due to the Lenders (or any of them) hereunder or under any other Loan Document without the written consent of each Lender directly and adversely affected thereby;</w:t>
      </w:r>
    </w:p>
    <w:p>
      <w:pPr>
        <w:spacing w:after="0" w:line="124" w:lineRule="exact"/>
        <w:rPr>
          <w:rFonts w:ascii="Times New Roman" w:cs="Times New Roman" w:eastAsia="Times New Roman" w:hAnsi="Times New Roman"/>
          <w:sz w:val="17"/>
          <w:szCs w:val="17"/>
          <w:color w:val="auto"/>
        </w:rPr>
      </w:pPr>
    </w:p>
    <w:p>
      <w:pPr>
        <w:jc w:val="both"/>
        <w:ind w:firstLine="509"/>
        <w:spacing w:after="0" w:line="253" w:lineRule="auto"/>
        <w:tabs>
          <w:tab w:leader="none" w:pos="936"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reduce the principal of, or the rate of interest specified herein on, any Loan or Reimbursement Obligation, or (subject to clauses (iv) and (vii) of the proviso set forth in the paragraph below) any fees or other amounts payable hereunder or under any other Loan Document without the written consent of each Lender directly and adversely affected thereby;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only the consent of the Required Lenders shall be necessary to waive any obligation of the Borrower to pay interest at the rate set forth in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xml:space="preserve"> during the continuance of an Event of Default and (ii) only the consent of the Required Lenders shall be necessary to amend any financial covenant hereunder (or any defined term used therein) even if the effect of such amendment would be to reduce the rate of interest on any Loan or L/C Obligation or to reduce any fee payable hereunder;</w:t>
      </w:r>
    </w:p>
    <w:p>
      <w:pPr>
        <w:spacing w:after="0" w:line="140" w:lineRule="exact"/>
        <w:rPr>
          <w:rFonts w:ascii="Times New Roman" w:cs="Times New Roman" w:eastAsia="Times New Roman" w:hAnsi="Times New Roman"/>
          <w:sz w:val="17"/>
          <w:szCs w:val="17"/>
          <w:color w:val="auto"/>
        </w:rPr>
      </w:pPr>
    </w:p>
    <w:p>
      <w:pPr>
        <w:jc w:val="both"/>
        <w:ind w:firstLine="509"/>
        <w:spacing w:after="0" w:line="258" w:lineRule="auto"/>
        <w:tabs>
          <w:tab w:leader="none" w:pos="876"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 xml:space="preserve"> (or amend any other term of the Loan Documents that would have the effect of changing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 xml:space="preserve">) in a manner that would alter the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sharing of payments or order of application required thereby without the written consent of each Lender directly and adversely affected thereby;</w:t>
      </w:r>
    </w:p>
    <w:p>
      <w:pPr>
        <w:spacing w:after="0" w:line="147" w:lineRule="exact"/>
        <w:rPr>
          <w:rFonts w:ascii="Times New Roman" w:cs="Times New Roman" w:eastAsia="Times New Roman" w:hAnsi="Times New Roman"/>
          <w:sz w:val="17"/>
          <w:szCs w:val="17"/>
          <w:color w:val="auto"/>
        </w:rPr>
      </w:pPr>
    </w:p>
    <w:p>
      <w:pPr>
        <w:jc w:val="both"/>
        <w:ind w:firstLine="509"/>
        <w:spacing w:after="0" w:line="258" w:lineRule="auto"/>
        <w:tabs>
          <w:tab w:leader="none" w:pos="862"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provision of this Section or reduce the percentages specified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36" w:lineRule="exact"/>
        <w:rPr>
          <w:rFonts w:ascii="Times New Roman" w:cs="Times New Roman" w:eastAsia="Times New Roman" w:hAnsi="Times New Roman"/>
          <w:sz w:val="17"/>
          <w:szCs w:val="17"/>
          <w:color w:val="auto"/>
        </w:rPr>
      </w:pPr>
    </w:p>
    <w:p>
      <w:pPr>
        <w:ind w:firstLine="509"/>
        <w:spacing w:after="0" w:line="272" w:lineRule="auto"/>
        <w:tabs>
          <w:tab w:leader="none" w:pos="911"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consent to the assignment or transfer by any Credit Party of such Credit Party’s rights and obligations under any Loan Document to which it is a party (except as permitted pursuant to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in each case, without the written consent of each Lender;</w:t>
      </w:r>
    </w:p>
    <w:p>
      <w:pPr>
        <w:spacing w:after="0" w:line="135" w:lineRule="exact"/>
        <w:rPr>
          <w:rFonts w:ascii="Times New Roman" w:cs="Times New Roman" w:eastAsia="Times New Roman" w:hAnsi="Times New Roman"/>
          <w:sz w:val="17"/>
          <w:szCs w:val="17"/>
          <w:color w:val="auto"/>
        </w:rPr>
      </w:pPr>
    </w:p>
    <w:p>
      <w:pPr>
        <w:ind w:firstLine="509"/>
        <w:spacing w:after="0" w:line="272" w:lineRule="auto"/>
        <w:tabs>
          <w:tab w:leader="none" w:pos="870"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(i) all of the Guarantors or (ii) Guarantors comprising all or substantially all of the credit support for the Secured Obligations, in any case, from the Guaranty Agreement, without the written consent of each Lender; or</w:t>
      </w:r>
    </w:p>
    <w:p>
      <w:pPr>
        <w:spacing w:after="0" w:line="124" w:lineRule="exact"/>
        <w:rPr>
          <w:rFonts w:ascii="Times New Roman" w:cs="Times New Roman" w:eastAsia="Times New Roman" w:hAnsi="Times New Roman"/>
          <w:sz w:val="17"/>
          <w:szCs w:val="17"/>
          <w:color w:val="auto"/>
        </w:rPr>
      </w:pPr>
    </w:p>
    <w:p>
      <w:pPr>
        <w:ind w:firstLine="509"/>
        <w:spacing w:after="0" w:line="272" w:lineRule="auto"/>
        <w:tabs>
          <w:tab w:leader="none" w:pos="844"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or subordinate all or substantially all of the Collateral or release or subordinate any Security Document (or any Lien created thereby) which would have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1280"/>
          </w:cols>
          <w:pgMar w:left="300" w:top="1191" w:right="31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7"/>
          <w:szCs w:val="17"/>
          <w:color w:val="auto"/>
        </w:rPr>
        <w:t>releasing or subordinating all or substantially all of the Collateral without the written consent of each Lender;</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 no amendment, waiver or consent shall, unless in writing and signed by each affected Issuing Lender in addition to the Lenders required above, affect the rights or duties of such Issuing Lender under this Agreement (including </w:t>
      </w:r>
      <w:r>
        <w:rPr>
          <w:rFonts w:ascii="Times New Roman" w:cs="Times New Roman" w:eastAsia="Times New Roman" w:hAnsi="Times New Roman"/>
          <w:sz w:val="17"/>
          <w:szCs w:val="17"/>
          <w:u w:val="single" w:color="auto"/>
          <w:color w:val="auto"/>
        </w:rPr>
        <w:t>Section 11.9(c)</w:t>
      </w:r>
      <w:r>
        <w:rPr>
          <w:rFonts w:ascii="Times New Roman" w:cs="Times New Roman" w:eastAsia="Times New Roman" w:hAnsi="Times New Roman"/>
          <w:sz w:val="17"/>
          <w:szCs w:val="17"/>
          <w:color w:val="auto"/>
        </w:rPr>
        <w:t xml:space="preserve">) or any Letter of Credit Documents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or modify </w:t>
      </w:r>
      <w:r>
        <w:rPr>
          <w:rFonts w:ascii="Times New Roman" w:cs="Times New Roman" w:eastAsia="Times New Roman" w:hAnsi="Times New Roman"/>
          <w:sz w:val="17"/>
          <w:szCs w:val="17"/>
          <w:u w:val="single" w:color="auto"/>
          <w:color w:val="auto"/>
        </w:rPr>
        <w:t>Section 12.1(e)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12.20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hereof; (iv) each Fee Letter may be amended, or rights or privileges thereunder waived, in a writing executed only by the parties thereto, (v) each Letter of Credit Document may be amended, or rights or privileges thereunder waived, in a writing executed only by the parties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copy of such amended Letter of Credit Document shall be promptly delivered to the Administrative Agent upon such amendment or waiver, (vi) the Administrative Agent and the Borrower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ambiguity, defect or inconsistency or omission of a technical or immaterial nature in any such provision and (vii) the Administrative Agent (and, if applicable, the Borrower)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Times New Roman" w:cs="Times New Roman" w:eastAsia="Times New Roman" w:hAnsi="Times New Roman"/>
          <w:sz w:val="17"/>
          <w:szCs w:val="17"/>
          <w:u w:val="single" w:color="auto"/>
          <w:color w:val="auto"/>
        </w:rPr>
        <w:t>Section 5.8(c)</w:t>
      </w:r>
      <w:r>
        <w:rPr>
          <w:rFonts w:ascii="Times New Roman" w:cs="Times New Roman" w:eastAsia="Times New Roman" w:hAnsi="Times New Roman"/>
          <w:sz w:val="17"/>
          <w:szCs w:val="17"/>
          <w:color w:val="auto"/>
        </w:rPr>
        <w:t xml:space="preserve"> in accordance with the terms of </w:t>
      </w:r>
      <w:r>
        <w:rPr>
          <w:rFonts w:ascii="Times New Roman" w:cs="Times New Roman" w:eastAsia="Times New Roman" w:hAnsi="Times New Roman"/>
          <w:sz w:val="17"/>
          <w:szCs w:val="17"/>
          <w:u w:val="single" w:color="auto"/>
          <w:color w:val="auto"/>
        </w:rPr>
        <w:t>Section 5.8(c)</w:t>
      </w:r>
      <w:r>
        <w:rPr>
          <w:rFonts w:ascii="Times New Roman" w:cs="Times New Roman" w:eastAsia="Times New Roman" w:hAnsi="Times New Roman"/>
          <w:sz w:val="17"/>
          <w:szCs w:val="17"/>
          <w:color w:val="auto"/>
        </w:rPr>
        <w:t>.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spacing w:after="0" w:line="163" w:lineRule="exact"/>
        <w:rPr>
          <w:sz w:val="20"/>
          <w:szCs w:val="20"/>
          <w:color w:val="auto"/>
        </w:rPr>
      </w:pPr>
    </w:p>
    <w:p>
      <w:pPr>
        <w:jc w:val="both"/>
        <w:ind w:firstLine="505"/>
        <w:spacing w:after="0" w:line="239" w:lineRule="auto"/>
        <w:rPr>
          <w:sz w:val="20"/>
          <w:szCs w:val="20"/>
          <w:color w:val="auto"/>
        </w:rPr>
      </w:pPr>
      <w:r>
        <w:rPr>
          <w:rFonts w:ascii="Times New Roman" w:cs="Times New Roman" w:eastAsia="Times New Roman" w:hAnsi="Times New Roman"/>
          <w:sz w:val="17"/>
          <w:szCs w:val="17"/>
          <w:color w:val="auto"/>
        </w:rPr>
        <w:t xml:space="preserve">Notwithstanding anything in this Agreement to the contrary, each Lender hereby irrevocably authorizes the Administrative Agent on its behalf, and without further consent of any Lender (but with the consent of the Borrower and the Administrative Agent), to (x) amend and restate this Agreement and the other Loan Documents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(y) enter into amendments or modifications to this Agreement (including amendments to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or any of the other Loan Documents or to enter into additional Loan Documents as the Administrative Agent reasonably deems appropriate in order to effectuate the terms of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(including as applicable, (1) to permit the Incremental Increases to share ratably in the benefits of this Agreement and the other Loan Documents, (2) to include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1280"/>
          </w:cols>
          <w:pgMar w:left="300" w:top="1180" w:right="319" w:bottom="1440" w:gutter="0" w:footer="0" w:header="0"/>
        </w:sectPr>
      </w:pPr>
    </w:p>
    <w:bookmarkStart w:id="536" w:name="page537"/>
    <w:bookmarkEnd w:id="536"/>
    <w:p>
      <w:pPr>
        <w:jc w:val="both"/>
        <w:spacing w:after="0" w:line="239" w:lineRule="auto"/>
        <w:rPr>
          <w:sz w:val="20"/>
          <w:szCs w:val="20"/>
          <w:color w:val="auto"/>
        </w:rPr>
      </w:pPr>
      <w:r>
        <w:rPr>
          <w:rFonts w:ascii="Times New Roman" w:cs="Times New Roman" w:eastAsia="Times New Roman" w:hAnsi="Times New Roman"/>
          <w:sz w:val="17"/>
          <w:szCs w:val="17"/>
          <w:color w:val="auto"/>
        </w:rPr>
        <w:t xml:space="preserve">Incremental Increase, as applicable, in any determination of (i) Required Lenders or (ii) similar required lender terms applicable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131"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12.3</w:t>
      </w:r>
      <w:r>
        <w:rPr>
          <w:sz w:val="20"/>
          <w:szCs w:val="20"/>
          <w:color w:val="auto"/>
        </w:rPr>
        <w:tab/>
      </w:r>
      <w:r>
        <w:rPr>
          <w:rFonts w:ascii="Times New Roman" w:cs="Times New Roman" w:eastAsia="Times New Roman" w:hAnsi="Times New Roman"/>
          <w:sz w:val="16"/>
          <w:szCs w:val="16"/>
          <w:u w:val="single" w:color="auto"/>
          <w:color w:val="auto"/>
        </w:rPr>
        <w:t>Expenses; Indemnity</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09"/>
        <w:spacing w:after="0" w:line="230" w:lineRule="auto"/>
        <w:tabs>
          <w:tab w:leader="none" w:pos="881"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Costs and Expenses</w:t>
      </w:r>
      <w:r>
        <w:rPr>
          <w:rFonts w:ascii="Times New Roman" w:cs="Times New Roman" w:eastAsia="Times New Roman" w:hAnsi="Times New Roman"/>
          <w:sz w:val="17"/>
          <w:szCs w:val="17"/>
          <w:color w:val="auto"/>
        </w:rPr>
        <w:t>. The Borrower and each other Credit Party, jointly and severally, shall pay (i) all reasonable and documented out of pocket expenses incurred by the Administrative Agent and its Affiliates (including the reasonable fees, charges and disbursements of counsel for the Administrative Agent),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out of pocket expenses incurred by the Administrative Agent, any Lender or any Issuing Lender (including the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45" w:lineRule="exact"/>
        <w:rPr>
          <w:rFonts w:ascii="Times New Roman" w:cs="Times New Roman" w:eastAsia="Times New Roman" w:hAnsi="Times New Roman"/>
          <w:sz w:val="17"/>
          <w:szCs w:val="17"/>
          <w:color w:val="auto"/>
        </w:rPr>
      </w:pPr>
    </w:p>
    <w:p>
      <w:pPr>
        <w:jc w:val="both"/>
        <w:ind w:firstLine="509"/>
        <w:spacing w:after="0" w:line="230" w:lineRule="auto"/>
        <w:tabs>
          <w:tab w:leader="none" w:pos="869"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Credit Parties</w:t>
      </w:r>
      <w:r>
        <w:rPr>
          <w:rFonts w:ascii="Times New Roman" w:cs="Times New Roman" w:eastAsia="Times New Roman" w:hAnsi="Times New Roman"/>
          <w:sz w:val="17"/>
          <w:szCs w:val="17"/>
          <w:color w:val="auto"/>
        </w:rPr>
        <w:t>. Each Credit Party shall indemnify the Administrative Agent (and any sub-agent thereof), the Arranger, each Lender and each Issuing Lender,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against, and hold each Indemnitee harmless from, and shall pay or reimburse any such Indemnitee for, any and all losses, claims (including any Environmental Claims), penalties, damages, liabilities and related expenses (including the fees, charges and disbursements of any counsel for any Indemnitee, which shall be limited to one firm of counsel on behalf of all Indemnitees and, if reasonably necessary, a single local counsel for all Indemnitees (taken as a whole) in each relevant jurisdiction and with respect to each relevant specialty, and in the case of an actual or perceived conflict of interest, one additional firm of counsel in each relevant jurisdiction and with respect to each relevant specialty to the affected Indemnitees similarly situated and taken as a whole), incurred by any Indemnitee or asserted against any Indemnitee by any Person (including the Borrower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1280"/>
          </w:cols>
          <w:pgMar w:left="300" w:top="1181" w:right="319" w:bottom="1440" w:gutter="0" w:footer="0" w:header="0"/>
        </w:sectPr>
      </w:pPr>
    </w:p>
    <w:bookmarkStart w:id="537" w:name="page538"/>
    <w:bookmarkEnd w:id="537"/>
    <w:p>
      <w:pPr>
        <w:jc w:val="both"/>
        <w:spacing w:after="0" w:line="239" w:lineRule="auto"/>
        <w:rPr>
          <w:sz w:val="20"/>
          <w:szCs w:val="20"/>
          <w:color w:val="auto"/>
        </w:rPr>
      </w:pPr>
      <w:r>
        <w:rPr>
          <w:rFonts w:ascii="Times New Roman" w:cs="Times New Roman" w:eastAsia="Times New Roman" w:hAnsi="Times New Roman"/>
          <w:sz w:val="17"/>
          <w:szCs w:val="17"/>
          <w:color w:val="auto"/>
        </w:rPr>
        <w:t xml:space="preserve">or proceeding relating to any of the foregoing, whether based on contract, tort or any other theory, whether brought by a third party or by any Credit Party or any Subsidiary thereof, and regardless of whether any Indemnitee is a party thereto, or (v) any claim (including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reasonable attorneys and consultant’s fees,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gross negligence or willful misconduct of such Indemnitee. This </w:t>
      </w:r>
      <w:r>
        <w:rPr>
          <w:rFonts w:ascii="Times New Roman" w:cs="Times New Roman" w:eastAsia="Times New Roman" w:hAnsi="Times New Roman"/>
          <w:sz w:val="17"/>
          <w:szCs w:val="17"/>
          <w:u w:val="single" w:color="auto"/>
          <w:color w:val="auto"/>
        </w:rPr>
        <w:t>Section 12.3(b)</w:t>
      </w:r>
      <w:r>
        <w:rPr>
          <w:rFonts w:ascii="Times New Roman" w:cs="Times New Roman" w:eastAsia="Times New Roman" w:hAnsi="Times New Roman"/>
          <w:sz w:val="17"/>
          <w:szCs w:val="17"/>
          <w:color w:val="auto"/>
        </w:rPr>
        <w:t xml:space="preserve"> shall not apply with respect to Taxes other than any Taxes that represent losses, claims, damages, etc. arising from any non-Tax claim.</w:t>
      </w:r>
    </w:p>
    <w:p>
      <w:pPr>
        <w:spacing w:after="0" w:line="156" w:lineRule="exact"/>
        <w:rPr>
          <w:sz w:val="20"/>
          <w:szCs w:val="20"/>
          <w:color w:val="auto"/>
        </w:rPr>
      </w:pPr>
    </w:p>
    <w:p>
      <w:pPr>
        <w:jc w:val="both"/>
        <w:ind w:firstLine="509"/>
        <w:spacing w:after="0" w:line="239" w:lineRule="auto"/>
        <w:tabs>
          <w:tab w:leader="none" w:pos="891" w:val="left"/>
        </w:tabs>
        <w:numPr>
          <w:ilvl w:val="0"/>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 by Lenders</w:t>
      </w:r>
      <w:r>
        <w:rPr>
          <w:rFonts w:ascii="Times New Roman" w:cs="Times New Roman" w:eastAsia="Times New Roman" w:hAnsi="Times New Roman"/>
          <w:sz w:val="17"/>
          <w:szCs w:val="17"/>
          <w:color w:val="auto"/>
        </w:rPr>
        <w:t xml:space="preserve">. To the extent that the Borrower for any reason fails to indefeasibly pay any amount required under clause (a) or (b) of this Section to be paid by it to the Administrative Agent (or any sub-agent thereof), the Arranger, any Issuing Lender, the Swingline Lender or any Related Party of any of the foregoing, each Lender severally agrees to pay to the Administrative Agent (or any such sub-agent), the Arranger, such Issuing Lender, the Swingline Lender or such Related Party, as the case may be, such Lender’s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unreimbursed expense or indemnified loss, claim, damage, liability or related expense, as the case may be, was incurred by or asserted against the Administrative Agent (or any such sub-agent), the Arranger, such Issuing Lender or the Swingline Lender in its capacity as such, or against any Related Party of any of the foregoing acting for the Administrative Agent (or any such sub-agent), the Arranger, such Issuing Lender or the Swingline Lender in connection with such capacity. The obligations of the Lenders under this clause (c) are subject to the provisions of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509"/>
        <w:spacing w:after="0" w:line="245" w:lineRule="auto"/>
        <w:tabs>
          <w:tab w:leader="none" w:pos="880" w:val="left"/>
        </w:tabs>
        <w:numPr>
          <w:ilvl w:val="0"/>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Transmission, Etc.</w:t>
      </w:r>
      <w:r>
        <w:rPr>
          <w:rFonts w:ascii="Times New Roman" w:cs="Times New Roman" w:eastAsia="Times New Roman" w:hAnsi="Times New Roman"/>
          <w:sz w:val="17"/>
          <w:szCs w:val="17"/>
          <w:color w:val="auto"/>
        </w:rPr>
        <w:t xml:space="preserve"> No Indemnitee referred to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such damages arising from the gross negligence or willful misconduct of such Indemnitee as determined by a court of competent jurisdiction by final and non-appealable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1280"/>
          </w:cols>
          <w:pgMar w:left="300" w:top="1181" w:right="319" w:bottom="1440" w:gutter="0" w:footer="0" w:header="0"/>
        </w:sectPr>
      </w:pPr>
    </w:p>
    <w:bookmarkStart w:id="538" w:name="page539"/>
    <w:bookmarkEnd w:id="538"/>
    <w:p>
      <w:pPr>
        <w:ind w:left="860" w:hanging="351"/>
        <w:spacing w:after="0"/>
        <w:tabs>
          <w:tab w:leader="none" w:pos="860" w:val="left"/>
        </w:tabs>
        <w:numPr>
          <w:ilvl w:val="0"/>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All amounts due under this Section shall be payable promptly after demand therefor.</w:t>
      </w:r>
    </w:p>
    <w:p>
      <w:pPr>
        <w:spacing w:after="0" w:line="161"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Each party’s obligations under this Section shall survive the termination of the Loan Documents and payment of the obligations hereunder.</w:t>
      </w:r>
    </w:p>
    <w:p>
      <w:pPr>
        <w:spacing w:after="0" w:line="162"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6"/>
          <w:szCs w:val="16"/>
          <w:color w:val="auto"/>
        </w:rPr>
        <w:t xml:space="preserve">Section 12.4 </w:t>
      </w:r>
      <w:r>
        <w:rPr>
          <w:rFonts w:ascii="Times New Roman" w:cs="Times New Roman" w:eastAsia="Times New Roman" w:hAnsi="Times New Roman"/>
          <w:sz w:val="16"/>
          <w:szCs w:val="16"/>
          <w:u w:val="single" w:color="auto"/>
          <w:color w:val="auto"/>
        </w:rPr>
        <w:t>Right of Setoff</w:t>
      </w:r>
      <w:r>
        <w:rPr>
          <w:rFonts w:ascii="Times New Roman" w:cs="Times New Roman" w:eastAsia="Times New Roman" w:hAnsi="Times New Roman"/>
          <w:sz w:val="16"/>
          <w:szCs w:val="16"/>
          <w:color w:val="auto"/>
        </w:rPr>
        <w:t xml:space="preserve">. If an Event of Default shall have occurred and be continuing, each Lender, each Issuing Lender, the Swingline Lender and each of 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the Borrower or any other Credit Party against any and all of the obligations of the Borrower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that any Defaulting Lender or any Affiliate thereof shall exercise any such right of setoff, (x) all amounts so setoff shall be paid over immediately to the Administrative Agent for further application in accordance with the provisions of </w:t>
      </w:r>
      <w:r>
        <w:rPr>
          <w:rFonts w:ascii="Times New Roman" w:cs="Times New Roman" w:eastAsia="Times New Roman" w:hAnsi="Times New Roman"/>
          <w:sz w:val="16"/>
          <w:szCs w:val="16"/>
          <w:u w:val="single" w:color="auto"/>
          <w:color w:val="auto"/>
        </w:rPr>
        <w:t>Section 5.15</w:t>
      </w:r>
      <w:r>
        <w:rPr>
          <w:rFonts w:ascii="Times New Roman" w:cs="Times New Roman" w:eastAsia="Times New Roman" w:hAnsi="Times New Roman"/>
          <w:sz w:val="16"/>
          <w:szCs w:val="16"/>
          <w:color w:val="auto"/>
        </w:rPr>
        <w:t xml:space="preserve"> and, pending such payment, shall be segregated by such Defaulting Lender or Affiliate of a Defaulting Lender from its other funds and deemed held in trust for the benefit of the Administrative Agent, the Issuing Lenders, the Swingline Lender and the Lenders, and (y) the Defaulting Lender or its Affiliate shall provide promptly to the Administrative Agent a statement describing in reasonable detail the Secured Obligations owing to such Defaulting Lender or any of its Affiliates as to which such right of setoff was exercised.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Borrower and the Administrative Agent promptly after any such setoff and application;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give such notice shall not affect the validity of such setoff and application.</w:t>
      </w:r>
    </w:p>
    <w:p>
      <w:pPr>
        <w:spacing w:after="0" w:line="331"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12.5</w:t>
      </w:r>
      <w:r>
        <w:rPr>
          <w:sz w:val="20"/>
          <w:szCs w:val="20"/>
          <w:color w:val="auto"/>
        </w:rPr>
        <w:tab/>
      </w:r>
      <w:r>
        <w:rPr>
          <w:rFonts w:ascii="Times New Roman" w:cs="Times New Roman" w:eastAsia="Times New Roman" w:hAnsi="Times New Roman"/>
          <w:sz w:val="16"/>
          <w:szCs w:val="16"/>
          <w:u w:val="single" w:color="auto"/>
          <w:color w:val="auto"/>
        </w:rPr>
        <w:t>Governing Law; Jurisdiction; Waiver of Consequential Damages; Etc.</w:t>
      </w:r>
    </w:p>
    <w:p>
      <w:pPr>
        <w:spacing w:after="0" w:line="162" w:lineRule="exact"/>
        <w:rPr>
          <w:sz w:val="20"/>
          <w:szCs w:val="20"/>
          <w:color w:val="auto"/>
        </w:rPr>
      </w:pPr>
    </w:p>
    <w:p>
      <w:pPr>
        <w:jc w:val="both"/>
        <w:ind w:firstLine="509"/>
        <w:spacing w:after="0" w:line="252" w:lineRule="auto"/>
        <w:tabs>
          <w:tab w:leader="none" w:pos="912"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41" w:lineRule="exact"/>
        <w:rPr>
          <w:rFonts w:ascii="Times New Roman" w:cs="Times New Roman" w:eastAsia="Times New Roman" w:hAnsi="Times New Roman"/>
          <w:sz w:val="17"/>
          <w:szCs w:val="17"/>
          <w:color w:val="auto"/>
        </w:rPr>
      </w:pPr>
    </w:p>
    <w:p>
      <w:pPr>
        <w:ind w:firstLine="509"/>
        <w:spacing w:after="0" w:line="259" w:lineRule="auto"/>
        <w:tabs>
          <w:tab w:leader="none" w:pos="869"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Credit Party irrevocably and unconditionally agrees that it will not commence any action, litigation or proceeding of any kind or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1280"/>
          </w:cols>
          <w:pgMar w:left="300" w:top="1181" w:right="319" w:bottom="1440" w:gutter="0" w:footer="0" w:header="0"/>
        </w:sectPr>
      </w:pPr>
    </w:p>
    <w:bookmarkStart w:id="539" w:name="page540"/>
    <w:bookmarkEnd w:id="539"/>
    <w:p>
      <w:pPr>
        <w:jc w:val="both"/>
        <w:spacing w:after="0"/>
        <w:rPr>
          <w:sz w:val="20"/>
          <w:szCs w:val="20"/>
          <w:color w:val="auto"/>
        </w:rPr>
      </w:pPr>
      <w:r>
        <w:rPr>
          <w:rFonts w:ascii="Times New Roman" w:cs="Times New Roman" w:eastAsia="Times New Roman" w:hAnsi="Times New Roman"/>
          <w:sz w:val="17"/>
          <w:szCs w:val="17"/>
          <w:color w:val="auto"/>
        </w:rPr>
        <w:t>whether in law or equity, whether in contract or in tort or otherwise, against the Administrative Agent, the Arranger,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the Borrower or any other Credit Party or its properties in the courts of any jurisdiction.</w:t>
      </w:r>
    </w:p>
    <w:p>
      <w:pPr>
        <w:spacing w:after="0" w:line="143" w:lineRule="exact"/>
        <w:rPr>
          <w:sz w:val="20"/>
          <w:szCs w:val="20"/>
          <w:color w:val="auto"/>
        </w:rPr>
      </w:pPr>
    </w:p>
    <w:p>
      <w:pPr>
        <w:jc w:val="both"/>
        <w:ind w:firstLine="509"/>
        <w:spacing w:after="0" w:line="245" w:lineRule="auto"/>
        <w:tabs>
          <w:tab w:leader="none" w:pos="891"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Venue</w:t>
      </w:r>
      <w:r>
        <w:rPr>
          <w:rFonts w:ascii="Times New Roman" w:cs="Times New Roman" w:eastAsia="Times New Roman" w:hAnsi="Times New Roman"/>
          <w:sz w:val="17"/>
          <w:szCs w:val="17"/>
          <w:color w:val="auto"/>
        </w:rPr>
        <w:t>. The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47" w:lineRule="exact"/>
        <w:rPr>
          <w:rFonts w:ascii="Times New Roman" w:cs="Times New Roman" w:eastAsia="Times New Roman" w:hAnsi="Times New Roman"/>
          <w:sz w:val="17"/>
          <w:szCs w:val="17"/>
          <w:color w:val="auto"/>
        </w:rPr>
      </w:pPr>
    </w:p>
    <w:p>
      <w:pPr>
        <w:ind w:firstLine="509"/>
        <w:spacing w:after="0" w:line="259" w:lineRule="auto"/>
        <w:tabs>
          <w:tab w:leader="none" w:pos="943"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of Process</w:t>
      </w:r>
      <w:r>
        <w:rPr>
          <w:rFonts w:ascii="Times New Roman" w:cs="Times New Roman" w:eastAsia="Times New Roman" w:hAnsi="Times New Roman"/>
          <w:sz w:val="17"/>
          <w:szCs w:val="17"/>
          <w:color w:val="auto"/>
        </w:rPr>
        <w:t xml:space="preserve">. Each party hereto irrevocably consents to service of process in the manner provided for notices in </w:t>
      </w:r>
      <w:r>
        <w:rPr>
          <w:rFonts w:ascii="Times New Roman" w:cs="Times New Roman" w:eastAsia="Times New Roman" w:hAnsi="Times New Roman"/>
          <w:sz w:val="17"/>
          <w:szCs w:val="17"/>
          <w:u w:val="single" w:color="auto"/>
          <w:color w:val="auto"/>
        </w:rPr>
        <w:t>Section 12.1</w:t>
      </w:r>
      <w:r>
        <w:rPr>
          <w:rFonts w:ascii="Times New Roman" w:cs="Times New Roman" w:eastAsia="Times New Roman" w:hAnsi="Times New Roman"/>
          <w:sz w:val="17"/>
          <w:szCs w:val="17"/>
          <w:color w:val="auto"/>
        </w:rPr>
        <w:t>. Nothing in this Agreement will affect the right of any party hereto to serve process in any other manner permitted by Applicable Law.</w:t>
      </w:r>
    </w:p>
    <w:p>
      <w:pPr>
        <w:spacing w:after="0" w:line="135" w:lineRule="exact"/>
        <w:rPr>
          <w:rFonts w:ascii="Times New Roman" w:cs="Times New Roman" w:eastAsia="Times New Roman" w:hAnsi="Times New Roman"/>
          <w:sz w:val="17"/>
          <w:szCs w:val="17"/>
          <w:color w:val="auto"/>
        </w:rPr>
      </w:pPr>
    </w:p>
    <w:p>
      <w:pPr>
        <w:jc w:val="both"/>
        <w:ind w:firstLine="509"/>
        <w:spacing w:after="0" w:line="239" w:lineRule="auto"/>
        <w:tabs>
          <w:tab w:leader="none" w:pos="891"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Consequential Damages, Etc.</w:t>
      </w:r>
      <w:r>
        <w:rPr>
          <w:rFonts w:ascii="Times New Roman" w:cs="Times New Roman" w:eastAsia="Times New Roman" w:hAnsi="Times New Roman"/>
          <w:sz w:val="17"/>
          <w:szCs w:val="17"/>
          <w:color w:val="auto"/>
        </w:rPr>
        <w:t xml:space="preserve"> Without limiting the generality of the other provisions of this Agreement, including, without limitation,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12.3</w:t>
      </w:r>
      <w:r>
        <w:rPr>
          <w:rFonts w:ascii="Times New Roman" w:cs="Times New Roman" w:eastAsia="Times New Roman" w:hAnsi="Times New Roman"/>
          <w:sz w:val="17"/>
          <w:szCs w:val="17"/>
          <w:color w:val="auto"/>
        </w:rPr>
        <w:t>, the Borrower agrees, on behalf of itself and the other Credit Parties and each of their respective Subsidiaries and Affiliates, that none of the Administrative Agent (and any sub-agent thereof), the Arranger, each Lender, each Issuing Lender, nor any Related Party of any of the foregoing Persons (such persons, collectively, the “</w:t>
      </w:r>
      <w:r>
        <w:rPr>
          <w:rFonts w:ascii="Times New Roman" w:cs="Times New Roman" w:eastAsia="Times New Roman" w:hAnsi="Times New Roman"/>
          <w:sz w:val="17"/>
          <w:szCs w:val="17"/>
          <w:u w:val="single" w:color="auto"/>
          <w:color w:val="auto"/>
        </w:rPr>
        <w:t>Lender Related Parties</w:t>
      </w:r>
      <w:r>
        <w:rPr>
          <w:rFonts w:ascii="Times New Roman" w:cs="Times New Roman" w:eastAsia="Times New Roman" w:hAnsi="Times New Roman"/>
          <w:sz w:val="17"/>
          <w:szCs w:val="17"/>
          <w:color w:val="auto"/>
        </w:rPr>
        <w:t xml:space="preserve">”) shall have any liability (whether direct or indirect, in contract or tort, or otherwise) to any Credit Party or its Subsidiaries or Affiliates or to their respective equity holders or creditors arising out of, related to or in connection with any aspect of the transactions contemplated hereby or under any of the other Loan Documents, except to the extent such liability is determined in a final, non-appealable judgment by a court of competent jurisdiction to have resulted from such Lender Related Party’s own gross negligence or willful misconduct. To the fullest extent permitted by Applicable Law, each party hereto shall not assert, and hereby waives, any claim against any other party hereto, on any theory of liability, for special, indirect, consequential or punitive damages (as opposed to direct or actual damages and other than as part of third party claims entitled to indemnification under </w:t>
      </w:r>
      <w:r>
        <w:rPr>
          <w:rFonts w:ascii="Times New Roman" w:cs="Times New Roman" w:eastAsia="Times New Roman" w:hAnsi="Times New Roman"/>
          <w:sz w:val="17"/>
          <w:szCs w:val="17"/>
          <w:u w:val="single" w:color="auto"/>
          <w:color w:val="auto"/>
        </w:rPr>
        <w:t>Section 12.3(b)</w:t>
      </w:r>
      <w:r>
        <w:rPr>
          <w:rFonts w:ascii="Times New Roman" w:cs="Times New Roman" w:eastAsia="Times New Roman" w:hAnsi="Times New Roman"/>
          <w:sz w:val="17"/>
          <w:szCs w:val="17"/>
          <w:color w:val="auto"/>
        </w:rPr>
        <w:t>) arising out of, in connection with, or as a result of, this Agreement, any other Loan Document or any agreement or instrument contemplated hereby, the transactions contemplated hereby or thereby, any Loan or Letter of Credit or the use of proceeds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1280"/>
          </w:cols>
          <w:pgMar w:left="300" w:top="1181" w:right="319" w:bottom="1440" w:gutter="0" w:footer="0" w:header="0"/>
        </w:sectPr>
      </w:pPr>
    </w:p>
    <w:bookmarkStart w:id="540" w:name="page541"/>
    <w:bookmarkEnd w:id="540"/>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12.6</w:t>
      </w:r>
      <w:r>
        <w:rPr>
          <w:sz w:val="20"/>
          <w:szCs w:val="20"/>
          <w:color w:val="auto"/>
        </w:rPr>
        <w:tab/>
      </w:r>
      <w:r>
        <w:rPr>
          <w:rFonts w:ascii="Times New Roman" w:cs="Times New Roman" w:eastAsia="Times New Roman" w:hAnsi="Times New Roman"/>
          <w:sz w:val="16"/>
          <w:szCs w:val="16"/>
          <w:u w:val="single" w:color="auto"/>
          <w:color w:val="auto"/>
        </w:rPr>
        <w:t>Waiver of Jury Trial.</w:t>
      </w:r>
    </w:p>
    <w:p>
      <w:pPr>
        <w:spacing w:after="0" w:line="162" w:lineRule="exact"/>
        <w:rPr>
          <w:sz w:val="20"/>
          <w:szCs w:val="20"/>
          <w:color w:val="auto"/>
        </w:rPr>
      </w:pPr>
    </w:p>
    <w:p>
      <w:pPr>
        <w:jc w:val="both"/>
        <w:ind w:firstLine="509"/>
        <w:spacing w:after="0" w:line="241" w:lineRule="auto"/>
        <w:tabs>
          <w:tab w:leader="none" w:pos="864" w:val="left"/>
        </w:tabs>
        <w:numPr>
          <w:ilvl w:val="0"/>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43"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 xml:space="preserve">Section 12.7 </w:t>
      </w:r>
      <w:r>
        <w:rPr>
          <w:rFonts w:ascii="Times New Roman" w:cs="Times New Roman" w:eastAsia="Times New Roman" w:hAnsi="Times New Roman"/>
          <w:sz w:val="17"/>
          <w:szCs w:val="17"/>
          <w:u w:val="single" w:color="auto"/>
          <w:color w:val="auto"/>
        </w:rPr>
        <w:t>Reversal of Payments</w:t>
      </w:r>
      <w:r>
        <w:rPr>
          <w:rFonts w:ascii="Times New Roman" w:cs="Times New Roman" w:eastAsia="Times New Roman" w:hAnsi="Times New Roman"/>
          <w:sz w:val="17"/>
          <w:szCs w:val="17"/>
          <w:color w:val="auto"/>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(or its applicable Affiliate’s) applicable ratable share (without duplication) of any amount so recovered from or repaid by the Administrative Agent plus interest thereon at a per annum rate equal to the Overnight Rate from time to time in effect.</w:t>
      </w:r>
    </w:p>
    <w:p>
      <w:pPr>
        <w:spacing w:after="0" w:line="143"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 xml:space="preserve">Section 12.8 </w:t>
      </w:r>
      <w:r>
        <w:rPr>
          <w:rFonts w:ascii="Times New Roman" w:cs="Times New Roman" w:eastAsia="Times New Roman" w:hAnsi="Times New Roman"/>
          <w:sz w:val="17"/>
          <w:szCs w:val="17"/>
          <w:u w:val="single" w:color="auto"/>
          <w:color w:val="auto"/>
        </w:rPr>
        <w:t>Injunctive Relief</w:t>
      </w:r>
      <w:r>
        <w:rPr>
          <w:rFonts w:ascii="Times New Roman" w:cs="Times New Roman" w:eastAsia="Times New Roman" w:hAnsi="Times New Roman"/>
          <w:sz w:val="17"/>
          <w:szCs w:val="17"/>
          <w:color w:val="auto"/>
        </w:rPr>
        <w:t>. The Borrower recognizes that, in the event the Borrower fails to perform, observe or discharge any of its obligations or liabilities under this Agreement, any remedy of law may prove to be inadequate relief to the Lenders. Therefore, the Borrower agrees that the Lenders, at the Lenders’ option, shall be entitled to temporary and permanent injunctive relief in any such case without the necessity of proving actual damages.</w:t>
      </w:r>
    </w:p>
    <w:p>
      <w:pPr>
        <w:spacing w:after="0" w:line="131"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color w:val="auto"/>
        </w:rPr>
        <w:t>Section 12.9</w:t>
      </w:r>
      <w:r>
        <w:rPr>
          <w:sz w:val="20"/>
          <w:szCs w:val="20"/>
          <w:color w:val="auto"/>
        </w:rPr>
        <w:tab/>
      </w:r>
      <w:r>
        <w:rPr>
          <w:rFonts w:ascii="Times New Roman" w:cs="Times New Roman" w:eastAsia="Times New Roman" w:hAnsi="Times New Roman"/>
          <w:sz w:val="16"/>
          <w:szCs w:val="16"/>
          <w:u w:val="single" w:color="auto"/>
          <w:color w:val="auto"/>
        </w:rPr>
        <w:t>Successors and Assigns; Participations.</w:t>
      </w:r>
    </w:p>
    <w:p>
      <w:pPr>
        <w:spacing w:after="0" w:line="172" w:lineRule="exact"/>
        <w:rPr>
          <w:sz w:val="20"/>
          <w:szCs w:val="20"/>
          <w:color w:val="auto"/>
        </w:rPr>
      </w:pPr>
    </w:p>
    <w:p>
      <w:pPr>
        <w:jc w:val="both"/>
        <w:ind w:firstLine="509"/>
        <w:spacing w:after="0" w:line="242" w:lineRule="auto"/>
        <w:tabs>
          <w:tab w:leader="none" w:pos="954"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 Generally</w:t>
      </w:r>
      <w:r>
        <w:rPr>
          <w:rFonts w:ascii="Times New Roman" w:cs="Times New Roman" w:eastAsia="Times New Roman" w:hAnsi="Times New Roman"/>
          <w:sz w:val="17"/>
          <w:szCs w:val="17"/>
          <w:color w:val="auto"/>
        </w:rPr>
        <w:t>. The provisions of this Agreement shall be binding upon and inure to the benefit of the parties hereto and their respective successors and assigns permitted hereby, except that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1280"/>
          </w:cols>
          <w:pgMar w:left="300" w:top="1180" w:right="319" w:bottom="1440" w:gutter="0" w:footer="0" w:header="0"/>
        </w:sectPr>
      </w:pPr>
    </w:p>
    <w:bookmarkStart w:id="541" w:name="page542"/>
    <w:bookmarkEnd w:id="541"/>
    <w:p>
      <w:pPr>
        <w:jc w:val="both"/>
        <w:spacing w:after="0" w:line="254" w:lineRule="auto"/>
        <w:rPr>
          <w:sz w:val="20"/>
          <w:szCs w:val="20"/>
          <w:color w:val="auto"/>
        </w:rPr>
      </w:pPr>
      <w:r>
        <w:rPr>
          <w:rFonts w:ascii="Times New Roman" w:cs="Times New Roman" w:eastAsia="Times New Roman" w:hAnsi="Times New Roman"/>
          <w:sz w:val="17"/>
          <w:szCs w:val="17"/>
          <w:color w:val="auto"/>
        </w:rPr>
        <w:t>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Arranger, the Related Parties of each of the Administrative Agent, the Arranger and the Lenders) any legal or equitable right, remedy or claim under or by reason of this Agreement.</w:t>
      </w:r>
    </w:p>
    <w:p>
      <w:pPr>
        <w:spacing w:after="0" w:line="140" w:lineRule="exact"/>
        <w:rPr>
          <w:sz w:val="20"/>
          <w:szCs w:val="20"/>
          <w:color w:val="auto"/>
        </w:rPr>
      </w:pPr>
    </w:p>
    <w:p>
      <w:pPr>
        <w:jc w:val="both"/>
        <w:ind w:firstLine="509"/>
        <w:spacing w:after="0" w:line="265" w:lineRule="auto"/>
        <w:tabs>
          <w:tab w:leader="none" w:pos="953" w:val="left"/>
        </w:tabs>
        <w:numPr>
          <w:ilvl w:val="0"/>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Assignments by Lenders</w:t>
      </w:r>
      <w:r>
        <w:rPr>
          <w:rFonts w:ascii="Times New Roman" w:cs="Times New Roman" w:eastAsia="Times New Roman" w:hAnsi="Times New Roman"/>
          <w:sz w:val="17"/>
          <w:szCs w:val="17"/>
          <w:color w:val="auto"/>
        </w:rPr>
        <w:t xml:space="preserve">. Any Lender may at any time assign to one (1) or more assignees all or a portion of its rights and obligations under this Agreement (including all or a portion of its Revolving Credit Commitment and the Loans at the time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each case with respect to any Credit Facility, any such assignment shall be subject to the following conditions:</w:t>
      </w:r>
    </w:p>
    <w:p>
      <w:pPr>
        <w:spacing w:after="0" w:line="130" w:lineRule="exact"/>
        <w:rPr>
          <w:rFonts w:ascii="Times New Roman" w:cs="Times New Roman" w:eastAsia="Times New Roman" w:hAnsi="Times New Roman"/>
          <w:sz w:val="17"/>
          <w:szCs w:val="17"/>
          <w:color w:val="auto"/>
        </w:rPr>
      </w:pPr>
    </w:p>
    <w:p>
      <w:pPr>
        <w:ind w:left="1340" w:hanging="327"/>
        <w:spacing w:after="0"/>
        <w:tabs>
          <w:tab w:leader="none" w:pos="1340" w:val="left"/>
        </w:tabs>
        <w:numPr>
          <w:ilvl w:val="1"/>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Amounts.</w:t>
      </w:r>
    </w:p>
    <w:p>
      <w:pPr>
        <w:spacing w:after="0" w:line="172" w:lineRule="exact"/>
        <w:rPr>
          <w:rFonts w:ascii="Times New Roman" w:cs="Times New Roman" w:eastAsia="Times New Roman" w:hAnsi="Times New Roman"/>
          <w:sz w:val="17"/>
          <w:szCs w:val="17"/>
          <w:color w:val="auto"/>
        </w:rPr>
      </w:pPr>
    </w:p>
    <w:p>
      <w:pPr>
        <w:jc w:val="both"/>
        <w:ind w:left="1020" w:firstLine="498"/>
        <w:spacing w:after="0" w:line="258" w:lineRule="auto"/>
        <w:tabs>
          <w:tab w:leader="none" w:pos="1942" w:val="left"/>
        </w:tabs>
        <w:numPr>
          <w:ilvl w:val="2"/>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assignment of the entire remaining amount of the assigning Lender’s Commitment and/or the Loans at the time owing to it (in each case with respect to any Credit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37" w:lineRule="exact"/>
        <w:rPr>
          <w:rFonts w:ascii="Times New Roman" w:cs="Times New Roman" w:eastAsia="Times New Roman" w:hAnsi="Times New Roman"/>
          <w:sz w:val="17"/>
          <w:szCs w:val="17"/>
          <w:color w:val="auto"/>
        </w:rPr>
      </w:pPr>
    </w:p>
    <w:p>
      <w:pPr>
        <w:jc w:val="both"/>
        <w:ind w:left="1020" w:firstLine="498"/>
        <w:spacing w:after="0" w:line="268" w:lineRule="auto"/>
        <w:tabs>
          <w:tab w:leader="none" w:pos="1924" w:val="left"/>
        </w:tabs>
        <w:numPr>
          <w:ilvl w:val="2"/>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unless each of the Administrative Agent and, so long as no Event of Default has occurred and is continuing, the Borrower otherwise consents (each such consent not to be unreasonably withheld or delayed);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Borrower shall be deemed to have given its consent ten (10) Business Days after the date written notice thereof has been delivered by the assigning Lender (through the Administrative Agent) unless such consent is expressly refused by the Borrower prior to such tenth (10th) Business Day;</w:t>
      </w:r>
    </w:p>
    <w:p>
      <w:pPr>
        <w:spacing w:after="0" w:line="132" w:lineRule="exact"/>
        <w:rPr>
          <w:rFonts w:ascii="Times New Roman" w:cs="Times New Roman" w:eastAsia="Times New Roman" w:hAnsi="Times New Roman"/>
          <w:sz w:val="16"/>
          <w:szCs w:val="16"/>
          <w:color w:val="auto"/>
        </w:rPr>
      </w:pPr>
    </w:p>
    <w:p>
      <w:pPr>
        <w:ind w:left="500" w:firstLine="513"/>
        <w:spacing w:after="0" w:line="285" w:lineRule="auto"/>
        <w:tabs>
          <w:tab w:leader="none" w:pos="1420" w:val="left"/>
        </w:tabs>
        <w:numPr>
          <w:ilvl w:val="1"/>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Proportionate Amounts</w:t>
      </w:r>
      <w:r>
        <w:rPr>
          <w:rFonts w:ascii="Times New Roman" w:cs="Times New Roman" w:eastAsia="Times New Roman" w:hAnsi="Times New Roman"/>
          <w:sz w:val="17"/>
          <w:szCs w:val="17"/>
          <w:color w:val="auto"/>
        </w:rPr>
        <w:t>. Each partial assignment shall be made as an assignment of a proportionate part of all the assigning Lender’s rights and obligations under this Agreement with respect to the Loan or the Commitment assigned</w:t>
      </w:r>
      <w:r>
        <w:rPr>
          <w:rFonts w:ascii="Times New Roman" w:cs="Times New Roman" w:eastAsia="Times New Roman" w:hAnsi="Times New Roman"/>
          <w:sz w:val="17"/>
          <w:szCs w:val="17"/>
          <w:b w:val="1"/>
          <w:bCs w:val="1"/>
          <w:color w:val="auto"/>
        </w:rPr>
        <w:t>;</w:t>
      </w:r>
    </w:p>
    <w:p>
      <w:pPr>
        <w:spacing w:after="0" w:line="113" w:lineRule="exact"/>
        <w:rPr>
          <w:rFonts w:ascii="Times New Roman" w:cs="Times New Roman" w:eastAsia="Times New Roman" w:hAnsi="Times New Roman"/>
          <w:sz w:val="17"/>
          <w:szCs w:val="17"/>
          <w:color w:val="auto"/>
        </w:rPr>
      </w:pPr>
    </w:p>
    <w:p>
      <w:pPr>
        <w:ind w:left="1460" w:hanging="447"/>
        <w:spacing w:after="0"/>
        <w:tabs>
          <w:tab w:leader="none" w:pos="1460" w:val="left"/>
        </w:tabs>
        <w:numPr>
          <w:ilvl w:val="1"/>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Consents</w:t>
      </w:r>
      <w:r>
        <w:rPr>
          <w:rFonts w:ascii="Times New Roman" w:cs="Times New Roman" w:eastAsia="Times New Roman" w:hAnsi="Times New Roman"/>
          <w:sz w:val="17"/>
          <w:szCs w:val="17"/>
          <w:color w:val="auto"/>
        </w:rPr>
        <w:t>. No consent shall be required for any assignment except to the extent required by paragraph (b)(i)(B) of this Section and, in</w:t>
      </w:r>
    </w:p>
    <w:p>
      <w:pPr>
        <w:spacing w:after="0" w:line="22"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1280"/>
          </w:cols>
          <w:pgMar w:left="300" w:top="1191" w:right="319" w:bottom="1440" w:gutter="0" w:footer="0" w:header="0"/>
        </w:sectPr>
      </w:pPr>
    </w:p>
    <w:bookmarkStart w:id="542" w:name="page543"/>
    <w:bookmarkEnd w:id="542"/>
    <w:p>
      <w:pPr>
        <w:jc w:val="both"/>
        <w:ind w:left="520" w:firstLine="498"/>
        <w:spacing w:after="0" w:line="245" w:lineRule="auto"/>
        <w:tabs>
          <w:tab w:leader="none" w:pos="1429"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Borrower shall be deemed to have consented to any such assignment unless it shall object thereto by written notice to the Administrative Agent within ten (10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Business Days after having received notice thereof;</w:t>
      </w:r>
    </w:p>
    <w:p>
      <w:pPr>
        <w:spacing w:after="0" w:line="137" w:lineRule="exact"/>
        <w:rPr>
          <w:rFonts w:ascii="Times New Roman" w:cs="Times New Roman" w:eastAsia="Times New Roman" w:hAnsi="Times New Roman"/>
          <w:sz w:val="17"/>
          <w:szCs w:val="17"/>
          <w:color w:val="auto"/>
        </w:rPr>
      </w:pPr>
    </w:p>
    <w:p>
      <w:pPr>
        <w:jc w:val="both"/>
        <w:ind w:left="520" w:firstLine="498"/>
        <w:spacing w:after="0" w:line="252" w:lineRule="auto"/>
        <w:tabs>
          <w:tab w:leader="none" w:pos="1463"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Administrative Agent (such consent not to be unreasonably withheld or delayed) shall be required for assignments in respect of the Revolving Credit Facility if such assignment is to a Person that is not a Lender with a Revolving Credit Commitment, an Affiliate of such Lender or an Approved Fund with respect to such Lender; and</w:t>
      </w:r>
    </w:p>
    <w:p>
      <w:pPr>
        <w:spacing w:after="0" w:line="130" w:lineRule="exact"/>
        <w:rPr>
          <w:rFonts w:ascii="Times New Roman" w:cs="Times New Roman" w:eastAsia="Times New Roman" w:hAnsi="Times New Roman"/>
          <w:sz w:val="17"/>
          <w:szCs w:val="17"/>
          <w:color w:val="auto"/>
        </w:rPr>
      </w:pPr>
    </w:p>
    <w:p>
      <w:pPr>
        <w:ind w:left="520" w:firstLine="498"/>
        <w:spacing w:after="0" w:line="272" w:lineRule="auto"/>
        <w:tabs>
          <w:tab w:leader="none" w:pos="1422"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consents of the Issuing Lenders and the Swingline Lender (such consents not to be unreasonably withheld or delayed) shall be required for any assignment in respect of the Revolving Credit Facility.</w:t>
      </w:r>
    </w:p>
    <w:p>
      <w:pPr>
        <w:spacing w:after="0" w:line="114" w:lineRule="exact"/>
        <w:rPr>
          <w:rFonts w:ascii="Times New Roman" w:cs="Times New Roman" w:eastAsia="Times New Roman" w:hAnsi="Times New Roman"/>
          <w:sz w:val="17"/>
          <w:szCs w:val="17"/>
          <w:color w:val="auto"/>
        </w:rPr>
      </w:pPr>
    </w:p>
    <w:p>
      <w:pPr>
        <w:jc w:val="both"/>
        <w:ind w:firstLine="513"/>
        <w:spacing w:after="0" w:line="245" w:lineRule="auto"/>
        <w:tabs>
          <w:tab w:leader="none" w:pos="1052"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 xml:space="preserve">. The parties to each assignment shall execute and deliver to the Administrative Agent an Assignment and Assumption, together with a processing and recordation fee of $3,500 for each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only one (1) such fee will be payable in connection with simultaneous assignments to two (2)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37" w:lineRule="exact"/>
        <w:rPr>
          <w:rFonts w:ascii="Times New Roman" w:cs="Times New Roman" w:eastAsia="Times New Roman" w:hAnsi="Times New Roman"/>
          <w:sz w:val="17"/>
          <w:szCs w:val="17"/>
          <w:color w:val="auto"/>
        </w:rPr>
      </w:pPr>
    </w:p>
    <w:p>
      <w:pPr>
        <w:jc w:val="both"/>
        <w:ind w:firstLine="513"/>
        <w:spacing w:after="0" w:line="275" w:lineRule="auto"/>
        <w:tabs>
          <w:tab w:leader="none" w:pos="901"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Assignment to Certain Persons</w:t>
      </w:r>
      <w:r>
        <w:rPr>
          <w:rFonts w:ascii="Times New Roman" w:cs="Times New Roman" w:eastAsia="Times New Roman" w:hAnsi="Times New Roman"/>
          <w:sz w:val="16"/>
          <w:szCs w:val="16"/>
          <w:color w:val="auto"/>
        </w:rPr>
        <w:t>. No such assignment shall be made to (A) the Borrower or any of its Subsidiaries or Affiliates, (B) a natural Person (or a holding company, investment vehicle or trust for, or owned and operated for the primary benefit of, a natural Person) or (C) any Defaulting Lender or any of its Subsidiaries, or any Person who, upon becoming a Lender hereunder, would constitute any of the foregoing Persons described in this clause (v).</w:t>
      </w:r>
    </w:p>
    <w:p>
      <w:pPr>
        <w:spacing w:after="0" w:line="113" w:lineRule="exact"/>
        <w:rPr>
          <w:rFonts w:ascii="Times New Roman" w:cs="Times New Roman" w:eastAsia="Times New Roman" w:hAnsi="Times New Roman"/>
          <w:sz w:val="16"/>
          <w:szCs w:val="16"/>
          <w:color w:val="auto"/>
        </w:rPr>
      </w:pPr>
    </w:p>
    <w:p>
      <w:pPr>
        <w:jc w:val="both"/>
        <w:ind w:firstLine="513"/>
        <w:spacing w:after="0" w:line="241" w:lineRule="auto"/>
        <w:tabs>
          <w:tab w:leader="none" w:pos="1042"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Additional Payments</w:t>
      </w:r>
      <w:r>
        <w:rPr>
          <w:rFonts w:ascii="Times New Roman" w:cs="Times New Roman" w:eastAsia="Times New Roman" w:hAnsi="Times New Roman"/>
          <w:sz w:val="17"/>
          <w:szCs w:val="17"/>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all Loans and participations in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780"/>
          </w:cols>
          <w:pgMar w:left="800" w:top="1180" w:right="319" w:bottom="1440" w:gutter="0" w:footer="0" w:header="0"/>
        </w:sectPr>
      </w:pPr>
    </w:p>
    <w:bookmarkStart w:id="543" w:name="page544"/>
    <w:bookmarkEnd w:id="543"/>
    <w:p>
      <w:pPr>
        <w:jc w:val="both"/>
        <w:ind w:left="500"/>
        <w:spacing w:after="0" w:line="262" w:lineRule="auto"/>
        <w:rPr>
          <w:sz w:val="20"/>
          <w:szCs w:val="20"/>
          <w:color w:val="auto"/>
        </w:rPr>
      </w:pPr>
      <w:r>
        <w:rPr>
          <w:rFonts w:ascii="Times New Roman" w:cs="Times New Roman" w:eastAsia="Times New Roman" w:hAnsi="Times New Roman"/>
          <w:sz w:val="16"/>
          <w:szCs w:val="16"/>
          <w:color w:val="auto"/>
        </w:rPr>
        <w:t>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12" w:lineRule="exact"/>
        <w:rPr>
          <w:sz w:val="20"/>
          <w:szCs w:val="20"/>
          <w:color w:val="auto"/>
        </w:rPr>
      </w:pPr>
    </w:p>
    <w:p>
      <w:pPr>
        <w:jc w:val="both"/>
        <w:ind w:firstLine="505"/>
        <w:spacing w:after="0" w:line="244" w:lineRule="auto"/>
        <w:rPr>
          <w:sz w:val="20"/>
          <w:szCs w:val="20"/>
          <w:color w:val="auto"/>
        </w:rPr>
      </w:pPr>
      <w:r>
        <w:rPr>
          <w:rFonts w:ascii="Times New Roman" w:cs="Times New Roman" w:eastAsia="Times New Roman" w:hAnsi="Times New Roman"/>
          <w:sz w:val="16"/>
          <w:szCs w:val="16"/>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6"/>
          <w:szCs w:val="16"/>
          <w:u w:val="single" w:color="auto"/>
          <w:color w:val="auto"/>
        </w:rPr>
        <w:t>Sections 5.8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12.3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12.5(e)</w:t>
      </w:r>
      <w:r>
        <w:rPr>
          <w:rFonts w:ascii="Times New Roman" w:cs="Times New Roman" w:eastAsia="Times New Roman" w:hAnsi="Times New Roman"/>
          <w:sz w:val="16"/>
          <w:szCs w:val="16"/>
          <w:color w:val="auto"/>
        </w:rPr>
        <w:t xml:space="preserve"> with respect to facts and circumstances occurring prior to the effective date of such assignment;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w:t>
      </w:r>
    </w:p>
    <w:p>
      <w:pPr>
        <w:spacing w:after="0" w:line="6" w:lineRule="exact"/>
        <w:rPr>
          <w:sz w:val="20"/>
          <w:szCs w:val="20"/>
          <w:color w:val="auto"/>
        </w:rPr>
      </w:pPr>
    </w:p>
    <w:p>
      <w:pPr>
        <w:ind w:firstLine="4"/>
        <w:spacing w:after="0" w:line="232" w:lineRule="auto"/>
        <w:tabs>
          <w:tab w:leader="none" w:pos="245"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Section (other than a purported assignment to a natural Person or the Borrower or any of the Borrower’s Subsidiaries or Affiliates, which shall be null and void).</w:t>
      </w:r>
    </w:p>
    <w:p>
      <w:pPr>
        <w:spacing w:after="0" w:line="140" w:lineRule="exact"/>
        <w:rPr>
          <w:rFonts w:ascii="Times New Roman" w:cs="Times New Roman" w:eastAsia="Times New Roman" w:hAnsi="Times New Roman"/>
          <w:sz w:val="17"/>
          <w:szCs w:val="17"/>
          <w:color w:val="auto"/>
        </w:rPr>
      </w:pPr>
    </w:p>
    <w:p>
      <w:pPr>
        <w:jc w:val="both"/>
        <w:ind w:firstLine="509"/>
        <w:spacing w:after="0" w:line="233" w:lineRule="auto"/>
        <w:tabs>
          <w:tab w:leader="none" w:pos="923"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Administrative Agent, acting solely for this purpose as a nonfiduciary agent of the Borrower, shall maintain at one (1) of its offices in Charlotte, North Carolina, a register for the recordation of the names and addresses of the Lenders, and the Commitments of, and principal amounts of (and stated interest on) the Loans owing to, each Lender pursuant to the terms hereof from time to time (the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spacing w:after="0" w:line="143" w:lineRule="exact"/>
        <w:rPr>
          <w:rFonts w:ascii="Times New Roman" w:cs="Times New Roman" w:eastAsia="Times New Roman" w:hAnsi="Times New Roman"/>
          <w:sz w:val="17"/>
          <w:szCs w:val="17"/>
          <w:color w:val="auto"/>
        </w:rPr>
      </w:pPr>
    </w:p>
    <w:p>
      <w:pPr>
        <w:jc w:val="both"/>
        <w:ind w:firstLine="509"/>
        <w:spacing w:after="0" w:line="246" w:lineRule="auto"/>
        <w:tabs>
          <w:tab w:leader="none" w:pos="932" w:val="left"/>
        </w:tabs>
        <w:numPr>
          <w:ilvl w:val="1"/>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Participations</w:t>
      </w:r>
      <w:r>
        <w:rPr>
          <w:rFonts w:ascii="Times New Roman" w:cs="Times New Roman" w:eastAsia="Times New Roman" w:hAnsi="Times New Roman"/>
          <w:sz w:val="16"/>
          <w:szCs w:val="16"/>
          <w:color w:val="auto"/>
        </w:rPr>
        <w:t>. Any Lender may at any time, without the consent of, or notice to, the Borrower, the Administrative Agent, any Issuing Lender or the Swingline Lender, sell participations to any Person (other than a natural Person, (or a holding company, investment vehicle or trust for, or owned and operated for the primary benefit of, a natural Person, or the Borrower or any of the Borrower’s Subsidiaries or Affiliates) (each, a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Lender’s obligations under this Agreement shall remain unchanged, (ii) such Lender shall remain solely responsible to the other parties hereto for the performance of such obligations and</w:t>
      </w:r>
    </w:p>
    <w:p>
      <w:pPr>
        <w:ind w:left="300" w:hanging="296"/>
        <w:spacing w:after="0"/>
        <w:tabs>
          <w:tab w:leader="none" w:pos="300"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the Administrative Agent, each Issuing Lender, the Swingline Lender and the other Lenders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1280"/>
          </w:cols>
          <w:pgMar w:left="300" w:top="1181" w:right="319" w:bottom="1440" w:gutter="0" w:footer="0" w:header="0"/>
        </w:sectPr>
      </w:pPr>
    </w:p>
    <w:bookmarkStart w:id="544" w:name="page545"/>
    <w:bookmarkEnd w:id="544"/>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7"/>
          <w:szCs w:val="17"/>
          <w:u w:val="single" w:color="auto"/>
          <w:color w:val="auto"/>
        </w:rPr>
        <w:t>Section 12.3(c)</w:t>
      </w:r>
      <w:r>
        <w:rPr>
          <w:rFonts w:ascii="Times New Roman" w:cs="Times New Roman" w:eastAsia="Times New Roman" w:hAnsi="Times New Roman"/>
          <w:sz w:val="17"/>
          <w:szCs w:val="17"/>
          <w:color w:val="auto"/>
        </w:rPr>
        <w:t xml:space="preserve"> with respect to any payments made by such Lender to its Participant(s).</w:t>
      </w:r>
    </w:p>
    <w:p>
      <w:pPr>
        <w:spacing w:after="0" w:line="125" w:lineRule="exact"/>
        <w:rPr>
          <w:sz w:val="20"/>
          <w:szCs w:val="20"/>
          <w:color w:val="auto"/>
        </w:rPr>
      </w:pPr>
    </w:p>
    <w:p>
      <w:pPr>
        <w:jc w:val="both"/>
        <w:ind w:firstLine="505"/>
        <w:spacing w:after="0"/>
        <w:rPr>
          <w:sz w:val="20"/>
          <w:szCs w:val="20"/>
          <w:color w:val="auto"/>
        </w:rPr>
      </w:pPr>
      <w:r>
        <w:rPr>
          <w:rFonts w:ascii="Times New Roman" w:cs="Times New Roman" w:eastAsia="Times New Roman" w:hAnsi="Times New Roman"/>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7"/>
          <w:szCs w:val="17"/>
          <w:u w:val="single" w:color="auto"/>
          <w:color w:val="auto"/>
        </w:rPr>
        <w:t>Section 12.2(a)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that directly and adversely affects such Participant. The Borrower agrees that each Participant shall be entitled to the benefits of </w:t>
      </w:r>
      <w:r>
        <w:rPr>
          <w:rFonts w:ascii="Times New Roman" w:cs="Times New Roman" w:eastAsia="Times New Roman" w:hAnsi="Times New Roman"/>
          <w:sz w:val="17"/>
          <w:szCs w:val="17"/>
          <w:u w:val="single" w:color="auto"/>
          <w:color w:val="auto"/>
        </w:rPr>
        <w:t>Sections 5.9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5.11</w:t>
      </w:r>
      <w:r>
        <w:rPr>
          <w:rFonts w:ascii="Times New Roman" w:cs="Times New Roman" w:eastAsia="Times New Roman" w:hAnsi="Times New Roman"/>
          <w:sz w:val="17"/>
          <w:szCs w:val="17"/>
          <w:color w:val="auto"/>
        </w:rPr>
        <w:t xml:space="preserve"> (subject to the requirements and limitations therein, including the requirements under </w:t>
      </w:r>
      <w:r>
        <w:rPr>
          <w:rFonts w:ascii="Times New Roman" w:cs="Times New Roman" w:eastAsia="Times New Roman" w:hAnsi="Times New Roman"/>
          <w:sz w:val="17"/>
          <w:szCs w:val="17"/>
          <w:u w:val="single" w:color="auto"/>
          <w:color w:val="auto"/>
        </w:rPr>
        <w:t>Section 5.11(g)</w:t>
      </w:r>
      <w:r>
        <w:rPr>
          <w:rFonts w:ascii="Times New Roman" w:cs="Times New Roman" w:eastAsia="Times New Roman" w:hAnsi="Times New Roman"/>
          <w:sz w:val="17"/>
          <w:szCs w:val="17"/>
          <w:color w:val="auto"/>
        </w:rPr>
        <w:t xml:space="preserve"> (it being understood that the documentation required under </w:t>
      </w:r>
      <w:r>
        <w:rPr>
          <w:rFonts w:ascii="Times New Roman" w:cs="Times New Roman" w:eastAsia="Times New Roman" w:hAnsi="Times New Roman"/>
          <w:sz w:val="17"/>
          <w:szCs w:val="17"/>
          <w:u w:val="single" w:color="auto"/>
          <w:color w:val="auto"/>
        </w:rPr>
        <w:t>Section 5.11(g)</w:t>
      </w:r>
      <w:r>
        <w:rPr>
          <w:rFonts w:ascii="Times New Roman" w:cs="Times New Roman" w:eastAsia="Times New Roman" w:hAnsi="Times New Roman"/>
          <w:sz w:val="17"/>
          <w:szCs w:val="17"/>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(A) agrees to be subject to the provisions of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7"/>
          <w:szCs w:val="17"/>
          <w:u w:val="single" w:color="auto"/>
          <w:color w:val="auto"/>
        </w:rPr>
        <w:t>Sections 5.10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5.11</w:t>
      </w:r>
      <w:r>
        <w:rPr>
          <w:rFonts w:ascii="Times New Roman" w:cs="Times New Roman" w:eastAsia="Times New Roman" w:hAnsi="Times New Roman"/>
          <w:sz w:val="17"/>
          <w:szCs w:val="17"/>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7"/>
          <w:szCs w:val="17"/>
          <w:u w:val="single" w:color="auto"/>
          <w:color w:val="auto"/>
        </w:rPr>
        <w:t>Section 5.12(b)</w:t>
      </w:r>
      <w:r>
        <w:rPr>
          <w:rFonts w:ascii="Times New Roman" w:cs="Times New Roman" w:eastAsia="Times New Roman" w:hAnsi="Times New Roman"/>
          <w:sz w:val="17"/>
          <w:szCs w:val="17"/>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 xml:space="preserve"> as though it were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agrees to be subject to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 xml:space="preserve"> as though it were a Lender.</w:t>
      </w:r>
    </w:p>
    <w:p>
      <w:pPr>
        <w:spacing w:after="0" w:line="146" w:lineRule="exact"/>
        <w:rPr>
          <w:sz w:val="20"/>
          <w:szCs w:val="20"/>
          <w:color w:val="auto"/>
        </w:rPr>
      </w:pPr>
    </w:p>
    <w:p>
      <w:pPr>
        <w:jc w:val="both"/>
        <w:ind w:firstLine="505"/>
        <w:spacing w:after="0"/>
        <w:rPr>
          <w:sz w:val="20"/>
          <w:szCs w:val="20"/>
          <w:color w:val="auto"/>
        </w:rPr>
      </w:pPr>
      <w:r>
        <w:rPr>
          <w:rFonts w:ascii="Times New Roman" w:cs="Times New Roman" w:eastAsia="Times New Roman" w:hAnsi="Times New Roman"/>
          <w:sz w:val="17"/>
          <w:szCs w:val="17"/>
          <w:color w:val="auto"/>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4" w:lineRule="exact"/>
        <w:rPr>
          <w:sz w:val="20"/>
          <w:szCs w:val="20"/>
          <w:color w:val="auto"/>
        </w:rPr>
      </w:pPr>
    </w:p>
    <w:p>
      <w:pPr>
        <w:ind w:firstLine="509"/>
        <w:spacing w:after="0" w:line="259" w:lineRule="auto"/>
        <w:tabs>
          <w:tab w:leader="none" w:pos="944"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Pledges</w:t>
      </w:r>
      <w:r>
        <w:rPr>
          <w:rFonts w:ascii="Times New Roman" w:cs="Times New Roman" w:eastAsia="Times New Roman" w:hAnsi="Times New Roman"/>
          <w:sz w:val="17"/>
          <w:szCs w:val="17"/>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1280"/>
          </w:cols>
          <w:pgMar w:left="300" w:top="1181" w:right="319" w:bottom="1440" w:gutter="0" w:footer="0" w:header="0"/>
        </w:sectPr>
      </w:pPr>
    </w:p>
    <w:bookmarkStart w:id="545" w:name="page546"/>
    <w:bookmarkEnd w:id="545"/>
    <w:p>
      <w:pPr>
        <w:spacing w:after="0" w:line="246" w:lineRule="auto"/>
        <w:rPr>
          <w:sz w:val="20"/>
          <w:szCs w:val="20"/>
          <w:color w:val="auto"/>
        </w:rPr>
      </w:pPr>
      <w:r>
        <w:rPr>
          <w:rFonts w:ascii="Times New Roman" w:cs="Times New Roman" w:eastAsia="Times New Roman" w:hAnsi="Times New Roman"/>
          <w:sz w:val="17"/>
          <w:szCs w:val="17"/>
          <w:color w:val="auto"/>
        </w:rPr>
        <w:t>no such pledge or assignment shall release such Lender from any of its obligations hereunder or substitute any such pledgee or assignee for such Lender as a party hereto.</w:t>
      </w:r>
    </w:p>
    <w:p>
      <w:pPr>
        <w:spacing w:after="0" w:line="135" w:lineRule="exact"/>
        <w:rPr>
          <w:sz w:val="20"/>
          <w:szCs w:val="20"/>
          <w:color w:val="auto"/>
        </w:rPr>
      </w:pPr>
    </w:p>
    <w:p>
      <w:pPr>
        <w:ind w:left="840" w:hanging="331"/>
        <w:spacing w:after="0"/>
        <w:tabs>
          <w:tab w:leader="none" w:pos="840"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Disqualified Institutions.</w:t>
      </w:r>
    </w:p>
    <w:p>
      <w:pPr>
        <w:spacing w:after="0" w:line="151" w:lineRule="exact"/>
        <w:rPr>
          <w:rFonts w:ascii="Times New Roman" w:cs="Times New Roman" w:eastAsia="Times New Roman" w:hAnsi="Times New Roman"/>
          <w:sz w:val="17"/>
          <w:szCs w:val="17"/>
          <w:color w:val="auto"/>
        </w:rPr>
      </w:pPr>
    </w:p>
    <w:p>
      <w:pPr>
        <w:jc w:val="both"/>
        <w:ind w:left="500" w:firstLine="513"/>
        <w:spacing w:after="0" w:line="233" w:lineRule="auto"/>
        <w:tabs>
          <w:tab w:leader="none" w:pos="1398"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assignment or participation shall be made to any Person that was a Disqualified Institution as of the date (the “</w:t>
      </w:r>
      <w:r>
        <w:rPr>
          <w:rFonts w:ascii="Times New Roman" w:cs="Times New Roman" w:eastAsia="Times New Roman" w:hAnsi="Times New Roman"/>
          <w:sz w:val="17"/>
          <w:szCs w:val="17"/>
          <w:u w:val="single" w:color="auto"/>
          <w:color w:val="auto"/>
        </w:rPr>
        <w:t>Trade Date</w:t>
      </w:r>
      <w:r>
        <w:rPr>
          <w:rFonts w:ascii="Times New Roman" w:cs="Times New Roman" w:eastAsia="Times New Roman" w:hAnsi="Times New Roman"/>
          <w:sz w:val="17"/>
          <w:szCs w:val="17"/>
          <w:color w:val="auto"/>
        </w:rPr>
        <w:t>”) on which the assigning Lender entered into a binding agreement to sell and assign or participate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and/or the expiration of the notice period referred to in, the definition of “</w:t>
      </w:r>
      <w:r>
        <w:rPr>
          <w:rFonts w:ascii="Times New Roman" w:cs="Times New Roman" w:eastAsia="Times New Roman" w:hAnsi="Times New Roman"/>
          <w:sz w:val="17"/>
          <w:szCs w:val="17"/>
          <w:u w:val="single" w:color="auto"/>
          <w:color w:val="auto"/>
        </w:rPr>
        <w:t>Disqualified Institution</w:t>
      </w:r>
      <w:r>
        <w:rPr>
          <w:rFonts w:ascii="Times New Roman" w:cs="Times New Roman" w:eastAsia="Times New Roman" w:hAnsi="Times New Roman"/>
          <w:sz w:val="17"/>
          <w:szCs w:val="17"/>
          <w:color w:val="auto"/>
        </w:rPr>
        <w:t>”), such assignee shall not retroactively be disqualified from becoming a Lender. Any assignment in violation of this clause (f)(i) shall not be void, but the other provisions of this clause (f) shall apply.</w:t>
      </w:r>
    </w:p>
    <w:p>
      <w:pPr>
        <w:spacing w:after="0" w:line="143" w:lineRule="exact"/>
        <w:rPr>
          <w:rFonts w:ascii="Times New Roman" w:cs="Times New Roman" w:eastAsia="Times New Roman" w:hAnsi="Times New Roman"/>
          <w:sz w:val="17"/>
          <w:szCs w:val="17"/>
          <w:color w:val="auto"/>
        </w:rPr>
      </w:pPr>
    </w:p>
    <w:p>
      <w:pPr>
        <w:jc w:val="both"/>
        <w:ind w:left="500" w:firstLine="513"/>
        <w:spacing w:after="0" w:line="231" w:lineRule="auto"/>
        <w:tabs>
          <w:tab w:leader="none" w:pos="1424"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assignment or participation is made to any Disqualified Institution without the Borrower’s prior written consent in violation of clause (i) above, the Borrower may, at its sole expense and effort, upon notice to the applicable Disqualified Institution and the Administrative Agent, (A) terminate any Revolving Credit Commitment of such Disqualified Institution and repay all obligations of the Borrower owing to such Disqualified Institution in connection with such Revolving Credit Commitment and/or (B) require such Disqualified Institution to assign, without recourse (in accordance with and subject to the restrictions contained in this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 all of its interest, rights and obligations under this Agreement to one or more Eligible Assignees at the lowest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144" w:lineRule="exact"/>
        <w:rPr>
          <w:rFonts w:ascii="Times New Roman" w:cs="Times New Roman" w:eastAsia="Times New Roman" w:hAnsi="Times New Roman"/>
          <w:sz w:val="17"/>
          <w:szCs w:val="17"/>
          <w:color w:val="auto"/>
        </w:rPr>
      </w:pPr>
    </w:p>
    <w:p>
      <w:pPr>
        <w:jc w:val="both"/>
        <w:ind w:left="500" w:firstLine="513"/>
        <w:spacing w:after="0" w:line="230" w:lineRule="auto"/>
        <w:tabs>
          <w:tab w:leader="none" w:pos="1542"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1280"/>
          </w:cols>
          <w:pgMar w:left="300" w:top="1180" w:right="319" w:bottom="1440" w:gutter="0" w:footer="0" w:header="0"/>
        </w:sectPr>
      </w:pPr>
    </w:p>
    <w:bookmarkStart w:id="546" w:name="page547"/>
    <w:bookmarkEnd w:id="546"/>
    <w:p>
      <w:pPr>
        <w:jc w:val="both"/>
        <w:ind w:left="500"/>
        <w:spacing w:after="0" w:line="234" w:lineRule="auto"/>
        <w:rPr>
          <w:sz w:val="20"/>
          <w:szCs w:val="20"/>
          <w:color w:val="auto"/>
        </w:rPr>
      </w:pPr>
      <w:r>
        <w:rPr>
          <w:rFonts w:ascii="Times New Roman" w:cs="Times New Roman" w:eastAsia="Times New Roman" w:hAnsi="Times New Roman"/>
          <w:sz w:val="17"/>
          <w:szCs w:val="17"/>
          <w:color w:val="auto"/>
        </w:rPr>
        <w:t>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42" w:lineRule="exact"/>
        <w:rPr>
          <w:sz w:val="20"/>
          <w:szCs w:val="20"/>
          <w:color w:val="auto"/>
        </w:rPr>
      </w:pPr>
    </w:p>
    <w:p>
      <w:pPr>
        <w:jc w:val="both"/>
        <w:ind w:left="500" w:firstLine="513"/>
        <w:spacing w:after="0" w:line="239" w:lineRule="auto"/>
        <w:tabs>
          <w:tab w:leader="none" w:pos="1468"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17"/>
          <w:szCs w:val="17"/>
          <w:u w:val="single" w:color="auto"/>
          <w:color w:val="auto"/>
        </w:rPr>
        <w:t>DQ List</w:t>
      </w:r>
      <w:r>
        <w:rPr>
          <w:rFonts w:ascii="Times New Roman" w:cs="Times New Roman" w:eastAsia="Times New Roman" w:hAnsi="Times New Roman"/>
          <w:sz w:val="17"/>
          <w:szCs w:val="17"/>
          <w:color w:val="auto"/>
        </w:rPr>
        <w:t>”) on the Platform, including that portion of the Platform that is designated for “public side” Lenders and/or (B) provide the DQ List to each Lender requesting the same.</w:t>
      </w:r>
    </w:p>
    <w:p>
      <w:pPr>
        <w:spacing w:after="0" w:line="141" w:lineRule="exact"/>
        <w:rPr>
          <w:sz w:val="20"/>
          <w:szCs w:val="20"/>
          <w:color w:val="auto"/>
        </w:rPr>
      </w:pPr>
    </w:p>
    <w:p>
      <w:pPr>
        <w:jc w:val="both"/>
        <w:ind w:firstLine="505"/>
        <w:spacing w:after="0" w:line="228" w:lineRule="auto"/>
        <w:rPr>
          <w:sz w:val="20"/>
          <w:szCs w:val="20"/>
          <w:color w:val="auto"/>
        </w:rPr>
      </w:pPr>
      <w:r>
        <w:rPr>
          <w:rFonts w:ascii="Times New Roman" w:cs="Times New Roman" w:eastAsia="Times New Roman" w:hAnsi="Times New Roman"/>
          <w:sz w:val="17"/>
          <w:szCs w:val="17"/>
          <w:color w:val="auto"/>
        </w:rPr>
        <w:t xml:space="preserve">Section 12.10 </w:t>
      </w:r>
      <w:r>
        <w:rPr>
          <w:rFonts w:ascii="Times New Roman" w:cs="Times New Roman" w:eastAsia="Times New Roman" w:hAnsi="Times New Roman"/>
          <w:sz w:val="17"/>
          <w:szCs w:val="17"/>
          <w:u w:val="single" w:color="auto"/>
          <w:color w:val="auto"/>
        </w:rPr>
        <w:t>Treatment of Certain Information; Confidentiality</w:t>
      </w:r>
      <w:r>
        <w:rPr>
          <w:rFonts w:ascii="Times New Roman" w:cs="Times New Roman" w:eastAsia="Times New Roman" w:hAnsi="Times New Roman"/>
          <w:sz w:val="17"/>
          <w:szCs w:val="17"/>
          <w:color w:val="auto"/>
        </w:rPr>
        <w:t>. Each of the Administrative Agent, the Lenders and each Issuing Lender agrees to maintain the confidentiality of the Information (as defined below), except that Information may be disclosed (a) to its Affiliates and to its and its Affiliates’ respective Related Parties in connection with the Credit Facility, this Agreement, the transactions contemplated hereby or in connection with marketing of services by such Affiliate or Related Party to the Borrower or any of its Subsidiaries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or in accordance with the Administrative Agent’s, such Issuing Lender’s or any Lender’s regulatory compliance policy if the Administrative Agent, such Issuing Lender or such Lender, as applicable, deems such disclosure to be necessary for the mitigation of claims by those authorities against the Administrative Agent, such Issuing Lender or such Lender, as applicable, or any of its Related Parties (in which case, the Administrative Agent, such Issuing Lender or such Lender, as applicable, shall use commercially reasonable efforts to, except with respect to any audit or examination conducted by bank accountants or any governmental bank regulatory authority exercising examination or regulatory authority, promptly notify the Borrower, in advance, to the extent practicable and otherwise permitted by Applicable Law), (c) as to the extent required by Applicable Laws or regulations or in any legal, judicial, administrative proceeding or other compulsory process,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and, in each case, their respective financing sources, (ii) any actual or prospective party (or its Related Parties) to any swap, derivative or other transaction under which payments are to be made by reference to the Borrower and its obligations, this Agreement or payments hereunder (it being understood that the DQ List may be disclosed to any assignee or Participant, or prospective assignee or Participant, in reliance on this clause (f)), (iii) an investor or prospective investor in an Approved Fund that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1280"/>
          </w:cols>
          <w:pgMar w:left="300" w:top="1181" w:right="319" w:bottom="1440" w:gutter="0" w:footer="0" w:header="0"/>
        </w:sectPr>
      </w:pPr>
    </w:p>
    <w:bookmarkStart w:id="547" w:name="page548"/>
    <w:bookmarkEnd w:id="547"/>
    <w:p>
      <w:pPr>
        <w:jc w:val="both"/>
        <w:spacing w:after="0" w:line="249" w:lineRule="auto"/>
        <w:rPr>
          <w:sz w:val="20"/>
          <w:szCs w:val="20"/>
          <w:color w:val="auto"/>
        </w:rPr>
      </w:pPr>
      <w:r>
        <w:rPr>
          <w:rFonts w:ascii="Times New Roman" w:cs="Times New Roman" w:eastAsia="Times New Roman" w:hAnsi="Times New Roman"/>
          <w:sz w:val="17"/>
          <w:szCs w:val="17"/>
          <w:color w:val="auto"/>
        </w:rPr>
        <w:t>agrees that Information shall be used solely for the purpose of evaluating an investment in such Approved Fund, (iv) a trustee, collateral manager, servicer, backup servicer, noteholder or secured party in an Approved Fund in connection with the administration, servicing and reporting on the assets serving as collateral for an Approved Fund, or (v) a nationally recognized rating agency that requires access to information regarding the Borrower and its Subsidiaries, the Loans and the Loan Documents in connection with ratings issued with respect to an Approved Fund, (g) on a confidential basis to (i) any rating agency in connection with rating the Borrower or its Subsidiaries or the Credit Facility or (ii) the CUSIP Service Bureau or any similar agency in connection with the issuance and monitoring of CUSIP numbers with respect to the Credit Facility, (h) with the prior written consent of the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 (k) to the extent that such information is independently developed by such Person (without the use, reference or reliance of any Information), and (l) to the extent required by an insurance company in connection with providing insurance coverage or providing reimbursement pursuant to this Agreement. For purposes of this Section,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means all information received from the Borrower or any Subsidiary thereof relating to the Borrower or any Subsidiary thereof or any of their respective businesses, other than any such information that is available to the Administrative Agent, any Lender or any Issuing Lender on a nonconfidential basis prior to disclosure by the Borrower or any Subsidiary thereof.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44"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 xml:space="preserve">Section 12.11 </w:t>
      </w:r>
      <w:r>
        <w:rPr>
          <w:rFonts w:ascii="Times New Roman" w:cs="Times New Roman" w:eastAsia="Times New Roman" w:hAnsi="Times New Roman"/>
          <w:sz w:val="17"/>
          <w:szCs w:val="17"/>
          <w:u w:val="single" w:color="auto"/>
          <w:color w:val="auto"/>
        </w:rPr>
        <w:t>Performance of Duties</w:t>
      </w:r>
      <w:r>
        <w:rPr>
          <w:rFonts w:ascii="Times New Roman" w:cs="Times New Roman" w:eastAsia="Times New Roman" w:hAnsi="Times New Roman"/>
          <w:sz w:val="17"/>
          <w:szCs w:val="17"/>
          <w:color w:val="auto"/>
        </w:rPr>
        <w:t>. Each of the Credit Party’s obligations under this Agreement and each of the other Loan Documents shall be performed by such Credit Party at its sole cost and expense.</w:t>
      </w:r>
    </w:p>
    <w:p>
      <w:pPr>
        <w:spacing w:after="0" w:line="12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7"/>
          <w:szCs w:val="17"/>
          <w:color w:val="auto"/>
        </w:rPr>
        <w:t xml:space="preserve">Section 12.12 </w:t>
      </w:r>
      <w:r>
        <w:rPr>
          <w:rFonts w:ascii="Times New Roman" w:cs="Times New Roman" w:eastAsia="Times New Roman" w:hAnsi="Times New Roman"/>
          <w:sz w:val="17"/>
          <w:szCs w:val="17"/>
          <w:u w:val="single" w:color="auto"/>
          <w:color w:val="auto"/>
        </w:rPr>
        <w:t>All Powers Coupled with Interest</w:t>
      </w:r>
      <w:r>
        <w:rPr>
          <w:rFonts w:ascii="Times New Roman" w:cs="Times New Roman" w:eastAsia="Times New Roman" w:hAnsi="Times New Roman"/>
          <w:sz w:val="17"/>
          <w:szCs w:val="17"/>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(other than contingent indemnification obligations not then due), any of the Commitments remain in effect or the Credit Facility has not been terminated.</w:t>
      </w:r>
    </w:p>
    <w:p>
      <w:pPr>
        <w:spacing w:after="0" w:line="137" w:lineRule="exact"/>
        <w:rPr>
          <w:sz w:val="20"/>
          <w:szCs w:val="20"/>
          <w:color w:val="auto"/>
        </w:rPr>
      </w:pPr>
    </w:p>
    <w:p>
      <w:pPr>
        <w:ind w:left="500"/>
        <w:spacing w:after="0"/>
        <w:tabs>
          <w:tab w:leader="none" w:pos="1580" w:val="left"/>
        </w:tabs>
        <w:rPr>
          <w:sz w:val="20"/>
          <w:szCs w:val="20"/>
          <w:color w:val="auto"/>
        </w:rPr>
      </w:pPr>
      <w:r>
        <w:rPr>
          <w:rFonts w:ascii="Times New Roman" w:cs="Times New Roman" w:eastAsia="Times New Roman" w:hAnsi="Times New Roman"/>
          <w:sz w:val="17"/>
          <w:szCs w:val="17"/>
          <w:color w:val="auto"/>
        </w:rPr>
        <w:t>Section 12.13</w:t>
      </w:r>
      <w:r>
        <w:rPr>
          <w:sz w:val="20"/>
          <w:szCs w:val="20"/>
          <w:color w:val="auto"/>
        </w:rPr>
        <w:tab/>
      </w:r>
      <w:r>
        <w:rPr>
          <w:rFonts w:ascii="Times New Roman" w:cs="Times New Roman" w:eastAsia="Times New Roman" w:hAnsi="Times New Roman"/>
          <w:sz w:val="17"/>
          <w:szCs w:val="17"/>
          <w:u w:val="single" w:color="auto"/>
          <w:color w:val="auto"/>
        </w:rPr>
        <w:t>Survival.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1280"/>
          </w:cols>
          <w:pgMar w:left="300" w:top="1191" w:right="319" w:bottom="1440" w:gutter="0" w:footer="0" w:header="0"/>
        </w:sectPr>
      </w:pPr>
    </w:p>
    <w:bookmarkStart w:id="548" w:name="page549"/>
    <w:bookmarkEnd w:id="548"/>
    <w:p>
      <w:pPr>
        <w:jc w:val="both"/>
        <w:ind w:firstLine="509"/>
        <w:spacing w:after="0" w:line="252" w:lineRule="auto"/>
        <w:tabs>
          <w:tab w:leader="none" w:pos="969"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representations and warranties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51" w:lineRule="exact"/>
        <w:rPr>
          <w:rFonts w:ascii="Times New Roman" w:cs="Times New Roman" w:eastAsia="Times New Roman" w:hAnsi="Times New Roman"/>
          <w:sz w:val="17"/>
          <w:szCs w:val="17"/>
          <w:color w:val="auto"/>
        </w:rPr>
      </w:pPr>
    </w:p>
    <w:p>
      <w:pPr>
        <w:jc w:val="both"/>
        <w:ind w:firstLine="509"/>
        <w:spacing w:after="0" w:line="258" w:lineRule="auto"/>
        <w:tabs>
          <w:tab w:leader="none" w:pos="979"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termination of this Agreement, the indemnities and exculpations to which the Indemnitees or any Lender Related Parties, as applicable, are entitled under the provisions of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and any other provision of this Agreement and the other Loan Documents shall continue in full force and effect and shall protect such Indemnitees or such Lender Related Parties, as applicable, against events arising after such termination as well as before.</w:t>
      </w:r>
    </w:p>
    <w:p>
      <w:pPr>
        <w:spacing w:after="0" w:line="137"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7"/>
          <w:szCs w:val="17"/>
          <w:color w:val="auto"/>
        </w:rPr>
        <w:t xml:space="preserve">Section 12.14 </w:t>
      </w:r>
      <w:r>
        <w:rPr>
          <w:rFonts w:ascii="Times New Roman" w:cs="Times New Roman" w:eastAsia="Times New Roman" w:hAnsi="Times New Roman"/>
          <w:sz w:val="17"/>
          <w:szCs w:val="17"/>
          <w:u w:val="single" w:color="auto"/>
          <w:color w:val="auto"/>
        </w:rPr>
        <w:t>Titles and Captions</w:t>
      </w:r>
      <w:r>
        <w:rPr>
          <w:rFonts w:ascii="Times New Roman" w:cs="Times New Roman" w:eastAsia="Times New Roman" w:hAnsi="Times New Roman"/>
          <w:sz w:val="17"/>
          <w:szCs w:val="17"/>
          <w:color w:val="auto"/>
        </w:rPr>
        <w:t>. Titles and captions of Articles, Sections and subsections in, and the table of contents of, this Agreement are for convenience only, and neither limit nor amplify the provisions of this Agreement.</w:t>
      </w:r>
    </w:p>
    <w:p>
      <w:pPr>
        <w:spacing w:after="0" w:line="135"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 xml:space="preserve">Section 12.15 </w:t>
      </w:r>
      <w:r>
        <w:rPr>
          <w:rFonts w:ascii="Times New Roman" w:cs="Times New Roman" w:eastAsia="Times New Roman" w:hAnsi="Times New Roman"/>
          <w:sz w:val="17"/>
          <w:szCs w:val="17"/>
          <w:u w:val="single" w:color="auto"/>
          <w:color w:val="auto"/>
        </w:rPr>
        <w:t>Severability of Provisions</w:t>
      </w:r>
      <w:r>
        <w:rPr>
          <w:rFonts w:ascii="Times New Roman" w:cs="Times New Roman" w:eastAsia="Times New Roman" w:hAnsi="Times New Roman"/>
          <w:sz w:val="17"/>
          <w:szCs w:val="17"/>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and the Borrower shall negotiate in good faith to amend such provision to preserve the original intent thereof in such jurisdiction (subject to the approval of the Required Lenders).</w:t>
      </w:r>
    </w:p>
    <w:p>
      <w:pPr>
        <w:spacing w:after="0" w:line="141" w:lineRule="exact"/>
        <w:rPr>
          <w:sz w:val="20"/>
          <w:szCs w:val="20"/>
          <w:color w:val="auto"/>
        </w:rPr>
      </w:pPr>
    </w:p>
    <w:p>
      <w:pPr>
        <w:ind w:left="500"/>
        <w:spacing w:after="0"/>
        <w:tabs>
          <w:tab w:leader="none" w:pos="1580" w:val="left"/>
        </w:tabs>
        <w:rPr>
          <w:sz w:val="20"/>
          <w:szCs w:val="20"/>
          <w:color w:val="auto"/>
        </w:rPr>
      </w:pPr>
      <w:r>
        <w:rPr>
          <w:rFonts w:ascii="Times New Roman" w:cs="Times New Roman" w:eastAsia="Times New Roman" w:hAnsi="Times New Roman"/>
          <w:sz w:val="17"/>
          <w:szCs w:val="17"/>
          <w:color w:val="auto"/>
        </w:rPr>
        <w:t>Section 12.16</w:t>
      </w:r>
      <w:r>
        <w:rPr>
          <w:sz w:val="20"/>
          <w:szCs w:val="20"/>
          <w:color w:val="auto"/>
        </w:rPr>
        <w:tab/>
      </w:r>
      <w:r>
        <w:rPr>
          <w:rFonts w:ascii="Times New Roman" w:cs="Times New Roman" w:eastAsia="Times New Roman" w:hAnsi="Times New Roman"/>
          <w:sz w:val="16"/>
          <w:szCs w:val="16"/>
          <w:u w:val="single" w:color="auto"/>
          <w:color w:val="auto"/>
        </w:rPr>
        <w:t>Counterparts; Integration; Effectiveness; Electronic Execution.</w:t>
      </w:r>
    </w:p>
    <w:p>
      <w:pPr>
        <w:spacing w:after="0" w:line="183" w:lineRule="exact"/>
        <w:rPr>
          <w:sz w:val="20"/>
          <w:szCs w:val="20"/>
          <w:color w:val="auto"/>
        </w:rPr>
      </w:pPr>
    </w:p>
    <w:p>
      <w:pPr>
        <w:jc w:val="both"/>
        <w:ind w:firstLine="509"/>
        <w:spacing w:after="0" w:line="250" w:lineRule="auto"/>
        <w:tabs>
          <w:tab w:leader="none" w:pos="870"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Integration; Effectiveness</w:t>
      </w:r>
      <w:r>
        <w:rPr>
          <w:rFonts w:ascii="Times New Roman" w:cs="Times New Roman" w:eastAsia="Times New Roman" w:hAnsi="Times New Roman"/>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any Issuing Lender, the Swingline Lender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1280"/>
          </w:cols>
          <w:pgMar w:left="300" w:top="1191" w:right="319" w:bottom="1440" w:gutter="0" w:footer="0" w:header="0"/>
        </w:sectPr>
      </w:pPr>
    </w:p>
    <w:bookmarkStart w:id="549" w:name="page550"/>
    <w:bookmarkEnd w:id="549"/>
    <w:p>
      <w:pPr>
        <w:jc w:val="both"/>
        <w:ind w:firstLine="509"/>
        <w:spacing w:after="0" w:line="253" w:lineRule="auto"/>
        <w:tabs>
          <w:tab w:leader="none" w:pos="89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Execution</w:t>
      </w:r>
      <w:r>
        <w:rPr>
          <w:rFonts w:ascii="Times New Roman" w:cs="Times New Roman" w:eastAsia="Times New Roman" w:hAnsi="Times New Roman"/>
          <w:sz w:val="16"/>
          <w:szCs w:val="16"/>
          <w:color w:val="auto"/>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Communication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The Administrative Agent and each of the Credit Parties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(1) any argument, defense or right to contest the validity or enforceability of the Loan Documents based solely on the lack of paper original copies of any Loan Documents, including with respect to any signature pages thereto and (2) any claim against the any party hereto or any of their Related Parties for liabilities arising solely from the any party’s or any of their Related Parties’ reliance on or use of Electronic Signatures, including any such liabilities arising as a result of the failure of the Credit Parties to use any available security measures in connection with the execution, delivery or transmission of any such Electronic Signature. Each party hereto acknowledges, represents and warrants to the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1280"/>
          </w:cols>
          <w:pgMar w:left="300" w:top="1181" w:right="319" w:bottom="1440" w:gutter="0" w:footer="0" w:header="0"/>
        </w:sectPr>
      </w:pPr>
    </w:p>
    <w:bookmarkStart w:id="550" w:name="page551"/>
    <w:bookmarkEnd w:id="550"/>
    <w:p>
      <w:pPr>
        <w:jc w:val="both"/>
        <w:spacing w:after="0" w:line="246" w:lineRule="auto"/>
        <w:rPr>
          <w:sz w:val="20"/>
          <w:szCs w:val="20"/>
          <w:color w:val="auto"/>
        </w:rPr>
      </w:pPr>
      <w:r>
        <w:rPr>
          <w:rFonts w:ascii="Times New Roman" w:cs="Times New Roman" w:eastAsia="Times New Roman" w:hAnsi="Times New Roman"/>
          <w:sz w:val="17"/>
          <w:szCs w:val="17"/>
          <w:color w:val="auto"/>
        </w:rPr>
        <w:t>hereto that it has the corporate or other organizational capacity to execute and deliver this Agreement and any other Communication through electronic means as provided for herein and there are no restrictions or other limitations on doing so in such party’s Organizational Documents.</w:t>
      </w:r>
    </w:p>
    <w:p>
      <w:pPr>
        <w:spacing w:after="0" w:line="135" w:lineRule="exact"/>
        <w:rPr>
          <w:sz w:val="20"/>
          <w:szCs w:val="20"/>
          <w:color w:val="auto"/>
        </w:rPr>
      </w:pPr>
    </w:p>
    <w:p>
      <w:pPr>
        <w:jc w:val="both"/>
        <w:ind w:firstLine="505"/>
        <w:spacing w:after="0" w:line="234" w:lineRule="auto"/>
        <w:rPr>
          <w:sz w:val="20"/>
          <w:szCs w:val="20"/>
          <w:color w:val="auto"/>
        </w:rPr>
      </w:pPr>
      <w:r>
        <w:rPr>
          <w:rFonts w:ascii="Times New Roman" w:cs="Times New Roman" w:eastAsia="Times New Roman" w:hAnsi="Times New Roman"/>
          <w:sz w:val="17"/>
          <w:szCs w:val="17"/>
          <w:color w:val="auto"/>
        </w:rPr>
        <w:t xml:space="preserve">Section 12.17 </w:t>
      </w:r>
      <w:r>
        <w:rPr>
          <w:rFonts w:ascii="Times New Roman" w:cs="Times New Roman" w:eastAsia="Times New Roman" w:hAnsi="Times New Roman"/>
          <w:sz w:val="17"/>
          <w:szCs w:val="17"/>
          <w:u w:val="single" w:color="auto"/>
          <w:color w:val="auto"/>
        </w:rPr>
        <w:t>Term of Agreement</w:t>
      </w:r>
      <w:r>
        <w:rPr>
          <w:rFonts w:ascii="Times New Roman" w:cs="Times New Roman" w:eastAsia="Times New Roman" w:hAnsi="Times New Roman"/>
          <w:sz w:val="17"/>
          <w:szCs w:val="17"/>
          <w:color w:val="auto"/>
        </w:rPr>
        <w:t>. This Agreement shall remain in effect from the Closing Date through and including the date upon which all Obligations (other than contingent indemnification obligations not then due) arising hereunder or under any other Loan Document shall have been paid and satisfied in full in cash, all Letters of Credit have been terminated or expired (or been Cash Collateralized or otherwise satisfied in a manner acceptable to the applicable Issuing Lender) and the Commitments have been terminated. No termination of this Agreement shall affect the rights and obligations of the parties hereto arising prior to such termination or in respect of any provision of this Agreement which survives such termination.</w:t>
      </w:r>
    </w:p>
    <w:p>
      <w:pPr>
        <w:spacing w:after="0" w:line="140" w:lineRule="exact"/>
        <w:rPr>
          <w:sz w:val="20"/>
          <w:szCs w:val="20"/>
          <w:color w:val="auto"/>
        </w:rPr>
      </w:pPr>
    </w:p>
    <w:p>
      <w:pPr>
        <w:jc w:val="both"/>
        <w:ind w:firstLine="505"/>
        <w:spacing w:after="0" w:line="237" w:lineRule="auto"/>
        <w:rPr>
          <w:sz w:val="20"/>
          <w:szCs w:val="20"/>
          <w:color w:val="auto"/>
        </w:rPr>
      </w:pPr>
      <w:r>
        <w:rPr>
          <w:rFonts w:ascii="Times New Roman" w:cs="Times New Roman" w:eastAsia="Times New Roman" w:hAnsi="Times New Roman"/>
          <w:sz w:val="17"/>
          <w:szCs w:val="17"/>
          <w:color w:val="auto"/>
        </w:rPr>
        <w:t xml:space="preserve">Section 12.18 </w:t>
      </w:r>
      <w:r>
        <w:rPr>
          <w:rFonts w:ascii="Times New Roman" w:cs="Times New Roman" w:eastAsia="Times New Roman" w:hAnsi="Times New Roman"/>
          <w:sz w:val="17"/>
          <w:szCs w:val="17"/>
          <w:u w:val="single" w:color="auto"/>
          <w:color w:val="auto"/>
        </w:rPr>
        <w:t>USA PATRIOT Act; Anti-Money Laundering Laws</w:t>
      </w:r>
      <w:r>
        <w:rPr>
          <w:rFonts w:ascii="Times New Roman" w:cs="Times New Roman" w:eastAsia="Times New Roman" w:hAnsi="Times New Roman"/>
          <w:sz w:val="17"/>
          <w:szCs w:val="17"/>
          <w:color w:val="auto"/>
        </w:rPr>
        <w:t>. The Administrative Agent and each Lender hereby notifies the Borrower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32" w:lineRule="exact"/>
        <w:rPr>
          <w:sz w:val="20"/>
          <w:szCs w:val="20"/>
          <w:color w:val="auto"/>
        </w:rPr>
      </w:pPr>
    </w:p>
    <w:p>
      <w:pPr>
        <w:jc w:val="both"/>
        <w:ind w:firstLine="505"/>
        <w:spacing w:after="0" w:line="250" w:lineRule="auto"/>
        <w:rPr>
          <w:sz w:val="20"/>
          <w:szCs w:val="20"/>
          <w:color w:val="auto"/>
        </w:rPr>
      </w:pPr>
      <w:r>
        <w:rPr>
          <w:rFonts w:ascii="Times New Roman" w:cs="Times New Roman" w:eastAsia="Times New Roman" w:hAnsi="Times New Roman"/>
          <w:sz w:val="16"/>
          <w:szCs w:val="16"/>
          <w:color w:val="auto"/>
        </w:rPr>
        <w:t xml:space="preserve">Section 12.19 </w:t>
      </w:r>
      <w:r>
        <w:rPr>
          <w:rFonts w:ascii="Times New Roman" w:cs="Times New Roman" w:eastAsia="Times New Roman" w:hAnsi="Times New Roman"/>
          <w:sz w:val="16"/>
          <w:szCs w:val="16"/>
          <w:u w:val="single" w:color="auto"/>
          <w:color w:val="auto"/>
        </w:rPr>
        <w:t>Independent Effect of Covenants</w:t>
      </w:r>
      <w:r>
        <w:rPr>
          <w:rFonts w:ascii="Times New Roman" w:cs="Times New Roman" w:eastAsia="Times New Roman" w:hAnsi="Times New Roman"/>
          <w:sz w:val="16"/>
          <w:szCs w:val="16"/>
          <w:color w:val="auto"/>
        </w:rPr>
        <w:t xml:space="preserve">. The Borrower expressly acknowledges and agrees that each covenant contained in </w:t>
      </w:r>
      <w:r>
        <w:rPr>
          <w:rFonts w:ascii="Times New Roman" w:cs="Times New Roman" w:eastAsia="Times New Roman" w:hAnsi="Times New Roman"/>
          <w:sz w:val="16"/>
          <w:szCs w:val="16"/>
          <w:u w:val="single" w:color="auto"/>
          <w:color w:val="auto"/>
        </w:rPr>
        <w:t>Articles VIII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IX</w:t>
      </w:r>
      <w:r>
        <w:rPr>
          <w:rFonts w:ascii="Times New Roman" w:cs="Times New Roman" w:eastAsia="Times New Roman" w:hAnsi="Times New Roman"/>
          <w:sz w:val="16"/>
          <w:szCs w:val="16"/>
          <w:color w:val="auto"/>
        </w:rPr>
        <w:t xml:space="preserve"> hereof shall be given independent effect. Accordingly, the Borrower shall not engage in any transaction or other act otherwise permitted under any covenant contained in </w:t>
      </w:r>
      <w:r>
        <w:rPr>
          <w:rFonts w:ascii="Times New Roman" w:cs="Times New Roman" w:eastAsia="Times New Roman" w:hAnsi="Times New Roman"/>
          <w:sz w:val="16"/>
          <w:szCs w:val="16"/>
          <w:u w:val="single" w:color="auto"/>
          <w:color w:val="auto"/>
        </w:rPr>
        <w:t>Articles VIII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IX</w:t>
      </w:r>
      <w:r>
        <w:rPr>
          <w:rFonts w:ascii="Times New Roman" w:cs="Times New Roman" w:eastAsia="Times New Roman" w:hAnsi="Times New Roman"/>
          <w:sz w:val="16"/>
          <w:szCs w:val="16"/>
          <w:color w:val="auto"/>
        </w:rPr>
        <w:t xml:space="preserve">, before or after giving effect to such transaction or act, the Borrower shall or would be in breach of any other covenant contained in </w:t>
      </w:r>
      <w:r>
        <w:rPr>
          <w:rFonts w:ascii="Times New Roman" w:cs="Times New Roman" w:eastAsia="Times New Roman" w:hAnsi="Times New Roman"/>
          <w:sz w:val="16"/>
          <w:szCs w:val="16"/>
          <w:u w:val="single" w:color="auto"/>
          <w:color w:val="auto"/>
        </w:rPr>
        <w:t>Articles VIII</w:t>
      </w:r>
      <w:r>
        <w:rPr>
          <w:rFonts w:ascii="Times New Roman" w:cs="Times New Roman" w:eastAsia="Times New Roman" w:hAnsi="Times New Roman"/>
          <w:sz w:val="16"/>
          <w:szCs w:val="16"/>
          <w:color w:val="auto"/>
        </w:rPr>
        <w:t xml:space="preserve"> or</w:t>
      </w:r>
    </w:p>
    <w:p>
      <w:pPr>
        <w:spacing w:after="0"/>
        <w:rPr>
          <w:sz w:val="20"/>
          <w:szCs w:val="20"/>
          <w:color w:val="auto"/>
        </w:rPr>
      </w:pPr>
      <w:r>
        <w:rPr>
          <w:rFonts w:ascii="Times New Roman" w:cs="Times New Roman" w:eastAsia="Times New Roman" w:hAnsi="Times New Roman"/>
          <w:sz w:val="17"/>
          <w:szCs w:val="17"/>
          <w:u w:val="single" w:color="auto"/>
          <w:color w:val="auto"/>
        </w:rPr>
        <w:t>IX</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500"/>
        <w:spacing w:after="0"/>
        <w:tabs>
          <w:tab w:leader="none" w:pos="1580" w:val="left"/>
        </w:tabs>
        <w:rPr>
          <w:sz w:val="20"/>
          <w:szCs w:val="20"/>
          <w:color w:val="auto"/>
        </w:rPr>
      </w:pPr>
      <w:r>
        <w:rPr>
          <w:rFonts w:ascii="Times New Roman" w:cs="Times New Roman" w:eastAsia="Times New Roman" w:hAnsi="Times New Roman"/>
          <w:sz w:val="17"/>
          <w:szCs w:val="17"/>
          <w:color w:val="auto"/>
        </w:rPr>
        <w:t>Section 12.20</w:t>
      </w:r>
      <w:r>
        <w:rPr>
          <w:sz w:val="20"/>
          <w:szCs w:val="20"/>
          <w:color w:val="auto"/>
        </w:rPr>
        <w:tab/>
      </w:r>
      <w:r>
        <w:rPr>
          <w:rFonts w:ascii="Times New Roman" w:cs="Times New Roman" w:eastAsia="Times New Roman" w:hAnsi="Times New Roman"/>
          <w:sz w:val="16"/>
          <w:szCs w:val="16"/>
          <w:u w:val="single" w:color="auto"/>
          <w:color w:val="auto"/>
        </w:rPr>
        <w:t>No Advisory or Fiduciary Responsibility.</w:t>
      </w:r>
    </w:p>
    <w:p>
      <w:pPr>
        <w:spacing w:after="0" w:line="151" w:lineRule="exact"/>
        <w:rPr>
          <w:sz w:val="20"/>
          <w:szCs w:val="20"/>
          <w:color w:val="auto"/>
        </w:rPr>
      </w:pPr>
    </w:p>
    <w:p>
      <w:pPr>
        <w:jc w:val="both"/>
        <w:ind w:firstLine="509"/>
        <w:spacing w:after="0" w:line="230" w:lineRule="auto"/>
        <w:tabs>
          <w:tab w:leader="none" w:pos="931"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(1) hand, and the Administrative Agent, the Arranger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 and the Lenders is and has been acting solely as a principal and is not the financial advisor, agent or fiduciary, for the Borrower or any of its Affiliates, stockholders, creditors or employees or any other Person, (iii) none of the Administrative Agent, the Arranger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Arranger or Lender has advised or is currently advising the Borrower or any of its Affiliates on other matters) and none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1280"/>
          </w:cols>
          <w:pgMar w:left="300" w:top="1181" w:right="319" w:bottom="1440" w:gutter="0" w:footer="0" w:header="0"/>
        </w:sectPr>
      </w:pPr>
    </w:p>
    <w:bookmarkStart w:id="551" w:name="page552"/>
    <w:bookmarkEnd w:id="551"/>
    <w:p>
      <w:pPr>
        <w:jc w:val="both"/>
        <w:spacing w:after="0" w:line="241" w:lineRule="auto"/>
        <w:rPr>
          <w:sz w:val="20"/>
          <w:szCs w:val="20"/>
          <w:color w:val="auto"/>
        </w:rPr>
      </w:pPr>
      <w:r>
        <w:rPr>
          <w:rFonts w:ascii="Times New Roman" w:cs="Times New Roman" w:eastAsia="Times New Roman" w:hAnsi="Times New Roman"/>
          <w:sz w:val="17"/>
          <w:szCs w:val="17"/>
          <w:color w:val="auto"/>
        </w:rPr>
        <w:t>Agent, the Arranger or the Lenders has any obligation to the Borrower or any of its Affiliates with respect to the financing transactions contemplated hereby except those obligations expressly set forth herein and in the other Loan Documents, (iv) the Arranger and the Lenders and their respective Affiliates may be engaged in a broad range of transactions that involve interests that differ from, and may conflict with, those of the Borrower and its Affiliates, and none of the Administrative Agent, the Arranger or the Lenders has any obligation to disclose any of such interests by virtue of any advisory, agency or fiduciary relationship and (v) the Administrative Agent, the Arranger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40" w:lineRule="exact"/>
        <w:rPr>
          <w:sz w:val="20"/>
          <w:szCs w:val="20"/>
          <w:color w:val="auto"/>
        </w:rPr>
      </w:pPr>
    </w:p>
    <w:p>
      <w:pPr>
        <w:jc w:val="both"/>
        <w:ind w:firstLine="509"/>
        <w:spacing w:after="0" w:line="243" w:lineRule="auto"/>
        <w:tabs>
          <w:tab w:leader="none" w:pos="892"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acknowledges and agrees that each Lender, the Arranger and any Affiliate thereof may lend money to, invest in, and generally engage in any kind of business with, any of the Borrower, any Affiliate thereof or any other person or entity that may do business with or own securities of any of the foregoing, all as if such Lender, the Arranger or such Affiliate thereof were not a Lender or the Arranger or an Affiliate thereof (or an agent or any other person with any similar role under the Credit Facilities) and without any duty to account therefor to any other Lender, the Arranger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Borrower or any Affiliate of the foregoing. Each Lender, the Arranger and any Affiliate thereof may accept fees and other consideration from the Borrower or any Affiliate thereof for services in connection with this Agreement, the Credit Facilities or otherwise without having to account for the same to any other Lender, the Arranger, the Borrower or any Affiliate of the foregoing.</w:t>
      </w:r>
    </w:p>
    <w:p>
      <w:pPr>
        <w:spacing w:after="0" w:line="139"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7"/>
          <w:szCs w:val="17"/>
          <w:color w:val="auto"/>
        </w:rPr>
        <w:t xml:space="preserve">Section 12.21 </w:t>
      </w:r>
      <w:r>
        <w:rPr>
          <w:rFonts w:ascii="Times New Roman" w:cs="Times New Roman" w:eastAsia="Times New Roman" w:hAnsi="Times New Roman"/>
          <w:sz w:val="17"/>
          <w:szCs w:val="17"/>
          <w:u w:val="single" w:color="auto"/>
          <w:color w:val="auto"/>
        </w:rPr>
        <w:t>Amendment and Restatement; No Novation</w:t>
      </w:r>
      <w:r>
        <w:rPr>
          <w:rFonts w:ascii="Times New Roman" w:cs="Times New Roman" w:eastAsia="Times New Roman" w:hAnsi="Times New Roman"/>
          <w:sz w:val="17"/>
          <w:szCs w:val="17"/>
          <w:color w:val="auto"/>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Revolving Credit Commitment of the Lenders hereunder.</w:t>
      </w:r>
    </w:p>
    <w:p>
      <w:pPr>
        <w:spacing w:after="0" w:line="143"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12.22 </w:t>
      </w:r>
      <w:r>
        <w:rPr>
          <w:rFonts w:ascii="Times New Roman" w:cs="Times New Roman" w:eastAsia="Times New Roman" w:hAnsi="Times New Roman"/>
          <w:sz w:val="17"/>
          <w:szCs w:val="17"/>
          <w:u w:val="single" w:color="auto"/>
          <w:color w:val="auto"/>
        </w:rPr>
        <w:t>Inconsistencies with Other Documents</w:t>
      </w:r>
      <w:r>
        <w:rPr>
          <w:rFonts w:ascii="Times New Roman" w:cs="Times New Roman" w:eastAsia="Times New Roman" w:hAnsi="Times New Roman"/>
          <w:sz w:val="17"/>
          <w:szCs w:val="17"/>
          <w:color w:val="auto"/>
        </w:rPr>
        <w:t xml:space="preserve">. In the event there is a conflict or inconsistency between this Agreement and any other Loan Document, the terms of this Agreement shall control;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provision of the Security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1280"/>
          </w:cols>
          <w:pgMar w:left="300" w:top="1181" w:right="319" w:bottom="1440" w:gutter="0" w:footer="0" w:header="0"/>
        </w:sectPr>
      </w:pPr>
    </w:p>
    <w:bookmarkStart w:id="552" w:name="page553"/>
    <w:bookmarkEnd w:id="552"/>
    <w:p>
      <w:pPr>
        <w:jc w:val="both"/>
        <w:ind w:firstLine="505"/>
        <w:spacing w:after="0" w:line="245" w:lineRule="auto"/>
        <w:rPr>
          <w:sz w:val="20"/>
          <w:szCs w:val="20"/>
          <w:color w:val="auto"/>
        </w:rPr>
      </w:pPr>
      <w:r>
        <w:rPr>
          <w:rFonts w:ascii="Times New Roman" w:cs="Times New Roman" w:eastAsia="Times New Roman" w:hAnsi="Times New Roman"/>
          <w:sz w:val="17"/>
          <w:szCs w:val="17"/>
          <w:color w:val="auto"/>
        </w:rPr>
        <w:t xml:space="preserve">Section 12.23 </w:t>
      </w:r>
      <w:r>
        <w:rPr>
          <w:rFonts w:ascii="Times New Roman" w:cs="Times New Roman" w:eastAsia="Times New Roman" w:hAnsi="Times New Roman"/>
          <w:sz w:val="17"/>
          <w:szCs w:val="17"/>
          <w:u w:val="single" w:color="auto"/>
          <w:color w:val="auto"/>
        </w:rPr>
        <w:t>Acknowledgement and Consent to Bail-In of Affected Financial Institutions</w:t>
      </w:r>
      <w:r>
        <w:rPr>
          <w:rFonts w:ascii="Times New Roman" w:cs="Times New Roman" w:eastAsia="Times New Roman" w:hAnsi="Times New Roman"/>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37" w:lineRule="exact"/>
        <w:rPr>
          <w:sz w:val="20"/>
          <w:szCs w:val="20"/>
          <w:color w:val="auto"/>
        </w:rPr>
      </w:pPr>
    </w:p>
    <w:p>
      <w:pPr>
        <w:ind w:firstLine="509"/>
        <w:spacing w:after="0" w:line="272" w:lineRule="auto"/>
        <w:tabs>
          <w:tab w:leader="none" w:pos="875"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14"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any Bail-In Action on any such liability, including, if applicable:</w:t>
      </w:r>
    </w:p>
    <w:p>
      <w:pPr>
        <w:spacing w:after="0" w:line="161" w:lineRule="exact"/>
        <w:rPr>
          <w:rFonts w:ascii="Times New Roman" w:cs="Times New Roman" w:eastAsia="Times New Roman" w:hAnsi="Times New Roman"/>
          <w:sz w:val="17"/>
          <w:szCs w:val="17"/>
          <w:color w:val="auto"/>
        </w:rPr>
      </w:pPr>
    </w:p>
    <w:p>
      <w:pPr>
        <w:ind w:left="1340" w:hanging="327"/>
        <w:spacing w:after="0"/>
        <w:tabs>
          <w:tab w:leader="none" w:pos="1340" w:val="left"/>
        </w:tabs>
        <w:numPr>
          <w:ilvl w:val="1"/>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full or in part or cancellation of any such liability;</w:t>
      </w:r>
    </w:p>
    <w:p>
      <w:pPr>
        <w:spacing w:after="0" w:line="172" w:lineRule="exact"/>
        <w:rPr>
          <w:rFonts w:ascii="Times New Roman" w:cs="Times New Roman" w:eastAsia="Times New Roman" w:hAnsi="Times New Roman"/>
          <w:sz w:val="17"/>
          <w:szCs w:val="17"/>
          <w:color w:val="auto"/>
        </w:rPr>
      </w:pPr>
    </w:p>
    <w:p>
      <w:pPr>
        <w:jc w:val="both"/>
        <w:ind w:left="500" w:firstLine="513"/>
        <w:spacing w:after="0" w:line="252" w:lineRule="auto"/>
        <w:tabs>
          <w:tab w:leader="none" w:pos="1422" w:val="left"/>
        </w:tabs>
        <w:numPr>
          <w:ilvl w:val="1"/>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30" w:lineRule="exact"/>
        <w:rPr>
          <w:rFonts w:ascii="Times New Roman" w:cs="Times New Roman" w:eastAsia="Times New Roman" w:hAnsi="Times New Roman"/>
          <w:sz w:val="17"/>
          <w:szCs w:val="17"/>
          <w:color w:val="auto"/>
        </w:rPr>
      </w:pPr>
    </w:p>
    <w:p>
      <w:pPr>
        <w:ind w:left="1440" w:hanging="427"/>
        <w:spacing w:after="0"/>
        <w:tabs>
          <w:tab w:leader="none" w:pos="1440" w:val="left"/>
        </w:tabs>
        <w:numPr>
          <w:ilvl w:val="1"/>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variation of the terms of such liability in connection with the exercise of the Write-Down and Conversion Powers of the applicable Resolution</w:t>
      </w:r>
    </w:p>
    <w:p>
      <w:pPr>
        <w:spacing w:after="0" w:line="23"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Authority.</w:t>
      </w:r>
    </w:p>
    <w:p>
      <w:pPr>
        <w:spacing w:after="0" w:line="154" w:lineRule="exact"/>
        <w:rPr>
          <w:sz w:val="20"/>
          <w:szCs w:val="20"/>
          <w:color w:val="auto"/>
        </w:rPr>
      </w:pPr>
    </w:p>
    <w:p>
      <w:pPr>
        <w:jc w:val="both"/>
        <w:ind w:firstLine="505"/>
        <w:spacing w:after="0" w:line="242" w:lineRule="auto"/>
        <w:rPr>
          <w:sz w:val="20"/>
          <w:szCs w:val="20"/>
          <w:color w:val="auto"/>
        </w:rPr>
      </w:pPr>
      <w:r>
        <w:rPr>
          <w:rFonts w:ascii="Times New Roman" w:cs="Times New Roman" w:eastAsia="Times New Roman" w:hAnsi="Times New Roman"/>
          <w:sz w:val="17"/>
          <w:szCs w:val="17"/>
          <w:color w:val="auto"/>
        </w:rPr>
        <w:t xml:space="preserve">Section 12.24 </w:t>
      </w:r>
      <w:r>
        <w:rPr>
          <w:rFonts w:ascii="Times New Roman" w:cs="Times New Roman" w:eastAsia="Times New Roman" w:hAnsi="Times New Roman"/>
          <w:sz w:val="17"/>
          <w:szCs w:val="17"/>
          <w:u w:val="single" w:color="auto"/>
          <w:color w:val="auto"/>
        </w:rPr>
        <w:t>Acknowledgement Regarding Any Supported QFCs</w:t>
      </w:r>
      <w:r>
        <w:rPr>
          <w:rFonts w:ascii="Times New Roman" w:cs="Times New Roman" w:eastAsia="Times New Roman" w:hAnsi="Times New Roman"/>
          <w:sz w:val="17"/>
          <w:szCs w:val="17"/>
          <w:color w:val="auto"/>
        </w:rPr>
        <w:t xml:space="preserve">. To the extent that the Loan Documents </w:t>
      </w:r>
      <w:r>
        <w:rPr>
          <w:rFonts w:ascii="Times New Roman" w:cs="Times New Roman" w:eastAsia="Times New Roman" w:hAnsi="Times New Roman"/>
          <w:sz w:val="17"/>
          <w:szCs w:val="17"/>
          <w:u w:val="single" w:color="auto"/>
          <w:color w:val="auto"/>
        </w:rPr>
        <w:t>provide</w:t>
      </w:r>
      <w:r>
        <w:rPr>
          <w:rFonts w:ascii="Times New Roman" w:cs="Times New Roman" w:eastAsia="Times New Roman" w:hAnsi="Times New Roman"/>
          <w:sz w:val="17"/>
          <w:szCs w:val="17"/>
          <w:color w:val="auto"/>
        </w:rPr>
        <w:t xml:space="preserve"> support, through a guarantee or otherwise, for Hedge Agreements or any other agreement or instrument that is a QFC (such support, “</w:t>
      </w:r>
      <w:r>
        <w:rPr>
          <w:rFonts w:ascii="Times New Roman" w:cs="Times New Roman" w:eastAsia="Times New Roman" w:hAnsi="Times New Roman"/>
          <w:sz w:val="17"/>
          <w:szCs w:val="17"/>
          <w:u w:val="single" w:color="auto"/>
          <w:color w:val="auto"/>
        </w:rPr>
        <w:t>QFC Credit Support</w:t>
      </w:r>
      <w:r>
        <w:rPr>
          <w:rFonts w:ascii="Times New Roman" w:cs="Times New Roman" w:eastAsia="Times New Roman" w:hAnsi="Times New Roman"/>
          <w:sz w:val="17"/>
          <w:szCs w:val="17"/>
          <w:color w:val="auto"/>
        </w:rPr>
        <w:t>” and, each such QFC, a “</w:t>
      </w:r>
      <w:r>
        <w:rPr>
          <w:rFonts w:ascii="Times New Roman" w:cs="Times New Roman" w:eastAsia="Times New Roman" w:hAnsi="Times New Roman"/>
          <w:sz w:val="17"/>
          <w:szCs w:val="17"/>
          <w:u w:val="single" w:color="auto"/>
          <w:color w:val="auto"/>
        </w:rPr>
        <w:t>Supported QFC</w:t>
      </w:r>
      <w:r>
        <w:rPr>
          <w:rFonts w:ascii="Times New Roman" w:cs="Times New Roman" w:eastAsia="Times New Roman" w:hAnsi="Times New Roman"/>
          <w:sz w:val="17"/>
          <w:szCs w:val="17"/>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7"/>
          <w:szCs w:val="17"/>
          <w:u w:val="single" w:color="auto"/>
          <w:color w:val="auto"/>
        </w:rPr>
        <w:t>U.S. Special Resolution Regimes</w:t>
      </w:r>
      <w:r>
        <w:rPr>
          <w:rFonts w:ascii="Times New Roman" w:cs="Times New Roman" w:eastAsia="Times New Roman" w:hAnsi="Times New Roman"/>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2" w:lineRule="exact"/>
        <w:rPr>
          <w:sz w:val="20"/>
          <w:szCs w:val="20"/>
          <w:color w:val="auto"/>
        </w:rPr>
      </w:pPr>
    </w:p>
    <w:p>
      <w:pPr>
        <w:jc w:val="both"/>
        <w:ind w:firstLine="509"/>
        <w:spacing w:after="0" w:line="241" w:lineRule="auto"/>
        <w:tabs>
          <w:tab w:leader="none" w:pos="862"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 Covered Entity that is party to a Supported QFC (each, a “</w:t>
      </w:r>
      <w:r>
        <w:rPr>
          <w:rFonts w:ascii="Times New Roman" w:cs="Times New Roman" w:eastAsia="Times New Roman" w:hAnsi="Times New Roman"/>
          <w:sz w:val="17"/>
          <w:szCs w:val="17"/>
          <w:u w:val="single" w:color="auto"/>
          <w:color w:val="auto"/>
        </w:rPr>
        <w:t>Covered Party</w:t>
      </w:r>
      <w:r>
        <w:rPr>
          <w:rFonts w:ascii="Times New Roman" w:cs="Times New Roman" w:eastAsia="Times New Roman" w:hAnsi="Times New Roman"/>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1280"/>
          </w:cols>
          <w:pgMar w:left="300" w:top="1180" w:right="319" w:bottom="1440" w:gutter="0" w:footer="0" w:header="0"/>
        </w:sectPr>
      </w:pPr>
    </w:p>
    <w:bookmarkStart w:id="553" w:name="page554"/>
    <w:bookmarkEnd w:id="553"/>
    <w:p>
      <w:pPr>
        <w:jc w:val="both"/>
        <w:spacing w:after="0" w:line="254" w:lineRule="auto"/>
        <w:rPr>
          <w:sz w:val="20"/>
          <w:szCs w:val="20"/>
          <w:color w:val="auto"/>
        </w:rPr>
      </w:pPr>
      <w:r>
        <w:rPr>
          <w:rFonts w:ascii="Times New Roman" w:cs="Times New Roman" w:eastAsia="Times New Roman" w:hAnsi="Times New Roman"/>
          <w:sz w:val="17"/>
          <w:szCs w:val="17"/>
          <w:color w:val="auto"/>
        </w:rPr>
        <w:t>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6"/>
          <w:szCs w:val="16"/>
          <w:color w:val="auto"/>
        </w:rPr>
        <w:t xml:space="preserve">As used in this </w:t>
      </w:r>
      <w:r>
        <w:rPr>
          <w:rFonts w:ascii="Times New Roman" w:cs="Times New Roman" w:eastAsia="Times New Roman" w:hAnsi="Times New Roman"/>
          <w:sz w:val="16"/>
          <w:szCs w:val="16"/>
          <w:u w:val="single" w:color="auto"/>
          <w:color w:val="auto"/>
        </w:rPr>
        <w:t>Section 12.24</w:t>
      </w:r>
      <w:r>
        <w:rPr>
          <w:rFonts w:ascii="Times New Roman" w:cs="Times New Roman" w:eastAsia="Times New Roman" w:hAnsi="Times New Roman"/>
          <w:sz w:val="16"/>
          <w:szCs w:val="16"/>
          <w:color w:val="auto"/>
        </w:rPr>
        <w:t>, the following terms have the following meanings: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 party.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means any of the following:</w:t>
      </w:r>
    </w:p>
    <w:p>
      <w:pPr>
        <w:spacing w:after="0" w:line="172" w:lineRule="exact"/>
        <w:rPr>
          <w:sz w:val="20"/>
          <w:szCs w:val="20"/>
          <w:color w:val="auto"/>
        </w:rPr>
      </w:pPr>
    </w:p>
    <w:p>
      <w:pPr>
        <w:ind w:left="1340" w:hanging="327"/>
        <w:spacing w:after="0"/>
        <w:tabs>
          <w:tab w:leader="none" w:pos="1340"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entity” as that term is defined in, and interpreted in accordance with, 12 C.F.R. § 252.82(b);</w:t>
      </w:r>
    </w:p>
    <w:p>
      <w:pPr>
        <w:spacing w:after="0" w:line="172" w:lineRule="exact"/>
        <w:rPr>
          <w:rFonts w:ascii="Times New Roman" w:cs="Times New Roman" w:eastAsia="Times New Roman" w:hAnsi="Times New Roman"/>
          <w:sz w:val="17"/>
          <w:szCs w:val="17"/>
          <w:color w:val="auto"/>
        </w:rPr>
      </w:pPr>
    </w:p>
    <w:p>
      <w:pPr>
        <w:ind w:left="1380" w:hanging="367"/>
        <w:spacing w:after="0"/>
        <w:tabs>
          <w:tab w:leader="none" w:pos="1380"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bank” as that term is defined in, and interpreted in accordance with, 12 C.F.R. § 47.3(b); or</w:t>
      </w:r>
    </w:p>
    <w:p>
      <w:pPr>
        <w:spacing w:after="0" w:line="172" w:lineRule="exact"/>
        <w:rPr>
          <w:rFonts w:ascii="Times New Roman" w:cs="Times New Roman" w:eastAsia="Times New Roman" w:hAnsi="Times New Roman"/>
          <w:sz w:val="17"/>
          <w:szCs w:val="17"/>
          <w:color w:val="auto"/>
        </w:rPr>
      </w:pPr>
    </w:p>
    <w:p>
      <w:pPr>
        <w:ind w:left="1440" w:hanging="427"/>
        <w:spacing w:after="0"/>
        <w:tabs>
          <w:tab w:leader="none" w:pos="1440"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FSI” as that term is defined in, and interpreted in accordance with, 12 C.F.R. § 382.2(b).</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 12 U.S.C. 5390(c)(8)(D).</w:t>
      </w:r>
    </w:p>
    <w:p>
      <w:pPr>
        <w:spacing w:after="0" w:line="16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Signature pages to follow</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1280"/>
          </w:cols>
          <w:pgMar w:left="300" w:top="1191" w:right="319" w:bottom="1440" w:gutter="0" w:footer="0" w:header="0"/>
        </w:sectPr>
      </w:pPr>
    </w:p>
    <w:bookmarkStart w:id="554" w:name="page555"/>
    <w:bookmarkEnd w:id="554"/>
    <w:p>
      <w:pPr>
        <w:ind w:firstLine="505"/>
        <w:spacing w:after="0" w:line="272"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under seal by their duly authorized officers, all as of the day and year first written above.</w:t>
      </w:r>
    </w:p>
    <w:p>
      <w:pPr>
        <w:spacing w:after="0" w:line="1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WEALTHFRONT CORPORATION</w:t>
      </w:r>
      <w:r>
        <w:rPr>
          <w:rFonts w:ascii="Times New Roman" w:cs="Times New Roman" w:eastAsia="Times New Roman" w:hAnsi="Times New Roman"/>
          <w:sz w:val="17"/>
          <w:szCs w:val="17"/>
          <w:color w:val="auto"/>
        </w:rPr>
        <w:t>, as Borrower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260" w:type="dxa"/>
        <w:tblCellMar>
          <w:top w:w="0" w:type="dxa"/>
          <w:left w:w="0" w:type="dxa"/>
          <w:bottom w:w="0" w:type="dxa"/>
          <w:right w:w="0" w:type="dxa"/>
        </w:tblCellMar>
      </w:tblPr>
      <w:tr>
        <w:trPr>
          <w:trHeight w:val="21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 Alan Imberman</w:t>
            </w:r>
          </w:p>
        </w:tc>
      </w:tr>
      <w:tr>
        <w:trPr>
          <w:trHeight w:val="21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Alan lmberman</w:t>
            </w:r>
          </w:p>
        </w:tc>
      </w:tr>
      <w:tr>
        <w:trPr>
          <w:trHeight w:val="219"/>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40" w:type="dxa"/>
            <w:vAlign w:val="bottom"/>
          </w:tcPr>
          <w:p>
            <w:pPr>
              <w:spacing w:after="0"/>
              <w:rPr>
                <w:sz w:val="19"/>
                <w:szCs w:val="19"/>
                <w:color w:val="auto"/>
              </w:rPr>
            </w:pPr>
          </w:p>
        </w:tc>
        <w:tc>
          <w:tcPr>
            <w:tcW w:w="5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Amended and Restated Credit Agreement</w:t>
      </w:r>
    </w:p>
    <w:p>
      <w:pPr>
        <w:sectPr>
          <w:pgSz w:w="11900" w:h="16838" w:orient="portrait"/>
          <w:cols w:equalWidth="0" w:num="1">
            <w:col w:w="11280"/>
          </w:cols>
          <w:pgMar w:left="300" w:top="1255" w:right="319" w:bottom="1440" w:gutter="0" w:footer="0" w:header="0"/>
        </w:sectPr>
      </w:pPr>
    </w:p>
    <w:bookmarkStart w:id="555" w:name="page556"/>
    <w:bookmarkEnd w:id="555"/>
    <w:p>
      <w:pPr>
        <w:jc w:val="center"/>
        <w:ind w:right="-59"/>
        <w:spacing w:after="0"/>
        <w:rPr>
          <w:sz w:val="20"/>
          <w:szCs w:val="20"/>
          <w:color w:val="auto"/>
        </w:rPr>
      </w:pPr>
      <w:r>
        <w:rPr>
          <w:rFonts w:ascii="Times New Roman" w:cs="Times New Roman" w:eastAsia="Times New Roman" w:hAnsi="Times New Roman"/>
          <w:sz w:val="17"/>
          <w:szCs w:val="17"/>
          <w:b w:val="1"/>
          <w:bCs w:val="1"/>
          <w:color w:val="262626"/>
        </w:rPr>
        <w:t>AGENTS AND LENDERS:</w:t>
      </w:r>
    </w:p>
    <w:p>
      <w:pPr>
        <w:spacing w:after="0" w:line="257" w:lineRule="exact"/>
        <w:rPr>
          <w:sz w:val="20"/>
          <w:szCs w:val="20"/>
          <w:color w:val="auto"/>
        </w:rPr>
      </w:pPr>
    </w:p>
    <w:p>
      <w:pPr>
        <w:ind w:left="4120" w:right="320"/>
        <w:spacing w:after="0" w:line="277" w:lineRule="auto"/>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 as Administrative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Swingline Lender, Issuing Lender and Lender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120" w:type="dxa"/>
        <w:tblCellMar>
          <w:top w:w="0" w:type="dxa"/>
          <w:left w:w="0" w:type="dxa"/>
          <w:bottom w:w="0" w:type="dxa"/>
          <w:right w:w="0" w:type="dxa"/>
        </w:tblCellMar>
      </w:tblPr>
      <w:tr>
        <w:trPr>
          <w:trHeight w:val="21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 Nick Brokke</w:t>
            </w:r>
          </w:p>
        </w:tc>
      </w:tr>
      <w:tr>
        <w:trPr>
          <w:trHeight w:val="21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Nick Brokke</w:t>
            </w:r>
          </w:p>
        </w:tc>
      </w:tr>
      <w:tr>
        <w:trPr>
          <w:trHeight w:val="22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40" w:type="dxa"/>
            <w:vAlign w:val="bottom"/>
          </w:tcPr>
          <w:p>
            <w:pPr>
              <w:spacing w:after="0"/>
              <w:rPr>
                <w:sz w:val="19"/>
                <w:szCs w:val="19"/>
                <w:color w:val="auto"/>
              </w:rPr>
            </w:pPr>
          </w:p>
        </w:tc>
        <w:tc>
          <w:tcPr>
            <w:tcW w:w="5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Amended and Restated Credit Agreement</w:t>
      </w:r>
    </w:p>
    <w:p>
      <w:pPr>
        <w:sectPr>
          <w:pgSz w:w="11900" w:h="16838" w:orient="portrait"/>
          <w:cols w:equalWidth="0" w:num="1">
            <w:col w:w="10140"/>
          </w:cols>
          <w:pgMar w:left="1440" w:top="1334" w:right="319" w:bottom="1440" w:gutter="0" w:footer="0" w:header="0"/>
        </w:sectPr>
      </w:pPr>
    </w:p>
    <w:bookmarkStart w:id="556" w:name="page557"/>
    <w:bookmarkEnd w:id="556"/>
    <w:p>
      <w:pPr>
        <w:ind w:left="3580"/>
        <w:spacing w:after="0"/>
        <w:rPr>
          <w:sz w:val="20"/>
          <w:szCs w:val="20"/>
          <w:color w:val="auto"/>
        </w:rPr>
      </w:pPr>
      <w:r>
        <w:rPr>
          <w:rFonts w:ascii="Times New Roman" w:cs="Times New Roman" w:eastAsia="Times New Roman" w:hAnsi="Times New Roman"/>
          <w:sz w:val="17"/>
          <w:szCs w:val="17"/>
          <w:b w:val="1"/>
          <w:bCs w:val="1"/>
          <w:color w:val="auto"/>
        </w:rPr>
        <w:t>CITIBANK, N.A.</w:t>
      </w:r>
      <w:r>
        <w:rPr>
          <w:rFonts w:ascii="Times New Roman" w:cs="Times New Roman" w:eastAsia="Times New Roman" w:hAnsi="Times New Roman"/>
          <w:sz w:val="17"/>
          <w:szCs w:val="17"/>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580" w:type="dxa"/>
        <w:tblCellMar>
          <w:top w:w="0" w:type="dxa"/>
          <w:left w:w="0" w:type="dxa"/>
          <w:bottom w:w="0" w:type="dxa"/>
          <w:right w:w="0" w:type="dxa"/>
        </w:tblCellMar>
      </w:tblPr>
      <w:tr>
        <w:trPr>
          <w:trHeight w:val="219"/>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 Michael Seidenfeld</w:t>
            </w:r>
          </w:p>
        </w:tc>
      </w:tr>
      <w:tr>
        <w:trPr>
          <w:trHeight w:val="221"/>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0" w:type="dxa"/>
            <w:vAlign w:val="bottom"/>
          </w:tcPr>
          <w:p>
            <w:pPr>
              <w:spacing w:after="0"/>
              <w:rPr>
                <w:sz w:val="19"/>
                <w:szCs w:val="19"/>
                <w:color w:val="auto"/>
              </w:rPr>
            </w:pPr>
          </w:p>
        </w:tc>
        <w:tc>
          <w:tcPr>
            <w:tcW w:w="5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Michael Seidenfeld</w:t>
            </w:r>
          </w:p>
        </w:tc>
      </w:tr>
      <w:tr>
        <w:trPr>
          <w:trHeight w:val="24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Amended and Restated Credit Agreement</w:t>
      </w:r>
    </w:p>
    <w:p>
      <w:pPr>
        <w:sectPr>
          <w:pgSz w:w="11900" w:h="16838" w:orient="portrait"/>
          <w:cols w:equalWidth="0" w:num="1">
            <w:col w:w="10140"/>
          </w:cols>
          <w:pgMar w:left="1440" w:top="1334" w:right="319" w:bottom="1440" w:gutter="0" w:footer="0" w:header="0"/>
        </w:sectPr>
      </w:pPr>
    </w:p>
    <w:bookmarkStart w:id="557" w:name="page558"/>
    <w:bookmarkEnd w:id="557"/>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GOLDMAN SACHS BANK USA</w:t>
      </w:r>
      <w:r>
        <w:rPr>
          <w:rFonts w:ascii="Times New Roman" w:cs="Times New Roman" w:eastAsia="Times New Roman" w:hAnsi="Times New Roman"/>
          <w:sz w:val="17"/>
          <w:szCs w:val="17"/>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580" w:type="dxa"/>
        <w:tblCellMar>
          <w:top w:w="0" w:type="dxa"/>
          <w:left w:w="0" w:type="dxa"/>
          <w:bottom w:w="0" w:type="dxa"/>
          <w:right w:w="0" w:type="dxa"/>
        </w:tblCellMar>
      </w:tblPr>
      <w:tr>
        <w:trPr>
          <w:trHeight w:val="21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 Dan Starr</w:t>
            </w:r>
          </w:p>
        </w:tc>
      </w:tr>
      <w:tr>
        <w:trPr>
          <w:trHeight w:val="211"/>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0" w:type="dxa"/>
            <w:vAlign w:val="bottom"/>
          </w:tcPr>
          <w:p>
            <w:pPr>
              <w:spacing w:after="0"/>
              <w:rPr>
                <w:sz w:val="18"/>
                <w:szCs w:val="18"/>
                <w:color w:val="auto"/>
              </w:rPr>
            </w:pPr>
          </w:p>
        </w:tc>
        <w:tc>
          <w:tcPr>
            <w:tcW w:w="5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Dan Starr</w:t>
            </w:r>
          </w:p>
        </w:tc>
      </w:tr>
      <w:tr>
        <w:trPr>
          <w:trHeight w:val="24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Amended and Restated Credit Agreement</w:t>
      </w:r>
    </w:p>
    <w:p>
      <w:pPr>
        <w:sectPr>
          <w:pgSz w:w="11900" w:h="16838" w:orient="portrait"/>
          <w:cols w:equalWidth="0" w:num="1">
            <w:col w:w="10140"/>
          </w:cols>
          <w:pgMar w:left="1440" w:top="1292" w:right="319" w:bottom="1440" w:gutter="0" w:footer="0" w:header="0"/>
        </w:sectPr>
      </w:pPr>
    </w:p>
    <w:bookmarkStart w:id="558" w:name="page559"/>
    <w:bookmarkEnd w:id="558"/>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JPMORGAN CHASE BANK, N.A.</w:t>
      </w:r>
      <w:r>
        <w:rPr>
          <w:rFonts w:ascii="Times New Roman" w:cs="Times New Roman" w:eastAsia="Times New Roman" w:hAnsi="Times New Roman"/>
          <w:sz w:val="17"/>
          <w:szCs w:val="17"/>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580" w:type="dxa"/>
        <w:tblCellMar>
          <w:top w:w="0" w:type="dxa"/>
          <w:left w:w="0" w:type="dxa"/>
          <w:bottom w:w="0" w:type="dxa"/>
          <w:right w:w="0" w:type="dxa"/>
        </w:tblCellMar>
      </w:tblPr>
      <w:tr>
        <w:trPr>
          <w:trHeight w:val="219"/>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 Sonu Dhillon</w:t>
            </w:r>
          </w:p>
        </w:tc>
      </w:tr>
      <w:tr>
        <w:trPr>
          <w:trHeight w:val="221"/>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0" w:type="dxa"/>
            <w:vAlign w:val="bottom"/>
          </w:tcPr>
          <w:p>
            <w:pPr>
              <w:spacing w:after="0"/>
              <w:rPr>
                <w:sz w:val="19"/>
                <w:szCs w:val="19"/>
                <w:color w:val="auto"/>
              </w:rPr>
            </w:pPr>
          </w:p>
        </w:tc>
        <w:tc>
          <w:tcPr>
            <w:tcW w:w="5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Sonu Dhillon</w:t>
            </w:r>
          </w:p>
        </w:tc>
      </w:tr>
      <w:tr>
        <w:trPr>
          <w:trHeight w:val="25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Amended and Restated Credit Agreement</w:t>
      </w:r>
    </w:p>
    <w:p>
      <w:pPr>
        <w:sectPr>
          <w:pgSz w:w="11900" w:h="16838" w:orient="portrait"/>
          <w:cols w:equalWidth="0" w:num="1">
            <w:col w:w="10140"/>
          </w:cols>
          <w:pgMar w:left="1440" w:top="1292" w:right="319" w:bottom="1440" w:gutter="0" w:footer="0" w:header="0"/>
        </w:sectPr>
      </w:pPr>
    </w:p>
    <w:bookmarkStart w:id="559" w:name="page560"/>
    <w:bookmarkEnd w:id="559"/>
    <w:p>
      <w:pPr>
        <w:ind w:left="3580"/>
        <w:spacing w:after="0"/>
        <w:rPr>
          <w:sz w:val="20"/>
          <w:szCs w:val="20"/>
          <w:color w:val="auto"/>
        </w:rPr>
      </w:pPr>
      <w:r>
        <w:rPr>
          <w:rFonts w:ascii="Times New Roman" w:cs="Times New Roman" w:eastAsia="Times New Roman" w:hAnsi="Times New Roman"/>
          <w:sz w:val="17"/>
          <w:szCs w:val="17"/>
          <w:b w:val="1"/>
          <w:bCs w:val="1"/>
          <w:color w:val="auto"/>
        </w:rPr>
        <w:t>KEYBANK NATIONAL ASSOCIATION</w:t>
      </w:r>
      <w:r>
        <w:rPr>
          <w:rFonts w:ascii="Times New Roman" w:cs="Times New Roman" w:eastAsia="Times New Roman" w:hAnsi="Times New Roman"/>
          <w:sz w:val="17"/>
          <w:szCs w:val="17"/>
          <w:color w:val="auto"/>
        </w:rPr>
        <w:t>, as</w:t>
      </w:r>
    </w:p>
    <w:p>
      <w:pPr>
        <w:spacing w:after="0" w:line="2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580" w:type="dxa"/>
        <w:tblCellMar>
          <w:top w:w="0" w:type="dxa"/>
          <w:left w:w="0" w:type="dxa"/>
          <w:bottom w:w="0" w:type="dxa"/>
          <w:right w:w="0" w:type="dxa"/>
        </w:tblCellMar>
      </w:tblPr>
      <w:tr>
        <w:trPr>
          <w:trHeight w:val="219"/>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 Geoff Smith</w:t>
            </w:r>
          </w:p>
        </w:tc>
      </w:tr>
      <w:tr>
        <w:trPr>
          <w:trHeight w:val="221"/>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0" w:type="dxa"/>
            <w:vAlign w:val="bottom"/>
          </w:tcPr>
          <w:p>
            <w:pPr>
              <w:spacing w:after="0"/>
              <w:rPr>
                <w:sz w:val="19"/>
                <w:szCs w:val="19"/>
                <w:color w:val="auto"/>
              </w:rPr>
            </w:pPr>
          </w:p>
        </w:tc>
        <w:tc>
          <w:tcPr>
            <w:tcW w:w="5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Geoff Smith</w:t>
            </w:r>
          </w:p>
        </w:tc>
      </w:tr>
      <w:tr>
        <w:trPr>
          <w:trHeight w:val="24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Amended and Restated Credit Agreement</w:t>
      </w:r>
    </w:p>
    <w:p>
      <w:pPr>
        <w:sectPr>
          <w:pgSz w:w="11900" w:h="16838" w:orient="portrait"/>
          <w:cols w:equalWidth="0" w:num="1">
            <w:col w:w="10140"/>
          </w:cols>
          <w:pgMar w:left="1440" w:top="1292" w:right="319" w:bottom="1440" w:gutter="0" w:footer="0" w:header="0"/>
        </w:sectPr>
      </w:pPr>
    </w:p>
    <w:bookmarkStart w:id="560" w:name="page561"/>
    <w:bookmarkEnd w:id="560"/>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ROYAL BANK OF CANADA</w:t>
      </w:r>
      <w:r>
        <w:rPr>
          <w:rFonts w:ascii="Times New Roman" w:cs="Times New Roman" w:eastAsia="Times New Roman" w:hAnsi="Times New Roman"/>
          <w:sz w:val="17"/>
          <w:szCs w:val="17"/>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580" w:type="dxa"/>
        <w:tblCellMar>
          <w:top w:w="0" w:type="dxa"/>
          <w:left w:w="0" w:type="dxa"/>
          <w:bottom w:w="0" w:type="dxa"/>
          <w:right w:w="0" w:type="dxa"/>
        </w:tblCellMar>
      </w:tblPr>
      <w:tr>
        <w:trPr>
          <w:trHeight w:val="219"/>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 Harsh Grewal</w:t>
            </w:r>
          </w:p>
        </w:tc>
      </w:tr>
      <w:tr>
        <w:trPr>
          <w:trHeight w:val="221"/>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0" w:type="dxa"/>
            <w:vAlign w:val="bottom"/>
          </w:tcPr>
          <w:p>
            <w:pPr>
              <w:spacing w:after="0"/>
              <w:rPr>
                <w:sz w:val="19"/>
                <w:szCs w:val="19"/>
                <w:color w:val="auto"/>
              </w:rPr>
            </w:pPr>
          </w:p>
        </w:tc>
        <w:tc>
          <w:tcPr>
            <w:tcW w:w="5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Harsh Grewal</w:t>
            </w:r>
          </w:p>
        </w:tc>
      </w:tr>
      <w:tr>
        <w:trPr>
          <w:trHeight w:val="25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Amended and Restated Credit Agreement</w:t>
      </w:r>
    </w:p>
    <w:p>
      <w:pPr>
        <w:sectPr>
          <w:pgSz w:w="11900" w:h="16838" w:orient="portrait"/>
          <w:cols w:equalWidth="0" w:num="1">
            <w:col w:w="10140"/>
          </w:cols>
          <w:pgMar w:left="1440" w:top="1292" w:right="319" w:bottom="1440" w:gutter="0" w:footer="0" w:header="0"/>
        </w:sectPr>
      </w:pPr>
    </w:p>
    <w:bookmarkStart w:id="561" w:name="page562"/>
    <w:bookmarkEnd w:id="561"/>
    <w:p>
      <w:pPr>
        <w:ind w:left="3580"/>
        <w:spacing w:after="0"/>
        <w:rPr>
          <w:sz w:val="20"/>
          <w:szCs w:val="20"/>
          <w:color w:val="auto"/>
        </w:rPr>
      </w:pPr>
      <w:r>
        <w:rPr>
          <w:rFonts w:ascii="Times New Roman" w:cs="Times New Roman" w:eastAsia="Times New Roman" w:hAnsi="Times New Roman"/>
          <w:sz w:val="17"/>
          <w:szCs w:val="17"/>
          <w:b w:val="1"/>
          <w:bCs w:val="1"/>
          <w:color w:val="auto"/>
        </w:rPr>
        <w:t>FIRST-CITIZENS BANK &amp; TRUST</w:t>
      </w:r>
    </w:p>
    <w:p>
      <w:pPr>
        <w:spacing w:after="0" w:line="2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580" w:type="dxa"/>
        <w:tblCellMar>
          <w:top w:w="0" w:type="dxa"/>
          <w:left w:w="0" w:type="dxa"/>
          <w:bottom w:w="0" w:type="dxa"/>
          <w:right w:w="0" w:type="dxa"/>
        </w:tblCellMar>
      </w:tblPr>
      <w:tr>
        <w:trPr>
          <w:trHeight w:val="219"/>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gridSpan w:val="3"/>
          </w:tcPr>
          <w:p>
            <w:pPr>
              <w:jc w:val="center"/>
              <w:ind w:right="4296"/>
              <w:spacing w:after="0"/>
              <w:rPr>
                <w:sz w:val="20"/>
                <w:szCs w:val="20"/>
                <w:color w:val="auto"/>
              </w:rPr>
            </w:pPr>
            <w:r>
              <w:rPr>
                <w:rFonts w:ascii="Times New Roman" w:cs="Times New Roman" w:eastAsia="Times New Roman" w:hAnsi="Times New Roman"/>
                <w:sz w:val="17"/>
                <w:szCs w:val="17"/>
                <w:color w:val="auto"/>
                <w:w w:val="99"/>
              </w:rPr>
              <w:t>/s/ Alexander Addario</w:t>
            </w:r>
          </w:p>
        </w:tc>
      </w:tr>
      <w:tr>
        <w:trPr>
          <w:trHeight w:val="227"/>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Alexander Addario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40" w:type="dxa"/>
            <w:vAlign w:val="bottom"/>
          </w:tcPr>
          <w:p>
            <w:pPr>
              <w:spacing w:after="0"/>
              <w:rPr>
                <w:sz w:val="20"/>
                <w:szCs w:val="20"/>
                <w:color w:val="auto"/>
              </w:rPr>
            </w:pPr>
          </w:p>
        </w:tc>
        <w:tc>
          <w:tcPr>
            <w:tcW w:w="5800" w:type="dxa"/>
            <w:vAlign w:val="bottom"/>
            <w:tcBorders>
              <w:bottom w:val="single" w:sz="8" w:color="auto"/>
            </w:tcBorders>
            <w:gridSpan w:val="2"/>
          </w:tcPr>
          <w:p>
            <w:pPr>
              <w:jc w:val="center"/>
              <w:ind w:right="4576"/>
              <w:spacing w:after="0"/>
              <w:rPr>
                <w:sz w:val="20"/>
                <w:szCs w:val="20"/>
                <w:color w:val="auto"/>
              </w:rPr>
            </w:pPr>
            <w:r>
              <w:rPr>
                <w:rFonts w:ascii="Times New Roman" w:cs="Times New Roman" w:eastAsia="Times New Roman" w:hAnsi="Times New Roman"/>
                <w:sz w:val="17"/>
                <w:szCs w:val="17"/>
                <w:color w:val="auto"/>
              </w:rPr>
              <w:t>Market Manager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Amended and Restated Credit Agreement</w:t>
      </w:r>
    </w:p>
    <w:p>
      <w:pPr>
        <w:sectPr>
          <w:pgSz w:w="11900" w:h="16838" w:orient="portrait"/>
          <w:cols w:equalWidth="0" w:num="1">
            <w:col w:w="10140"/>
          </w:cols>
          <w:pgMar w:left="1440" w:top="1293" w:right="319" w:bottom="1440" w:gutter="0" w:footer="0" w:header="0"/>
        </w:sectPr>
      </w:pPr>
    </w:p>
    <w:bookmarkStart w:id="562" w:name="page563"/>
    <w:bookmarkEnd w:id="562"/>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A-1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FORM OF REVOLVING CREDIT NOTE</w:t>
      </w:r>
    </w:p>
    <w:p>
      <w:pPr>
        <w:sectPr>
          <w:pgSz w:w="11900" w:h="16838" w:orient="portrait"/>
          <w:cols w:equalWidth="0" w:num="1">
            <w:col w:w="9019"/>
          </w:cols>
          <w:pgMar w:left="1440" w:top="1248" w:right="1440" w:bottom="1440" w:gutter="0" w:footer="0" w:header="0"/>
        </w:sectPr>
      </w:pPr>
    </w:p>
    <w:bookmarkStart w:id="563" w:name="page564"/>
    <w:bookmarkEnd w:id="563"/>
    <w:p>
      <w:pPr>
        <w:jc w:val="center"/>
        <w:spacing w:after="0"/>
        <w:rPr>
          <w:sz w:val="20"/>
          <w:szCs w:val="20"/>
          <w:color w:val="auto"/>
        </w:rPr>
      </w:pPr>
      <w:r>
        <w:rPr>
          <w:rFonts w:ascii="Times New Roman" w:cs="Times New Roman" w:eastAsia="Times New Roman" w:hAnsi="Times New Roman"/>
          <w:sz w:val="15"/>
          <w:szCs w:val="15"/>
          <w:u w:val="single" w:color="auto"/>
          <w:color w:val="auto"/>
        </w:rPr>
        <w:t>REVOLVING CREDIT NOTE</w:t>
      </w:r>
    </w:p>
    <w:p>
      <w:pPr>
        <w:spacing w:after="0" w:line="174"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5"/>
          <w:szCs w:val="15"/>
          <w:color w:val="auto"/>
        </w:rPr>
        <w:t>__________, 20___</w:t>
      </w: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FOR VALUE RECEIVED, the undersigned,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promises to pay to _______________ (the</w:t>
      </w:r>
    </w:p>
    <w:p>
      <w:pPr>
        <w:spacing w:after="0" w:line="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Lender</w:t>
      </w:r>
      <w:r>
        <w:rPr>
          <w:rFonts w:ascii="Times New Roman" w:cs="Times New Roman" w:eastAsia="Times New Roman" w:hAnsi="Times New Roman"/>
          <w:sz w:val="15"/>
          <w:szCs w:val="15"/>
          <w:color w:val="auto"/>
        </w:rPr>
        <w:t>”), at the place and times provided in the Credit Agreement referred to below, the unpaid principal amount of all Revolving Credit Loans of the Lender from time to time pursuant to that certain Amended and Restated Credit Agreement, dated as of October 14, 2025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the Borrower, the Lenders party thereto and Wells Fargo Bank, National Association, as Administrative Agent. Capitalized terms used herein and not defined herein shall have the meanings assigned thereto in the Credit Agreement.</w:t>
      </w:r>
    </w:p>
    <w:p>
      <w:pPr>
        <w:spacing w:after="0" w:line="325"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 xml:space="preserve">The unpaid principal amount of this Revolving Credit Note from time to time outstanding is payable as provided in the Credit Agreement and shall bear interest as provided in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of the Credit Agreement. All payments of principal and interest on this Revolving Credit Note shall be payable in Dollars in immediately available funds as provided in the Credit Agreement.</w:t>
      </w:r>
    </w:p>
    <w:p>
      <w:pPr>
        <w:spacing w:after="0" w:line="135"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This Revolving Credit Note is entitled to the benefits of, and evidences Obligations incurred under, the Credit Agreement, to which reference is made for a description of the security for this Revolving Credit Note and for a statement of the terms and conditions on which the Borrower is permitted and required to make prepayments and repayments of principal of the Obligations evidenced by this Revolving Credit Note and on which such Obligations may be declared to be immediately due and payable.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THIS REVOLVING CREDIT NOTE SHALL BE GOVERNED BY, CONSTRUED AND ENFORCED IN ACCORDANCE WITH THE LAWS OF THE STATE OF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YORK.</w:t>
      </w:r>
    </w:p>
    <w:p>
      <w:pPr>
        <w:spacing w:after="0" w:line="175" w:lineRule="exact"/>
        <w:rPr>
          <w:sz w:val="20"/>
          <w:szCs w:val="20"/>
          <w:color w:val="auto"/>
        </w:rPr>
      </w:pPr>
    </w:p>
    <w:p>
      <w:pPr>
        <w:jc w:val="both"/>
        <w:ind w:firstLine="505"/>
        <w:spacing w:after="0" w:line="285" w:lineRule="auto"/>
        <w:rPr>
          <w:sz w:val="20"/>
          <w:szCs w:val="20"/>
          <w:color w:val="auto"/>
        </w:rPr>
      </w:pPr>
      <w:r>
        <w:rPr>
          <w:rFonts w:ascii="Times New Roman" w:cs="Times New Roman" w:eastAsia="Times New Roman" w:hAnsi="Times New Roman"/>
          <w:sz w:val="15"/>
          <w:szCs w:val="15"/>
          <w:color w:val="auto"/>
        </w:rPr>
        <w:t>The Borrower hereby waives all requirements as to diligence, presentment, demand of payment, protest and (except as required by the Credit Agreement) notice of any kind with respect to this Revolving Credit Note.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Revolving Credit Note</w:t>
      </w:r>
    </w:p>
    <w:p>
      <w:pPr>
        <w:sectPr>
          <w:pgSz w:w="11900" w:h="16838" w:orient="portrait"/>
          <w:cols w:equalWidth="0" w:num="1">
            <w:col w:w="11280"/>
          </w:cols>
          <w:pgMar w:left="300" w:top="1247" w:right="31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5"/>
          <w:szCs w:val="15"/>
          <w:color w:val="auto"/>
        </w:rPr>
        <w:t>IN WITNESS WHEREOF, the undersigned has executed this Revolving Credit Note under seal as of the day and year first above written.</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WEALTHFRONT CORPORATION</w:t>
      </w:r>
    </w:p>
    <w:p>
      <w:pPr>
        <w:spacing w:after="0" w:line="36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20955</wp:posOffset>
            </wp:positionV>
            <wp:extent cx="389191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3891915" cy="6985"/>
                    </a:xfrm>
                    <a:prstGeom prst="rect">
                      <a:avLst/>
                    </a:prstGeom>
                    <a:noFill/>
                  </pic:spPr>
                </pic:pic>
              </a:graphicData>
            </a:graphic>
          </wp:anchor>
        </w:drawing>
      </w:r>
    </w:p>
    <w:p>
      <w:pPr>
        <w:spacing w:after="0" w:line="1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Name: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Revolving Credit Note</w:t>
      </w:r>
    </w:p>
    <w:p>
      <w:pPr>
        <w:sectPr>
          <w:pgSz w:w="11900" w:h="16838" w:orient="portrait"/>
          <w:cols w:equalWidth="0" w:num="1">
            <w:col w:w="9659"/>
          </w:cols>
          <w:pgMar w:left="800" w:top="1248" w:right="1440" w:bottom="1440" w:gutter="0" w:footer="0" w:header="0"/>
        </w:sectPr>
      </w:pPr>
    </w:p>
    <w:bookmarkStart w:id="565" w:name="page566"/>
    <w:bookmarkEnd w:id="565"/>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A-2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FORM OF SWINGLINE NOTE</w:t>
      </w:r>
    </w:p>
    <w:p>
      <w:pPr>
        <w:sectPr>
          <w:pgSz w:w="11900" w:h="16838" w:orient="portrait"/>
          <w:cols w:equalWidth="0" w:num="1">
            <w:col w:w="9019"/>
          </w:cols>
          <w:pgMar w:left="1440" w:top="1248" w:right="1440" w:bottom="1440" w:gutter="0" w:footer="0" w:header="0"/>
        </w:sectPr>
      </w:pPr>
    </w:p>
    <w:bookmarkStart w:id="566" w:name="page567"/>
    <w:bookmarkEnd w:id="566"/>
    <w:p>
      <w:pPr>
        <w:jc w:val="center"/>
        <w:spacing w:after="0"/>
        <w:rPr>
          <w:sz w:val="20"/>
          <w:szCs w:val="20"/>
          <w:color w:val="auto"/>
        </w:rPr>
      </w:pPr>
      <w:r>
        <w:rPr>
          <w:rFonts w:ascii="Times New Roman" w:cs="Times New Roman" w:eastAsia="Times New Roman" w:hAnsi="Times New Roman"/>
          <w:sz w:val="15"/>
          <w:szCs w:val="15"/>
          <w:u w:val="single" w:color="auto"/>
          <w:color w:val="auto"/>
        </w:rPr>
        <w:t>SWINGLINE NOTE</w:t>
      </w:r>
    </w:p>
    <w:p>
      <w:pPr>
        <w:spacing w:after="0" w:line="174"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5"/>
          <w:szCs w:val="15"/>
          <w:color w:val="auto"/>
        </w:rPr>
        <w:t>__________, 20___</w:t>
      </w:r>
    </w:p>
    <w:p>
      <w:pPr>
        <w:spacing w:after="0" w:line="353"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5"/>
          <w:szCs w:val="15"/>
          <w:color w:val="auto"/>
        </w:rPr>
        <w:t>FOR VALUE RECEIVED, the undersigned,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promises to pay to WELLS FARGO BANK, NATIONAL ASSOCIATION (the “</w:t>
      </w:r>
      <w:r>
        <w:rPr>
          <w:rFonts w:ascii="Times New Roman" w:cs="Times New Roman" w:eastAsia="Times New Roman" w:hAnsi="Times New Roman"/>
          <w:sz w:val="15"/>
          <w:szCs w:val="15"/>
          <w:u w:val="single" w:color="auto"/>
          <w:color w:val="auto"/>
        </w:rPr>
        <w:t>Lender</w:t>
      </w:r>
      <w:r>
        <w:rPr>
          <w:rFonts w:ascii="Times New Roman" w:cs="Times New Roman" w:eastAsia="Times New Roman" w:hAnsi="Times New Roman"/>
          <w:sz w:val="15"/>
          <w:szCs w:val="15"/>
          <w:color w:val="auto"/>
        </w:rPr>
        <w:t>”), at the place and times provided in the Credit Agreement referred to below, the unpaid principal amount of all Swingline Loans of the Lender from time to time pursuant to that certain Amended and Restated Credit Agreement, dated as of October 14, 2025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the Borrower, the Lenders party thereto and Wells Fargo Bank, National Association, as Administrative Agent. Capitalized terms used herein and not defined herein shall have the meanings assigned thereto in the Credit Agreement.</w:t>
      </w:r>
    </w:p>
    <w:p>
      <w:pPr>
        <w:spacing w:after="0" w:line="141" w:lineRule="exact"/>
        <w:rPr>
          <w:sz w:val="20"/>
          <w:szCs w:val="20"/>
          <w:color w:val="auto"/>
        </w:rPr>
      </w:pPr>
    </w:p>
    <w:p>
      <w:pPr>
        <w:jc w:val="both"/>
        <w:ind w:firstLine="505"/>
        <w:spacing w:after="0" w:line="270" w:lineRule="auto"/>
        <w:rPr>
          <w:sz w:val="20"/>
          <w:szCs w:val="20"/>
          <w:color w:val="auto"/>
        </w:rPr>
      </w:pPr>
      <w:r>
        <w:rPr>
          <w:rFonts w:ascii="Times New Roman" w:cs="Times New Roman" w:eastAsia="Times New Roman" w:hAnsi="Times New Roman"/>
          <w:sz w:val="15"/>
          <w:szCs w:val="15"/>
          <w:color w:val="auto"/>
        </w:rPr>
        <w:t xml:space="preserve">The unpaid principal amount of this Swingline Note from time to time outstanding is payable as provided in the Credit Agreement and shall bear interest as provided in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of the Credit Agreement. Swingline Loans refunded as Revolving Credit Loans in accordance with </w:t>
      </w:r>
      <w:r>
        <w:rPr>
          <w:rFonts w:ascii="Times New Roman" w:cs="Times New Roman" w:eastAsia="Times New Roman" w:hAnsi="Times New Roman"/>
          <w:sz w:val="15"/>
          <w:szCs w:val="15"/>
          <w:u w:val="single" w:color="auto"/>
          <w:color w:val="auto"/>
        </w:rPr>
        <w:t>Section 2.2(b)</w:t>
      </w:r>
      <w:r>
        <w:rPr>
          <w:rFonts w:ascii="Times New Roman" w:cs="Times New Roman" w:eastAsia="Times New Roman" w:hAnsi="Times New Roman"/>
          <w:sz w:val="15"/>
          <w:szCs w:val="15"/>
          <w:color w:val="auto"/>
        </w:rPr>
        <w:t xml:space="preserve"> of the Credit Agreement shall be payable by the Borrower as Revolving Credit Loans pursuant to the Revolving Credit Notes, and shall not be payable under this Swingline Note as Swingline Loans. All payments of principal and interest on this Swingline Note shall be payable in Dollars in immediately available funds as provided in the Credit Agreement.</w:t>
      </w:r>
    </w:p>
    <w:p>
      <w:pPr>
        <w:spacing w:after="0" w:line="128"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This Swingline Note is entitled to the benefits of, and evidences Obligations incurred under, the Credit Agreement, to which reference is made for a description of the security for this Swingline Note and for a statement of the terms and conditions on which the Borrower is permitted and required to make prepayments and repayments of principal of the Obligations evidenced by this Swingline Note and on which such Obligations may be declared to be immediately due and payable.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THIS SWINGLINE NOTE SHALL BE GOVERNED BY, CONSTRUED AND ENFORCED IN ACCORDANCE WITH THE LAWS OF THE STATE OF NEW YORK.</w:t>
      </w:r>
    </w:p>
    <w:p>
      <w:pPr>
        <w:spacing w:after="0" w:line="185" w:lineRule="exact"/>
        <w:rPr>
          <w:sz w:val="20"/>
          <w:szCs w:val="20"/>
          <w:color w:val="auto"/>
        </w:rPr>
      </w:pPr>
    </w:p>
    <w:p>
      <w:pPr>
        <w:jc w:val="both"/>
        <w:ind w:firstLine="505"/>
        <w:spacing w:after="0" w:line="285" w:lineRule="auto"/>
        <w:rPr>
          <w:sz w:val="20"/>
          <w:szCs w:val="20"/>
          <w:color w:val="auto"/>
        </w:rPr>
      </w:pPr>
      <w:r>
        <w:rPr>
          <w:rFonts w:ascii="Times New Roman" w:cs="Times New Roman" w:eastAsia="Times New Roman" w:hAnsi="Times New Roman"/>
          <w:sz w:val="15"/>
          <w:szCs w:val="15"/>
          <w:color w:val="auto"/>
        </w:rPr>
        <w:t>The Borrower hereby waives all requirements as to diligence, presentment, demand of payment, protest and (except as required by the Credit Agreement) notice of any kind with respect to this Swingline Note.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Swingline Note</w:t>
      </w:r>
    </w:p>
    <w:p>
      <w:pPr>
        <w:sectPr>
          <w:pgSz w:w="11900" w:h="16838" w:orient="portrait"/>
          <w:cols w:equalWidth="0" w:num="1">
            <w:col w:w="11280"/>
          </w:cols>
          <w:pgMar w:left="300" w:top="1248" w:right="31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5"/>
          <w:szCs w:val="15"/>
          <w:color w:val="auto"/>
        </w:rPr>
        <w:t>IN WITNESS WHEREOF, the undersigned has executed this Swingline Note under seal as of the day and year first above written.</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WEALTHFRONT CORPORATION</w:t>
      </w:r>
    </w:p>
    <w:p>
      <w:pPr>
        <w:spacing w:after="0" w:line="36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20955</wp:posOffset>
            </wp:positionV>
            <wp:extent cx="389191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3891915" cy="6985"/>
                    </a:xfrm>
                    <a:prstGeom prst="rect">
                      <a:avLst/>
                    </a:prstGeom>
                    <a:noFill/>
                  </pic:spPr>
                </pic:pic>
              </a:graphicData>
            </a:graphic>
          </wp:anchor>
        </w:drawing>
      </w:r>
    </w:p>
    <w:p>
      <w:pPr>
        <w:spacing w:after="0" w:line="1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Name: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Swingline Note</w:t>
      </w:r>
    </w:p>
    <w:p>
      <w:pPr>
        <w:sectPr>
          <w:pgSz w:w="11900" w:h="16838" w:orient="portrait"/>
          <w:cols w:equalWidth="0" w:num="1">
            <w:col w:w="9659"/>
          </w:cols>
          <w:pgMar w:left="800" w:top="1248" w:right="1440" w:bottom="1440" w:gutter="0" w:footer="0" w:header="0"/>
        </w:sectPr>
      </w:pPr>
    </w:p>
    <w:bookmarkStart w:id="568" w:name="page569"/>
    <w:bookmarkEnd w:id="568"/>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B</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FORM OF NOTICE OF BORROWING</w:t>
      </w:r>
    </w:p>
    <w:p>
      <w:pPr>
        <w:sectPr>
          <w:pgSz w:w="11900" w:h="16838" w:orient="portrait"/>
          <w:cols w:equalWidth="0" w:num="1">
            <w:col w:w="9019"/>
          </w:cols>
          <w:pgMar w:left="1440" w:top="1248" w:right="1440" w:bottom="1440" w:gutter="0" w:footer="0" w:header="0"/>
        </w:sectPr>
      </w:pPr>
    </w:p>
    <w:bookmarkStart w:id="569" w:name="page570"/>
    <w:bookmarkEnd w:id="569"/>
    <w:p>
      <w:pPr>
        <w:jc w:val="center"/>
        <w:spacing w:after="0"/>
        <w:rPr>
          <w:sz w:val="20"/>
          <w:szCs w:val="20"/>
          <w:color w:val="auto"/>
        </w:rPr>
      </w:pPr>
      <w:r>
        <w:rPr>
          <w:rFonts w:ascii="Times New Roman" w:cs="Times New Roman" w:eastAsia="Times New Roman" w:hAnsi="Times New Roman"/>
          <w:sz w:val="15"/>
          <w:szCs w:val="15"/>
          <w:u w:val="single" w:color="auto"/>
          <w:color w:val="auto"/>
        </w:rPr>
        <w:t>NOTICE OF BORROWING</w:t>
      </w:r>
    </w:p>
    <w:p>
      <w:pPr>
        <w:spacing w:after="0" w:line="3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color w:val="auto"/>
        </w:rPr>
        <w:t>Dated as of: 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MAC D 1109-019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1525 West W.T. Harris Blvd.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Charlotte, North Carolina 28262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Syndication Agency Services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85"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 xml:space="preserve">This irrevocable Notice of Borrowing is delivered to you pursuant to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of the Amended and Restated Credit Agreement dated as of October 14, 2025 (the “</w:t>
      </w:r>
      <w:r>
        <w:rPr>
          <w:rFonts w:ascii="Times New Roman" w:cs="Times New Roman" w:eastAsia="Times New Roman" w:hAnsi="Times New Roman"/>
          <w:sz w:val="15"/>
          <w:szCs w:val="15"/>
          <w:u w:val="single" w:color="auto"/>
          <w:color w:val="auto"/>
        </w:rPr>
        <w:t>Credit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by and among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the Lenders party thereto and Wells Fargo Bank, National Association, as Administrative Agent. Capitalized terms used herein and not defined herein shall have the meanings assigned thereto in the Credit Agreement.</w:t>
      </w:r>
    </w:p>
    <w:p>
      <w:pPr>
        <w:spacing w:after="0" w:line="131" w:lineRule="exact"/>
        <w:rPr>
          <w:sz w:val="20"/>
          <w:szCs w:val="20"/>
          <w:color w:val="auto"/>
        </w:rPr>
      </w:pPr>
    </w:p>
    <w:p>
      <w:pPr>
        <w:ind w:left="500"/>
        <w:spacing w:after="0"/>
        <w:tabs>
          <w:tab w:leader="none" w:pos="760" w:val="left"/>
        </w:tabs>
        <w:rPr>
          <w:sz w:val="20"/>
          <w:szCs w:val="20"/>
          <w:color w:val="auto"/>
        </w:rPr>
      </w:pPr>
      <w:r>
        <w:rPr>
          <w:rFonts w:ascii="Times New Roman" w:cs="Times New Roman" w:eastAsia="Times New Roman" w:hAnsi="Times New Roman"/>
          <w:sz w:val="15"/>
          <w:szCs w:val="15"/>
          <w:color w:val="auto"/>
        </w:rPr>
        <w:t>1.</w:t>
        <w:tab/>
        <w:t xml:space="preserve">The Borrower hereby requests that the Lenders make: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check the applicable box</w:t>
      </w:r>
      <w:r>
        <w:rPr>
          <w:rFonts w:ascii="Times New Roman" w:cs="Times New Roman" w:eastAsia="Times New Roman" w:hAnsi="Times New Roman"/>
          <w:sz w:val="15"/>
          <w:szCs w:val="15"/>
          <w:b w:val="1"/>
          <w:bCs w:val="1"/>
          <w:color w:val="auto"/>
        </w:rPr>
        <w:t>]</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 Swingline Loan</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 Revolving Credit Loan</w:t>
      </w: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to the Borrower in the aggregate principal amount of $___________. (Complete with an amount in accordance with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of the Credit Agreement.)</w:t>
      </w:r>
    </w:p>
    <w:p>
      <w:pPr>
        <w:spacing w:after="0" w:line="22" w:lineRule="exact"/>
        <w:rPr>
          <w:sz w:val="20"/>
          <w:szCs w:val="20"/>
          <w:color w:val="auto"/>
        </w:rPr>
      </w:pPr>
    </w:p>
    <w:p>
      <w:pPr>
        <w:ind w:firstLine="509"/>
        <w:spacing w:after="0" w:line="278" w:lineRule="auto"/>
        <w:tabs>
          <w:tab w:leader="none" w:pos="794" w:val="left"/>
        </w:tabs>
        <w:numPr>
          <w:ilvl w:val="0"/>
          <w:numId w:val="4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hereby requests that such Loan(s) be made on the following Business Day: _____________________. (Complete with a Business Day in accordance with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of the Credit Agreement for Revolving Credit Loans or Swingline Loans).</w:t>
      </w:r>
    </w:p>
    <w:p>
      <w:pPr>
        <w:spacing w:after="0" w:line="120" w:lineRule="exact"/>
        <w:rPr>
          <w:rFonts w:ascii="Times New Roman" w:cs="Times New Roman" w:eastAsia="Times New Roman" w:hAnsi="Times New Roman"/>
          <w:sz w:val="15"/>
          <w:szCs w:val="15"/>
          <w:color w:val="auto"/>
        </w:rPr>
      </w:pPr>
    </w:p>
    <w:p>
      <w:pPr>
        <w:ind w:left="780" w:hanging="271"/>
        <w:spacing w:after="0"/>
        <w:tabs>
          <w:tab w:leader="none" w:pos="780" w:val="left"/>
        </w:tabs>
        <w:numPr>
          <w:ilvl w:val="0"/>
          <w:numId w:val="4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hereby requests that such Loan(s) bear interest at the following interest rate,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the Applicable Margin, as set forth below:</w:t>
      </w:r>
    </w:p>
    <w:p>
      <w:pPr>
        <w:spacing w:after="0" w:line="17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u w:val="single" w:color="auto"/>
          <w:color w:val="auto"/>
        </w:rPr>
        <w:t>Interest Rate</w:t>
      </w:r>
      <w:r>
        <w:rPr>
          <w:rFonts w:ascii="Times New Roman" w:cs="Times New Roman" w:eastAsia="Times New Roman" w:hAnsi="Times New Roman"/>
          <w:sz w:val="20"/>
          <w:szCs w:val="20"/>
          <w:u w:val="single" w:color="auto"/>
          <w:color w:val="auto"/>
          <w:vertAlign w:val="superscript"/>
        </w:rPr>
        <w:t>2</w:t>
      </w:r>
    </w:p>
    <w:p>
      <w:pPr>
        <w:ind w:left="20"/>
        <w:spacing w:after="0"/>
        <w:rPr>
          <w:sz w:val="20"/>
          <w:szCs w:val="20"/>
          <w:color w:val="auto"/>
        </w:rPr>
      </w:pPr>
      <w:r>
        <w:rPr>
          <w:rFonts w:ascii="Times New Roman" w:cs="Times New Roman" w:eastAsia="Times New Roman" w:hAnsi="Times New Roman"/>
          <w:sz w:val="15"/>
          <w:szCs w:val="15"/>
          <w:u w:val="single" w:color="auto"/>
          <w:color w:val="auto"/>
        </w:rPr>
        <w:t>Component of Loan</w:t>
      </w:r>
      <w:r>
        <w:rPr>
          <w:rFonts w:ascii="Times New Roman" w:cs="Times New Roman" w:eastAsia="Times New Roman" w:hAnsi="Times New Roman"/>
          <w:sz w:val="20"/>
          <w:szCs w:val="20"/>
          <w:u w:val="single" w:color="auto"/>
          <w:color w:val="auto"/>
          <w:vertAlign w:val="superscript"/>
        </w:rPr>
        <w:t>1</w:t>
      </w:r>
    </w:p>
    <w:p>
      <w:pPr>
        <w:spacing w:after="0" w:line="1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Base Rate</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Adjusted Daily Simple SOFR</w:t>
      </w:r>
    </w:p>
    <w:p>
      <w:pPr>
        <w:spacing w:after="0" w:line="259" w:lineRule="exact"/>
        <w:rPr>
          <w:sz w:val="20"/>
          <w:szCs w:val="20"/>
          <w:color w:val="auto"/>
        </w:rPr>
      </w:pPr>
    </w:p>
    <w:p>
      <w:pPr>
        <w:ind w:firstLine="509"/>
        <w:spacing w:after="0" w:line="285" w:lineRule="auto"/>
        <w:tabs>
          <w:tab w:leader="none" w:pos="865" w:val="left"/>
        </w:tabs>
        <w:numPr>
          <w:ilvl w:val="0"/>
          <w:numId w:val="4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principal amount of all Loans and L/C Obligations outstanding as of the date hereof (including the Loan(s) requested herein) does not exceed the maximum amount permitted to be outstanding pursuant to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12814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1281430" cy="6985"/>
                    </a:xfrm>
                    <a:prstGeom prst="rect">
                      <a:avLst/>
                    </a:prstGeom>
                    <a:noFill/>
                  </pic:spPr>
                </pic:pic>
              </a:graphicData>
            </a:graphic>
          </wp:anchor>
        </w:drawing>
      </w:r>
    </w:p>
    <w:p>
      <w:pPr>
        <w:spacing w:after="0" w:line="200" w:lineRule="exact"/>
        <w:rPr>
          <w:sz w:val="20"/>
          <w:szCs w:val="20"/>
          <w:color w:val="auto"/>
        </w:rPr>
      </w:pPr>
    </w:p>
    <w:p>
      <w:pPr>
        <w:ind w:left="100" w:hanging="96"/>
        <w:spacing w:after="0"/>
        <w:tabs>
          <w:tab w:leader="none" w:pos="100" w:val="left"/>
        </w:tabs>
        <w:numPr>
          <w:ilvl w:val="0"/>
          <w:numId w:val="4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Complete with the Dollar amount of that portion of the overall Loan requested that is to bear interest at the selected interest rate.</w:t>
      </w:r>
    </w:p>
    <w:p>
      <w:pPr>
        <w:ind w:left="100" w:hanging="96"/>
        <w:spacing w:after="0" w:line="231" w:lineRule="auto"/>
        <w:tabs>
          <w:tab w:leader="none" w:pos="100" w:val="left"/>
        </w:tabs>
        <w:numPr>
          <w:ilvl w:val="0"/>
          <w:numId w:val="4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Complete with (i) the Base Rate or Adjusted Daily Simple SOFR for Revolving Credit Loans or (ii) the Base Rate for Swingline Loans.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47" w:lineRule="exact"/>
        <w:rPr>
          <w:rFonts w:ascii="Times New Roman" w:cs="Times New Roman" w:eastAsia="Times New Roman" w:hAnsi="Times New Roman"/>
          <w:sz w:val="18"/>
          <w:szCs w:val="18"/>
          <w:color w:val="auto"/>
          <w:vertAlign w:val="superscript"/>
        </w:rPr>
      </w:pPr>
    </w:p>
    <w:p>
      <w:pPr>
        <w:ind w:left="48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Form of Notice of Borrowing</w:t>
      </w:r>
    </w:p>
    <w:p>
      <w:pPr>
        <w:sectPr>
          <w:pgSz w:w="11900" w:h="16838" w:orient="portrait"/>
          <w:cols w:equalWidth="0" w:num="1">
            <w:col w:w="11280"/>
          </w:cols>
          <w:pgMar w:left="300" w:top="1248" w:right="319" w:bottom="1440" w:gutter="0" w:footer="0" w:header="0"/>
        </w:sectPr>
      </w:pPr>
    </w:p>
    <w:bookmarkStart w:id="570" w:name="page571"/>
    <w:bookmarkEnd w:id="570"/>
    <w:p>
      <w:pPr>
        <w:ind w:left="-20" w:firstLine="509"/>
        <w:spacing w:after="0" w:line="285" w:lineRule="auto"/>
        <w:tabs>
          <w:tab w:leader="none" w:pos="764" w:val="left"/>
        </w:tabs>
        <w:numPr>
          <w:ilvl w:val="0"/>
          <w:numId w:val="4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conditions applicable to the Loan(s) requested herein as set forth in the Credit Agreement have been satisfied as of the date hereof and will remain satisfied to the date of such Loan.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Notice of Borrowing</w:t>
      </w:r>
    </w:p>
    <w:p>
      <w:pPr>
        <w:sectPr>
          <w:pgSz w:w="11900" w:h="16838" w:orient="portrait"/>
          <w:cols w:equalWidth="0" w:num="1">
            <w:col w:w="11260"/>
          </w:cols>
          <w:pgMar w:left="320" w:top="1247" w:right="31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5"/>
          <w:szCs w:val="15"/>
          <w:color w:val="auto"/>
        </w:rPr>
        <w:t>IN WITNESS WHEREOF, the undersigned has executed this Notice of Borrowing as of the day and year first written above.</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WEALTHFRONT CORPORATION</w:t>
      </w:r>
    </w:p>
    <w:p>
      <w:pPr>
        <w:spacing w:after="0" w:line="36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20955</wp:posOffset>
            </wp:positionV>
            <wp:extent cx="389191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3891915" cy="6985"/>
                    </a:xfrm>
                    <a:prstGeom prst="rect">
                      <a:avLst/>
                    </a:prstGeom>
                    <a:noFill/>
                  </pic:spPr>
                </pic:pic>
              </a:graphicData>
            </a:graphic>
          </wp:anchor>
        </w:drawing>
      </w:r>
    </w:p>
    <w:p>
      <w:pPr>
        <w:spacing w:after="0" w:line="1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Name: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Notice of Borrowing</w:t>
      </w:r>
    </w:p>
    <w:p>
      <w:pPr>
        <w:sectPr>
          <w:pgSz w:w="11900" w:h="16838" w:orient="portrait"/>
          <w:cols w:equalWidth="0" w:num="1">
            <w:col w:w="9659"/>
          </w:cols>
          <w:pgMar w:left="800" w:top="1247" w:right="1440" w:bottom="1440" w:gutter="0" w:footer="0" w:header="0"/>
        </w:sectPr>
      </w:pPr>
    </w:p>
    <w:bookmarkStart w:id="572" w:name="page573"/>
    <w:bookmarkEnd w:id="572"/>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EXHIBIT 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FORM OF NOTICE OF ACCOUNT DESIGNATION</w:t>
      </w:r>
    </w:p>
    <w:p>
      <w:pPr>
        <w:sectPr>
          <w:pgSz w:w="11900" w:h="16838" w:orient="portrait"/>
          <w:cols w:equalWidth="0" w:num="1">
            <w:col w:w="9019"/>
          </w:cols>
          <w:pgMar w:left="1440" w:top="1248" w:right="1440" w:bottom="1440" w:gutter="0" w:footer="0" w:header="0"/>
        </w:sectPr>
      </w:pPr>
    </w:p>
    <w:bookmarkStart w:id="573" w:name="page574"/>
    <w:bookmarkEnd w:id="573"/>
    <w:p>
      <w:pPr>
        <w:jc w:val="center"/>
        <w:spacing w:after="0"/>
        <w:rPr>
          <w:sz w:val="20"/>
          <w:szCs w:val="20"/>
          <w:color w:val="auto"/>
        </w:rPr>
      </w:pPr>
      <w:r>
        <w:rPr>
          <w:rFonts w:ascii="Times New Roman" w:cs="Times New Roman" w:eastAsia="Times New Roman" w:hAnsi="Times New Roman"/>
          <w:sz w:val="15"/>
          <w:szCs w:val="15"/>
          <w:u w:val="single" w:color="auto"/>
          <w:color w:val="auto"/>
        </w:rPr>
        <w:t>NOTICE OF ACCOUNT DESIGNATION</w:t>
      </w:r>
    </w:p>
    <w:p>
      <w:pPr>
        <w:spacing w:after="0" w:line="34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color w:val="auto"/>
        </w:rPr>
        <w:t>Dated as of: 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MAC D 1109-019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1525 West W.T. Harris Blvd.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Charlotte, North Carolina 28262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Syndication Agency Services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85"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 xml:space="preserve">This Notice of Account Designation is delivered to you pursuant to </w:t>
      </w:r>
      <w:r>
        <w:rPr>
          <w:rFonts w:ascii="Times New Roman" w:cs="Times New Roman" w:eastAsia="Times New Roman" w:hAnsi="Times New Roman"/>
          <w:sz w:val="15"/>
          <w:szCs w:val="15"/>
          <w:u w:val="single" w:color="auto"/>
          <w:color w:val="auto"/>
        </w:rPr>
        <w:t>Section 2.3(b)</w:t>
      </w:r>
      <w:r>
        <w:rPr>
          <w:rFonts w:ascii="Times New Roman" w:cs="Times New Roman" w:eastAsia="Times New Roman" w:hAnsi="Times New Roman"/>
          <w:sz w:val="15"/>
          <w:szCs w:val="15"/>
          <w:color w:val="auto"/>
        </w:rPr>
        <w:t xml:space="preserve"> of the Amended and Restated Credit Agreement dated as of October 14, 2025 (the “</w:t>
      </w:r>
      <w:r>
        <w:rPr>
          <w:rFonts w:ascii="Times New Roman" w:cs="Times New Roman" w:eastAsia="Times New Roman" w:hAnsi="Times New Roman"/>
          <w:sz w:val="15"/>
          <w:szCs w:val="15"/>
          <w:u w:val="single" w:color="auto"/>
          <w:color w:val="auto"/>
        </w:rPr>
        <w:t>Credit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by and among Wealthfront Corporation, a Delaware corporation, as Borrower, the Lenders party thereto and Wells Fargo Bank, National Association, as Administrative Agent. Capitalized terms used herein and not defined herein shall have the meanings assigned thereto in the Credit Agreement.</w:t>
      </w:r>
    </w:p>
    <w:p>
      <w:pPr>
        <w:spacing w:after="0" w:line="135" w:lineRule="exact"/>
        <w:rPr>
          <w:sz w:val="20"/>
          <w:szCs w:val="20"/>
          <w:color w:val="auto"/>
        </w:rPr>
      </w:pPr>
    </w:p>
    <w:p>
      <w:pPr>
        <w:ind w:left="500"/>
        <w:spacing w:after="0"/>
        <w:tabs>
          <w:tab w:leader="none" w:pos="760" w:val="left"/>
        </w:tabs>
        <w:rPr>
          <w:sz w:val="20"/>
          <w:szCs w:val="20"/>
          <w:color w:val="auto"/>
        </w:rPr>
      </w:pPr>
      <w:r>
        <w:rPr>
          <w:rFonts w:ascii="Times New Roman" w:cs="Times New Roman" w:eastAsia="Times New Roman" w:hAnsi="Times New Roman"/>
          <w:sz w:val="15"/>
          <w:szCs w:val="15"/>
          <w:color w:val="auto"/>
        </w:rPr>
        <w:t>1.</w:t>
        <w:tab/>
        <w:t>The Administrative Agent is hereby authorized to disburse all Loan proceeds into the following account(s):</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____________________________</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Bank Name: ____________</w:t>
      </w:r>
    </w:p>
    <w:p>
      <w:pPr>
        <w:spacing w:after="0" w:line="1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ABA Routing Number: _________</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Account Number: _____________</w:t>
      </w:r>
    </w:p>
    <w:p>
      <w:pPr>
        <w:spacing w:after="0" w:line="169" w:lineRule="exact"/>
        <w:rPr>
          <w:sz w:val="20"/>
          <w:szCs w:val="20"/>
          <w:color w:val="auto"/>
        </w:rPr>
      </w:pPr>
    </w:p>
    <w:p>
      <w:pPr>
        <w:ind w:left="3560" w:right="1120" w:hanging="3051"/>
        <w:spacing w:after="0" w:line="519" w:lineRule="auto"/>
        <w:tabs>
          <w:tab w:leader="none" w:pos="771" w:val="left"/>
        </w:tabs>
        <w:numPr>
          <w:ilvl w:val="0"/>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authorization shall remain in effect until revoked or until a subsequent Notice of Account Designation is provided to the Administrative Agent. [Remainder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Notice of Account Designation</w:t>
      </w:r>
    </w:p>
    <w:p>
      <w:pPr>
        <w:sectPr>
          <w:pgSz w:w="11900" w:h="16838" w:orient="portrait"/>
          <w:cols w:equalWidth="0" w:num="1">
            <w:col w:w="11280"/>
          </w:cols>
          <w:pgMar w:left="300" w:top="1248" w:right="31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5"/>
          <w:szCs w:val="15"/>
          <w:color w:val="auto"/>
        </w:rPr>
        <w:t>IN WITNESS WHEREOF, the undersigned has executed this Notice of Account Designation as of the day and year first written above.</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WEALTHFRONT CORPORATION</w:t>
      </w:r>
    </w:p>
    <w:p>
      <w:pPr>
        <w:spacing w:after="0" w:line="36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20955</wp:posOffset>
            </wp:positionV>
            <wp:extent cx="389191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3891915" cy="6985"/>
                    </a:xfrm>
                    <a:prstGeom prst="rect">
                      <a:avLst/>
                    </a:prstGeom>
                    <a:noFill/>
                  </pic:spPr>
                </pic:pic>
              </a:graphicData>
            </a:graphic>
          </wp:anchor>
        </w:drawing>
      </w:r>
    </w:p>
    <w:p>
      <w:pPr>
        <w:spacing w:after="0" w:line="1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Name: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Notice of Account Designation</w:t>
      </w:r>
    </w:p>
    <w:p>
      <w:pPr>
        <w:sectPr>
          <w:pgSz w:w="11900" w:h="16838" w:orient="portrait"/>
          <w:cols w:equalWidth="0" w:num="1">
            <w:col w:w="9659"/>
          </w:cols>
          <w:pgMar w:left="800" w:top="1248" w:right="1440" w:bottom="1440" w:gutter="0" w:footer="0" w:header="0"/>
        </w:sectPr>
      </w:pPr>
    </w:p>
    <w:bookmarkStart w:id="575" w:name="page576"/>
    <w:bookmarkEnd w:id="575"/>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FORM OF NOTICE OF PREPAYMENT</w:t>
      </w:r>
    </w:p>
    <w:p>
      <w:pPr>
        <w:sectPr>
          <w:pgSz w:w="11900" w:h="16838" w:orient="portrait"/>
          <w:cols w:equalWidth="0" w:num="1">
            <w:col w:w="9019"/>
          </w:cols>
          <w:pgMar w:left="1440" w:top="1249" w:right="1440" w:bottom="1440" w:gutter="0" w:footer="0" w:header="0"/>
        </w:sectPr>
      </w:pPr>
    </w:p>
    <w:bookmarkStart w:id="576" w:name="page577"/>
    <w:bookmarkEnd w:id="576"/>
    <w:p>
      <w:pPr>
        <w:jc w:val="center"/>
        <w:spacing w:after="0"/>
        <w:rPr>
          <w:sz w:val="20"/>
          <w:szCs w:val="20"/>
          <w:color w:val="auto"/>
        </w:rPr>
      </w:pPr>
      <w:r>
        <w:rPr>
          <w:rFonts w:ascii="Times New Roman" w:cs="Times New Roman" w:eastAsia="Times New Roman" w:hAnsi="Times New Roman"/>
          <w:sz w:val="15"/>
          <w:szCs w:val="15"/>
          <w:u w:val="single" w:color="auto"/>
          <w:color w:val="auto"/>
        </w:rPr>
        <w:t>NOTICE OF PREPAYMENT</w:t>
      </w:r>
    </w:p>
    <w:p>
      <w:pPr>
        <w:spacing w:after="0" w:line="3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color w:val="auto"/>
        </w:rPr>
        <w:t>Dated as of: 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MAC D 1109-019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1525 West W.T. Harris Blvd. Charlotte, North Carolina 28262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Syndication Agency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74" w:lineRule="exact"/>
        <w:rPr>
          <w:sz w:val="20"/>
          <w:szCs w:val="20"/>
          <w:color w:val="auto"/>
        </w:rPr>
      </w:pPr>
    </w:p>
    <w:p>
      <w:pPr>
        <w:jc w:val="both"/>
        <w:ind w:firstLine="505"/>
        <w:spacing w:after="0" w:line="281" w:lineRule="auto"/>
        <w:rPr>
          <w:sz w:val="20"/>
          <w:szCs w:val="20"/>
          <w:color w:val="auto"/>
        </w:rPr>
      </w:pPr>
      <w:r>
        <w:rPr>
          <w:rFonts w:ascii="Times New Roman" w:cs="Times New Roman" w:eastAsia="Times New Roman" w:hAnsi="Times New Roman"/>
          <w:sz w:val="15"/>
          <w:szCs w:val="15"/>
          <w:color w:val="auto"/>
        </w:rPr>
        <w:t xml:space="preserve">This irrevocable Notice of Prepayment is delivered to you pursuant to </w:t>
      </w:r>
      <w:r>
        <w:rPr>
          <w:rFonts w:ascii="Times New Roman" w:cs="Times New Roman" w:eastAsia="Times New Roman" w:hAnsi="Times New Roman"/>
          <w:sz w:val="15"/>
          <w:szCs w:val="15"/>
          <w:u w:val="single" w:color="auto"/>
          <w:color w:val="auto"/>
        </w:rPr>
        <w:t>Section 2.4(c)</w:t>
      </w:r>
      <w:r>
        <w:rPr>
          <w:rFonts w:ascii="Times New Roman" w:cs="Times New Roman" w:eastAsia="Times New Roman" w:hAnsi="Times New Roman"/>
          <w:sz w:val="15"/>
          <w:szCs w:val="15"/>
          <w:color w:val="auto"/>
        </w:rPr>
        <w:t xml:space="preserve"> of the Amended and Restated Credit Agreement dated as of October 14, 2025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the Lenders party thereto and Wells Fargo Bank, National Association, as Administrative Agent. Capitalized terms used herein and not defined herein shall have the meanings assigned thereto in the Credit Agreement.</w:t>
      </w:r>
    </w:p>
    <w:p>
      <w:pPr>
        <w:spacing w:after="0" w:line="115" w:lineRule="exact"/>
        <w:rPr>
          <w:sz w:val="20"/>
          <w:szCs w:val="20"/>
          <w:color w:val="auto"/>
        </w:rPr>
      </w:pPr>
    </w:p>
    <w:p>
      <w:pPr>
        <w:ind w:firstLine="509"/>
        <w:spacing w:after="0" w:line="306" w:lineRule="auto"/>
        <w:tabs>
          <w:tab w:leader="none" w:pos="844" w:val="left"/>
        </w:tabs>
        <w:numPr>
          <w:ilvl w:val="0"/>
          <w:numId w:val="4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hereby provides notice to the Administrative Agent that it shall repay the following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Base Rate Loans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and/or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SOFR Loans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_______________. (Complete with an amount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of the Credit Agreement.)</w:t>
      </w:r>
    </w:p>
    <w:p>
      <w:pPr>
        <w:spacing w:after="0" w:line="96" w:lineRule="exact"/>
        <w:rPr>
          <w:rFonts w:ascii="Times New Roman" w:cs="Times New Roman" w:eastAsia="Times New Roman" w:hAnsi="Times New Roman"/>
          <w:sz w:val="15"/>
          <w:szCs w:val="15"/>
          <w:color w:val="auto"/>
        </w:rPr>
      </w:pPr>
    </w:p>
    <w:p>
      <w:pPr>
        <w:ind w:left="780" w:hanging="271"/>
        <w:spacing w:after="0"/>
        <w:tabs>
          <w:tab w:leader="none" w:pos="780" w:val="left"/>
        </w:tabs>
        <w:numPr>
          <w:ilvl w:val="0"/>
          <w:numId w:val="4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Loan(s) to be prepaid consist of: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check each applicable box</w:t>
      </w:r>
      <w:r>
        <w:rPr>
          <w:rFonts w:ascii="Times New Roman" w:cs="Times New Roman" w:eastAsia="Times New Roman" w:hAnsi="Times New Roman"/>
          <w:sz w:val="15"/>
          <w:szCs w:val="15"/>
          <w:b w:val="1"/>
          <w:bCs w:val="1"/>
          <w:color w:val="auto"/>
        </w:rPr>
        <w:t>]</w:t>
      </w:r>
    </w:p>
    <w:p>
      <w:pPr>
        <w:spacing w:after="0" w:line="1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a Swingline Loan</w:t>
      </w:r>
    </w:p>
    <w:p>
      <w:pPr>
        <w:spacing w:after="0" w:line="18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a Revolving Credit Loan</w:t>
      </w:r>
    </w:p>
    <w:p>
      <w:pPr>
        <w:spacing w:after="0" w:line="174" w:lineRule="exact"/>
        <w:rPr>
          <w:sz w:val="20"/>
          <w:szCs w:val="20"/>
          <w:color w:val="auto"/>
        </w:rPr>
      </w:pPr>
    </w:p>
    <w:p>
      <w:pPr>
        <w:jc w:val="both"/>
        <w:ind w:firstLine="509"/>
        <w:spacing w:after="0" w:line="274" w:lineRule="auto"/>
        <w:tabs>
          <w:tab w:leader="none" w:pos="782" w:val="left"/>
        </w:tabs>
        <w:numPr>
          <w:ilvl w:val="0"/>
          <w:numId w:val="4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shall repay the above-referenced Loans on the following Business Day: _______________. (Complete with a date no earlier than (i) the same Business Day as of the date of this Notice of Prepayment with respect to any Swingline Loan or Base Rate Loan and (ii) three (3) U.S. Government Securities Business Days subsequent to date of this Notice of Prepayment with respect to any SOFR Loan.)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Notice of Prepayment</w:t>
      </w:r>
    </w:p>
    <w:p>
      <w:pPr>
        <w:sectPr>
          <w:pgSz w:w="11900" w:h="16838" w:orient="portrait"/>
          <w:cols w:equalWidth="0" w:num="1">
            <w:col w:w="11280"/>
          </w:cols>
          <w:pgMar w:left="300" w:top="1247" w:right="31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5"/>
          <w:szCs w:val="15"/>
          <w:color w:val="auto"/>
        </w:rPr>
        <w:t>IN WITNESS WHEREOF, the undersigned has executed this Notice of Prepayment as of the day and year first written above.</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WEALTHFRONT CORPORATION</w:t>
      </w:r>
    </w:p>
    <w:p>
      <w:pPr>
        <w:spacing w:after="0" w:line="36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20955</wp:posOffset>
            </wp:positionV>
            <wp:extent cx="389191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3891915" cy="6985"/>
                    </a:xfrm>
                    <a:prstGeom prst="rect">
                      <a:avLst/>
                    </a:prstGeom>
                    <a:noFill/>
                  </pic:spPr>
                </pic:pic>
              </a:graphicData>
            </a:graphic>
          </wp:anchor>
        </w:drawing>
      </w:r>
    </w:p>
    <w:p>
      <w:pPr>
        <w:spacing w:after="0" w:line="1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Name: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Notice of Prepayment</w:t>
      </w:r>
    </w:p>
    <w:p>
      <w:pPr>
        <w:sectPr>
          <w:pgSz w:w="11900" w:h="16838" w:orient="portrait"/>
          <w:cols w:equalWidth="0" w:num="1">
            <w:col w:w="9659"/>
          </w:cols>
          <w:pgMar w:left="800" w:top="1247" w:right="1440" w:bottom="1440" w:gutter="0" w:footer="0" w:header="0"/>
        </w:sectPr>
      </w:pPr>
    </w:p>
    <w:bookmarkStart w:id="578" w:name="page579"/>
    <w:bookmarkEnd w:id="578"/>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RESERVED</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1247" w:right="1440" w:bottom="1440" w:gutter="0" w:footer="0" w:header="0"/>
        </w:sectPr>
      </w:pPr>
    </w:p>
    <w:bookmarkStart w:id="579" w:name="page580"/>
    <w:bookmarkEnd w:id="579"/>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EXHIBIT F</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FORM OF COMPLIANCE CERTIFICATE</w:t>
      </w:r>
    </w:p>
    <w:p>
      <w:pPr>
        <w:sectPr>
          <w:pgSz w:w="11900" w:h="16838" w:orient="portrait"/>
          <w:cols w:equalWidth="0" w:num="1">
            <w:col w:w="9019"/>
          </w:cols>
          <w:pgMar w:left="1440" w:top="1248" w:right="1440" w:bottom="1440" w:gutter="0" w:footer="0" w:header="0"/>
        </w:sectPr>
      </w:pPr>
    </w:p>
    <w:bookmarkStart w:id="580" w:name="page581"/>
    <w:bookmarkEnd w:id="580"/>
    <w:p>
      <w:pPr>
        <w:jc w:val="center"/>
        <w:spacing w:after="0"/>
        <w:rPr>
          <w:sz w:val="20"/>
          <w:szCs w:val="20"/>
          <w:color w:val="auto"/>
        </w:rPr>
      </w:pPr>
      <w:r>
        <w:rPr>
          <w:rFonts w:ascii="Times New Roman" w:cs="Times New Roman" w:eastAsia="Times New Roman" w:hAnsi="Times New Roman"/>
          <w:sz w:val="15"/>
          <w:szCs w:val="15"/>
          <w:u w:val="single" w:color="auto"/>
          <w:color w:val="auto"/>
        </w:rPr>
        <w:t>COMPLIANCE CERTIFICATE</w:t>
      </w:r>
    </w:p>
    <w:p>
      <w:pPr>
        <w:spacing w:after="0" w:line="17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color w:val="auto"/>
        </w:rPr>
        <w:t>Dated as of: _____________</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undersigned Responsible Officer, on behalf of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hereby certifies to the Administrative Agent and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Lenders, each as defined in the Credit Agreement referred to below, as follows:</w:t>
      </w:r>
    </w:p>
    <w:p>
      <w:pPr>
        <w:spacing w:after="0" w:line="169" w:lineRule="exact"/>
        <w:rPr>
          <w:sz w:val="20"/>
          <w:szCs w:val="20"/>
          <w:color w:val="auto"/>
        </w:rPr>
      </w:pPr>
    </w:p>
    <w:p>
      <w:pPr>
        <w:jc w:val="both"/>
        <w:ind w:firstLine="509"/>
        <w:spacing w:after="0" w:line="274" w:lineRule="auto"/>
        <w:tabs>
          <w:tab w:leader="none" w:pos="772"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certificate is delivered to you pursuant to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color w:val="auto"/>
        </w:rPr>
        <w:t xml:space="preserve"> of the Amended and Restated Credit Agreement dated as of October 14, 2025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the Borrower, the Lenders party thereto and Wells Fargo Bank, National Association, as Administrative Agent. Capitalized terms used herein and not defined herein shall have the meanings assigned thereto in the Credit Agreement.</w:t>
      </w:r>
    </w:p>
    <w:p>
      <w:pPr>
        <w:spacing w:after="0" w:line="130" w:lineRule="exact"/>
        <w:rPr>
          <w:rFonts w:ascii="Times New Roman" w:cs="Times New Roman" w:eastAsia="Times New Roman" w:hAnsi="Times New Roman"/>
          <w:sz w:val="15"/>
          <w:szCs w:val="15"/>
          <w:color w:val="auto"/>
        </w:rPr>
      </w:pPr>
    </w:p>
    <w:p>
      <w:pPr>
        <w:jc w:val="both"/>
        <w:ind w:firstLine="509"/>
        <w:spacing w:after="0" w:line="277" w:lineRule="auto"/>
        <w:tabs>
          <w:tab w:leader="none" w:pos="785"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the financial statements of the Borrower and its Subsidiaries dated as of _______________ and for the _______________ period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then ended and such statements fairly present in all material respects the financial condition of the Borrower and its Subsidiaries as of the dates indicated and the results of their operations and cash flows for the period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indicated.</w:t>
      </w:r>
    </w:p>
    <w:p>
      <w:pPr>
        <w:spacing w:after="0" w:line="132" w:lineRule="exact"/>
        <w:rPr>
          <w:rFonts w:ascii="Times New Roman" w:cs="Times New Roman" w:eastAsia="Times New Roman" w:hAnsi="Times New Roman"/>
          <w:sz w:val="15"/>
          <w:szCs w:val="15"/>
          <w:color w:val="auto"/>
        </w:rPr>
      </w:pPr>
    </w:p>
    <w:p>
      <w:pPr>
        <w:jc w:val="both"/>
        <w:ind w:firstLine="509"/>
        <w:spacing w:after="0" w:line="265" w:lineRule="auto"/>
        <w:tabs>
          <w:tab w:leader="none" w:pos="794"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have reviewed the terms of the Credit Agreement and the related Loan Documents and have made, or caused to be made under my supervision, a review in reasonable detail of the transactions and the condition of the Borrower and its Subsidiaries during the accounting period covered by the financial statements referred to in </w:t>
      </w:r>
      <w:r>
        <w:rPr>
          <w:rFonts w:ascii="Times New Roman" w:cs="Times New Roman" w:eastAsia="Times New Roman" w:hAnsi="Times New Roman"/>
          <w:sz w:val="15"/>
          <w:szCs w:val="15"/>
          <w:b w:val="1"/>
          <w:bCs w:val="1"/>
          <w:i w:val="1"/>
          <w:iCs w:val="1"/>
          <w:color w:val="auto"/>
        </w:rPr>
        <w:t>Paragraph 2</w:t>
      </w:r>
      <w:r>
        <w:rPr>
          <w:rFonts w:ascii="Times New Roman" w:cs="Times New Roman" w:eastAsia="Times New Roman" w:hAnsi="Times New Roman"/>
          <w:sz w:val="15"/>
          <w:szCs w:val="15"/>
          <w:color w:val="auto"/>
        </w:rPr>
        <w:t xml:space="preserve"> above. Such review has not disclosed the existence during or at the end of such accounting period of any condition or event that constitutes a Default or an Event of Default, nor do I have any knowledge of the existence of any such condition or event as at the date of this certificate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except, if such condition or event existed or exists, describe the nature and period of existence thereof and what action the Borrower has taken, is taking and proposes to take with respect thereto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p>
      <w:pPr>
        <w:spacing w:after="0" w:line="140" w:lineRule="exact"/>
        <w:rPr>
          <w:rFonts w:ascii="Times New Roman" w:cs="Times New Roman" w:eastAsia="Times New Roman" w:hAnsi="Times New Roman"/>
          <w:sz w:val="15"/>
          <w:szCs w:val="15"/>
          <w:color w:val="auto"/>
        </w:rPr>
      </w:pPr>
    </w:p>
    <w:p>
      <w:pPr>
        <w:jc w:val="both"/>
        <w:ind w:firstLine="509"/>
        <w:spacing w:after="0" w:line="274" w:lineRule="auto"/>
        <w:tabs>
          <w:tab w:leader="none" w:pos="853"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of the date of this certificate, the Applicable Margin and calculations determining such figures are set forth on the attached </w:t>
      </w:r>
      <w:r>
        <w:rPr>
          <w:rFonts w:ascii="Times New Roman" w:cs="Times New Roman" w:eastAsia="Times New Roman" w:hAnsi="Times New Roman"/>
          <w:sz w:val="15"/>
          <w:szCs w:val="15"/>
          <w:u w:val="single" w:color="auto"/>
          <w:color w:val="auto"/>
        </w:rPr>
        <w:t>Schedule 1</w:t>
      </w:r>
      <w:r>
        <w:rPr>
          <w:rFonts w:ascii="Times New Roman" w:cs="Times New Roman" w:eastAsia="Times New Roman" w:hAnsi="Times New Roman"/>
          <w:sz w:val="15"/>
          <w:szCs w:val="15"/>
          <w:color w:val="auto"/>
        </w:rPr>
        <w:t xml:space="preserve">, the Borrower and its Subsidiaries are in compliance with the financial covenants contained in </w:t>
      </w:r>
      <w:r>
        <w:rPr>
          <w:rFonts w:ascii="Times New Roman" w:cs="Times New Roman" w:eastAsia="Times New Roman" w:hAnsi="Times New Roman"/>
          <w:sz w:val="15"/>
          <w:szCs w:val="15"/>
          <w:u w:val="single" w:color="auto"/>
          <w:color w:val="auto"/>
        </w:rPr>
        <w:t>Section 9.12</w:t>
      </w:r>
      <w:r>
        <w:rPr>
          <w:rFonts w:ascii="Times New Roman" w:cs="Times New Roman" w:eastAsia="Times New Roman" w:hAnsi="Times New Roman"/>
          <w:sz w:val="15"/>
          <w:szCs w:val="15"/>
          <w:color w:val="auto"/>
        </w:rPr>
        <w:t xml:space="preserve"> of the Credit Agreement as shown on </w:t>
      </w:r>
      <w:r>
        <w:rPr>
          <w:rFonts w:ascii="Times New Roman" w:cs="Times New Roman" w:eastAsia="Times New Roman" w:hAnsi="Times New Roman"/>
          <w:sz w:val="15"/>
          <w:szCs w:val="15"/>
          <w:u w:val="single" w:color="auto"/>
          <w:color w:val="auto"/>
        </w:rPr>
        <w:t>Schedule 1</w:t>
      </w:r>
      <w:r>
        <w:rPr>
          <w:rFonts w:ascii="Times New Roman" w:cs="Times New Roman" w:eastAsia="Times New Roman" w:hAnsi="Times New Roman"/>
          <w:sz w:val="15"/>
          <w:szCs w:val="15"/>
          <w:color w:val="auto"/>
        </w:rPr>
        <w:t xml:space="preserve"> and the Borrower and its Subsidiaries are in compliance with the other covenants and restrictions contained in the Credit Agreement.</w:t>
      </w:r>
    </w:p>
    <w:p>
      <w:pPr>
        <w:spacing w:after="0" w:line="124" w:lineRule="exact"/>
        <w:rPr>
          <w:rFonts w:ascii="Times New Roman" w:cs="Times New Roman" w:eastAsia="Times New Roman" w:hAnsi="Times New Roman"/>
          <w:sz w:val="15"/>
          <w:szCs w:val="15"/>
          <w:color w:val="auto"/>
        </w:rPr>
      </w:pPr>
    </w:p>
    <w:p>
      <w:pPr>
        <w:jc w:val="both"/>
        <w:ind w:firstLine="509"/>
        <w:spacing w:after="0" w:line="268" w:lineRule="auto"/>
        <w:tabs>
          <w:tab w:leader="none" w:pos="861"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contained in the Credit Agreement and the other Loan Documents are true and correct in all material respects, except for any representation and warranty that is qualified by materiality or reference to Material Adverse Effect, which such representation and warranty is true and correct in all respects, on and as of the date hereof with the same effect as if made on and as of such date (except for any such representation and warranty that by its terms is made only as of an earlier date, which representation and warranty remains true and correct in all material respects as of such earlier date, except for any representation and warranty that is qualified by materiality or reference to Material Adverse Effect, which such representation and warranty is true and correct in all respects as of such earlier date).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Compliance Certificate</w:t>
      </w:r>
    </w:p>
    <w:p>
      <w:pPr>
        <w:sectPr>
          <w:pgSz w:w="11900" w:h="16838" w:orient="portrait"/>
          <w:cols w:equalWidth="0" w:num="1">
            <w:col w:w="11280"/>
          </w:cols>
          <w:pgMar w:left="300" w:top="1248" w:right="31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5"/>
          <w:szCs w:val="15"/>
          <w:color w:val="auto"/>
        </w:rPr>
        <w:t>IN WITNESS WHEREOF, the undersigned has executed this Compliance Certificate as of the day and year first written above.</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WEALTHFRONT CORPORATION</w:t>
      </w:r>
    </w:p>
    <w:p>
      <w:pPr>
        <w:spacing w:after="0" w:line="36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20955</wp:posOffset>
            </wp:positionV>
            <wp:extent cx="389191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3891915" cy="6985"/>
                    </a:xfrm>
                    <a:prstGeom prst="rect">
                      <a:avLst/>
                    </a:prstGeom>
                    <a:noFill/>
                  </pic:spPr>
                </pic:pic>
              </a:graphicData>
            </a:graphic>
          </wp:anchor>
        </w:drawing>
      </w:r>
    </w:p>
    <w:p>
      <w:pPr>
        <w:spacing w:after="0" w:line="1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Name: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Compliance Certificate</w:t>
      </w:r>
    </w:p>
    <w:p>
      <w:pPr>
        <w:sectPr>
          <w:pgSz w:w="11900" w:h="16838" w:orient="portrait"/>
          <w:cols w:equalWidth="0" w:num="1">
            <w:col w:w="9659"/>
          </w:cols>
          <w:pgMar w:left="800" w:top="1248" w:right="1440" w:bottom="1440" w:gutter="0" w:footer="0" w:header="0"/>
        </w:sectPr>
      </w:pPr>
    </w:p>
    <w:bookmarkStart w:id="582" w:name="page583"/>
    <w:bookmarkEnd w:id="582"/>
    <w:p>
      <w:pPr>
        <w:jc w:val="center"/>
        <w:ind w:right="-19"/>
        <w:spacing w:after="0"/>
        <w:rPr>
          <w:sz w:val="20"/>
          <w:szCs w:val="20"/>
          <w:color w:val="auto"/>
        </w:rPr>
      </w:pPr>
      <w:r>
        <w:rPr>
          <w:rFonts w:ascii="Times New Roman" w:cs="Times New Roman" w:eastAsia="Times New Roman" w:hAnsi="Times New Roman"/>
          <w:sz w:val="15"/>
          <w:szCs w:val="15"/>
          <w:color w:val="auto"/>
        </w:rPr>
        <w:t>Schedule 1</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Compliance Certificate</w:t>
      </w:r>
    </w:p>
    <w:p>
      <w:pPr>
        <w:spacing w:after="0" w:line="16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color w:val="auto"/>
        </w:rPr>
        <w:t>For the Quarter/Year ended ______________________ (the “</w:t>
      </w:r>
      <w:r>
        <w:rPr>
          <w:rFonts w:ascii="Times New Roman" w:cs="Times New Roman" w:eastAsia="Times New Roman" w:hAnsi="Times New Roman"/>
          <w:sz w:val="14"/>
          <w:szCs w:val="14"/>
          <w:u w:val="single" w:color="auto"/>
          <w:color w:val="auto"/>
        </w:rPr>
        <w:t>Statement Date</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248" w:right="3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620" w:hanging="602"/>
        <w:spacing w:after="0"/>
        <w:tabs>
          <w:tab w:leader="none" w:pos="620" w:val="left"/>
        </w:tabs>
        <w:numPr>
          <w:ilvl w:val="0"/>
          <w:numId w:val="4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Maximum Consolidated Total Net Leverage Ratio and Applicable Margin</w:t>
      </w:r>
    </w:p>
    <w:p>
      <w:pPr>
        <w:spacing w:after="0" w:line="178" w:lineRule="exact"/>
        <w:rPr>
          <w:rFonts w:ascii="Times New Roman" w:cs="Times New Roman" w:eastAsia="Times New Roman" w:hAnsi="Times New Roman"/>
          <w:sz w:val="13"/>
          <w:szCs w:val="13"/>
          <w:color w:val="auto"/>
        </w:rPr>
      </w:pPr>
    </w:p>
    <w:p>
      <w:pPr>
        <w:ind w:left="840" w:hanging="223"/>
        <w:spacing w:after="0"/>
        <w:tabs>
          <w:tab w:leader="none" w:pos="840" w:val="left"/>
        </w:tabs>
        <w:numPr>
          <w:ilvl w:val="1"/>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Funded Indebtedness as of the Statement Date</w:t>
      </w:r>
    </w:p>
    <w:p>
      <w:pPr>
        <w:spacing w:after="0" w:line="162" w:lineRule="exact"/>
        <w:rPr>
          <w:rFonts w:ascii="Times New Roman" w:cs="Times New Roman" w:eastAsia="Times New Roman" w:hAnsi="Times New Roman"/>
          <w:sz w:val="14"/>
          <w:szCs w:val="14"/>
          <w:color w:val="auto"/>
        </w:rPr>
      </w:pPr>
    </w:p>
    <w:p>
      <w:pPr>
        <w:ind w:left="860" w:hanging="243"/>
        <w:spacing w:after="0"/>
        <w:tabs>
          <w:tab w:leader="none" w:pos="860" w:val="left"/>
        </w:tabs>
        <w:numPr>
          <w:ilvl w:val="1"/>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Unrestricted Cash and Cash Equivalents</w:t>
      </w:r>
      <w:r>
        <w:rPr>
          <w:rFonts w:ascii="Times New Roman" w:cs="Times New Roman" w:eastAsia="Times New Roman" w:hAnsi="Times New Roman"/>
          <w:sz w:val="18"/>
          <w:szCs w:val="18"/>
          <w:color w:val="auto"/>
          <w:vertAlign w:val="superscript"/>
        </w:rPr>
        <w:t>1</w:t>
      </w:r>
    </w:p>
    <w:p>
      <w:pPr>
        <w:spacing w:after="0" w:line="90" w:lineRule="exact"/>
        <w:rPr>
          <w:rFonts w:ascii="Times New Roman" w:cs="Times New Roman" w:eastAsia="Times New Roman" w:hAnsi="Times New Roman"/>
          <w:sz w:val="14"/>
          <w:szCs w:val="14"/>
          <w:color w:val="auto"/>
        </w:rPr>
      </w:pPr>
    </w:p>
    <w:p>
      <w:pPr>
        <w:ind w:left="840" w:hanging="223"/>
        <w:spacing w:after="0"/>
        <w:tabs>
          <w:tab w:leader="none" w:pos="840" w:val="left"/>
        </w:tabs>
        <w:numPr>
          <w:ilvl w:val="1"/>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1(a) minus 1(b)</w:t>
      </w:r>
    </w:p>
    <w:p>
      <w:pPr>
        <w:spacing w:after="0" w:line="164" w:lineRule="exact"/>
        <w:rPr>
          <w:rFonts w:ascii="Times New Roman" w:cs="Times New Roman" w:eastAsia="Times New Roman" w:hAnsi="Times New Roman"/>
          <w:sz w:val="14"/>
          <w:szCs w:val="14"/>
          <w:color w:val="auto"/>
        </w:rPr>
      </w:pPr>
    </w:p>
    <w:p>
      <w:pPr>
        <w:ind w:left="860" w:right="4680" w:hanging="243"/>
        <w:spacing w:after="0" w:line="283" w:lineRule="auto"/>
        <w:tabs>
          <w:tab w:leader="none" w:pos="851" w:val="left"/>
        </w:tabs>
        <w:numPr>
          <w:ilvl w:val="1"/>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EBITDA for the Reference Period ending on the Statement Date (See </w:t>
      </w:r>
      <w:r>
        <w:rPr>
          <w:rFonts w:ascii="Times New Roman" w:cs="Times New Roman" w:eastAsia="Times New Roman" w:hAnsi="Times New Roman"/>
          <w:sz w:val="14"/>
          <w:szCs w:val="14"/>
          <w:u w:val="single" w:color="auto"/>
          <w:color w:val="auto"/>
        </w:rPr>
        <w:t>Schedule 2</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Consolidated Total Leverage Ratio (1(c) divided by 1(d))</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Maximum permitted Consolidated Total Net Leverage Ratio as set forth in</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u w:val="single" w:color="auto"/>
          <w:color w:val="auto"/>
        </w:rPr>
        <w:t>Section 9.12(a)</w:t>
      </w:r>
      <w:r>
        <w:rPr>
          <w:rFonts w:ascii="Times New Roman" w:cs="Times New Roman" w:eastAsia="Times New Roman" w:hAnsi="Times New Roman"/>
          <w:sz w:val="14"/>
          <w:szCs w:val="14"/>
          <w:color w:val="auto"/>
        </w:rPr>
        <w:t xml:space="preserve"> of the Credit Agreement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In Compliance?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Applicable Margin</w:t>
      </w:r>
    </w:p>
    <w:p>
      <w:pPr>
        <w:spacing w:after="0" w:line="121" w:lineRule="exact"/>
        <w:rPr>
          <w:sz w:val="20"/>
          <w:szCs w:val="20"/>
          <w:color w:val="auto"/>
        </w:rPr>
      </w:pPr>
    </w:p>
    <w:p>
      <w:pPr>
        <w:ind w:left="620" w:hanging="602"/>
        <w:spacing w:after="0"/>
        <w:tabs>
          <w:tab w:leader="none" w:pos="620"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Minimum Consolidated Fixed Charge Coverage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$__________</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$__________</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$__________</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$__________</w:t>
      </w:r>
    </w:p>
    <w:p>
      <w:pPr>
        <w:spacing w:after="0" w:line="3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____ to 1.00</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3.50 to 1.00</w:t>
      </w:r>
    </w:p>
    <w:p>
      <w:pPr>
        <w:spacing w:after="0" w:line="3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Yes/No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Pricing Level __</w:t>
      </w:r>
    </w:p>
    <w:p>
      <w:pPr>
        <w:spacing w:after="0" w:line="406" w:lineRule="exact"/>
        <w:rPr>
          <w:sz w:val="20"/>
          <w:szCs w:val="20"/>
          <w:color w:val="auto"/>
        </w:rPr>
      </w:pPr>
    </w:p>
    <w:p>
      <w:pPr>
        <w:sectPr>
          <w:pgSz w:w="11900" w:h="16838" w:orient="portrait"/>
          <w:cols w:equalWidth="0" w:num="2">
            <w:col w:w="9620" w:space="720"/>
            <w:col w:w="940"/>
          </w:cols>
          <w:pgMar w:left="300" w:top="1248" w:right="319" w:bottom="1440" w:gutter="0" w:footer="0" w:header="0"/>
          <w:type w:val="continuous"/>
        </w:sectPr>
      </w:pPr>
    </w:p>
    <w:tbl>
      <w:tblPr>
        <w:tblLayout w:type="fixed"/>
        <w:tblInd w:w="20" w:type="dxa"/>
        <w:tblCellMar>
          <w:top w:w="0" w:type="dxa"/>
          <w:left w:w="0" w:type="dxa"/>
          <w:bottom w:w="0" w:type="dxa"/>
          <w:right w:w="0" w:type="dxa"/>
        </w:tblCellMar>
      </w:tblPr>
      <w:tr>
        <w:trPr>
          <w:trHeight w:val="204"/>
        </w:trPr>
        <w:tc>
          <w:tcPr>
            <w:tcW w:w="600" w:type="dxa"/>
            <w:vAlign w:val="bottom"/>
          </w:tcPr>
          <w:p>
            <w:pPr>
              <w:spacing w:after="0"/>
              <w:rPr>
                <w:sz w:val="17"/>
                <w:szCs w:val="17"/>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Consolidated EBITDA for the Reference Period ending on the Statement Date</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w:t>
            </w:r>
          </w:p>
        </w:tc>
      </w:tr>
      <w:tr>
        <w:trPr>
          <w:trHeight w:val="290"/>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Consolidated Fixed Charges for the Reference Period ending on the Statement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w:t>
            </w:r>
          </w:p>
        </w:tc>
      </w:tr>
      <w:tr>
        <w:trPr>
          <w:trHeight w:val="183"/>
        </w:trPr>
        <w:tc>
          <w:tcPr>
            <w:tcW w:w="600" w:type="dxa"/>
            <w:vAlign w:val="bottom"/>
          </w:tcPr>
          <w:p>
            <w:pPr>
              <w:spacing w:after="0"/>
              <w:rPr>
                <w:sz w:val="15"/>
                <w:szCs w:val="15"/>
                <w:color w:val="auto"/>
              </w:rPr>
            </w:pPr>
          </w:p>
        </w:tc>
        <w:tc>
          <w:tcPr>
            <w:tcW w:w="73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Date (see Schedule 3)</w:t>
            </w:r>
          </w:p>
        </w:tc>
        <w:tc>
          <w:tcPr>
            <w:tcW w:w="3320" w:type="dxa"/>
            <w:vAlign w:val="bottom"/>
          </w:tcPr>
          <w:p>
            <w:pPr>
              <w:spacing w:after="0"/>
              <w:rPr>
                <w:sz w:val="15"/>
                <w:szCs w:val="15"/>
                <w:color w:val="auto"/>
              </w:rPr>
            </w:pPr>
          </w:p>
        </w:tc>
      </w:tr>
      <w:tr>
        <w:trPr>
          <w:trHeight w:val="347"/>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 Fixed Charge Coverage Ratio (2(a) divided by 2(b))</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 to 1.00</w:t>
            </w:r>
          </w:p>
        </w:tc>
      </w:tr>
      <w:tr>
        <w:trPr>
          <w:trHeight w:val="290"/>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Minimum permitted Consolidated Fixed Charge Coverage Ratio as set forth in</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 to 1.00</w:t>
            </w:r>
          </w:p>
        </w:tc>
      </w:tr>
      <w:tr>
        <w:trPr>
          <w:trHeight w:val="151"/>
        </w:trPr>
        <w:tc>
          <w:tcPr>
            <w:tcW w:w="600" w:type="dxa"/>
            <w:vAlign w:val="bottom"/>
          </w:tcPr>
          <w:p>
            <w:pPr>
              <w:spacing w:after="0"/>
              <w:rPr>
                <w:sz w:val="13"/>
                <w:szCs w:val="13"/>
                <w:color w:val="auto"/>
              </w:rPr>
            </w:pPr>
          </w:p>
        </w:tc>
        <w:tc>
          <w:tcPr>
            <w:tcW w:w="734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Section 9.12(b) of the Credit Agreement</w:t>
            </w:r>
          </w:p>
        </w:tc>
        <w:tc>
          <w:tcPr>
            <w:tcW w:w="332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27"/>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Compliance?</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Yes/No</w:t>
            </w:r>
          </w:p>
        </w:tc>
      </w:tr>
      <w:tr>
        <w:trPr>
          <w:trHeight w:val="263"/>
        </w:trPr>
        <w:tc>
          <w:tcPr>
            <w:tcW w:w="60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w w:val="75"/>
              </w:rPr>
              <w:t>3.</w:t>
            </w:r>
          </w:p>
        </w:tc>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Minimum Tangible Net Worth</w:t>
            </w:r>
          </w:p>
        </w:tc>
        <w:tc>
          <w:tcPr>
            <w:tcW w:w="5520" w:type="dxa"/>
            <w:vAlign w:val="bottom"/>
          </w:tcPr>
          <w:p>
            <w:pPr>
              <w:spacing w:after="0"/>
              <w:rPr>
                <w:sz w:val="22"/>
                <w:szCs w:val="22"/>
                <w:color w:val="auto"/>
              </w:rPr>
            </w:pPr>
          </w:p>
        </w:tc>
        <w:tc>
          <w:tcPr>
            <w:tcW w:w="3320" w:type="dxa"/>
            <w:vAlign w:val="bottom"/>
          </w:tcPr>
          <w:p>
            <w:pPr>
              <w:spacing w:after="0"/>
              <w:rPr>
                <w:sz w:val="22"/>
                <w:szCs w:val="22"/>
                <w:color w:val="auto"/>
              </w:rPr>
            </w:pPr>
          </w:p>
        </w:tc>
      </w:tr>
      <w:tr>
        <w:trPr>
          <w:trHeight w:val="337"/>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Shareholder’s Equity as of the Statement Date</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w:t>
            </w:r>
          </w:p>
        </w:tc>
      </w:tr>
      <w:tr>
        <w:trPr>
          <w:trHeight w:val="326"/>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Intangible Assets as of the Statement Date</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w:t>
            </w:r>
          </w:p>
        </w:tc>
      </w:tr>
      <w:tr>
        <w:trPr>
          <w:trHeight w:val="326"/>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Tangible Net Worth (3(a) minus 3(b))</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w:t>
            </w:r>
          </w:p>
        </w:tc>
      </w:tr>
      <w:tr>
        <w:trPr>
          <w:trHeight w:val="326"/>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Minimum Tangible Net Worth as set forth in Section 9.12(c) of the Credit Agreement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$200,000,000</w:t>
            </w:r>
          </w:p>
        </w:tc>
      </w:tr>
      <w:tr>
        <w:trPr>
          <w:trHeight w:val="326"/>
        </w:trPr>
        <w:tc>
          <w:tcPr>
            <w:tcW w:w="60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Compliance?</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128143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1281430" cy="6985"/>
                    </a:xfrm>
                    <a:prstGeom prst="rect">
                      <a:avLst/>
                    </a:prstGeom>
                    <a:noFill/>
                  </pic:spPr>
                </pic:pic>
              </a:graphicData>
            </a:graphic>
          </wp:anchor>
        </w:drawing>
      </w:r>
    </w:p>
    <w:p>
      <w:pPr>
        <w:spacing w:after="0" w:line="267" w:lineRule="exact"/>
        <w:rPr>
          <w:sz w:val="20"/>
          <w:szCs w:val="20"/>
          <w:color w:val="auto"/>
        </w:rPr>
      </w:pPr>
    </w:p>
    <w:p>
      <w:pPr>
        <w:ind w:left="80" w:hanging="76"/>
        <w:spacing w:after="0"/>
        <w:tabs>
          <w:tab w:leader="none" w:pos="80" w:val="left"/>
        </w:tabs>
        <w:numPr>
          <w:ilvl w:val="0"/>
          <w:numId w:val="4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Not to exceed an aggregate amount of up to $150,000,000.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Compliance Certificate</w:t>
      </w:r>
    </w:p>
    <w:p>
      <w:pPr>
        <w:sectPr>
          <w:pgSz w:w="11900" w:h="16838" w:orient="portrait"/>
          <w:cols w:equalWidth="0" w:num="1">
            <w:col w:w="11280"/>
          </w:cols>
          <w:pgMar w:left="300" w:top="1248" w:right="319" w:bottom="1440" w:gutter="0" w:footer="0" w:header="0"/>
          <w:type w:val="continuous"/>
        </w:sectPr>
      </w:pPr>
    </w:p>
    <w:bookmarkStart w:id="583" w:name="page584"/>
    <w:bookmarkEnd w:id="583"/>
    <w:p>
      <w:pPr>
        <w:jc w:val="center"/>
        <w:ind w:right="20"/>
        <w:spacing w:after="0"/>
        <w:rPr>
          <w:sz w:val="20"/>
          <w:szCs w:val="20"/>
          <w:color w:val="auto"/>
        </w:rPr>
      </w:pPr>
      <w:r>
        <w:rPr>
          <w:rFonts w:ascii="Times New Roman" w:cs="Times New Roman" w:eastAsia="Times New Roman" w:hAnsi="Times New Roman"/>
          <w:sz w:val="15"/>
          <w:szCs w:val="15"/>
          <w:color w:val="auto"/>
        </w:rPr>
        <w:t>Schedule 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u w:val="single" w:color="auto"/>
          <w:color w:val="auto"/>
        </w:rPr>
        <w:t>Compliance Certificate</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tcPr>
          <w:p>
            <w:pPr>
              <w:spacing w:after="0"/>
              <w:rPr>
                <w:sz w:val="21"/>
                <w:szCs w:val="21"/>
                <w:color w:val="auto"/>
              </w:rPr>
            </w:pPr>
          </w:p>
        </w:tc>
        <w:tc>
          <w:tcPr>
            <w:tcW w:w="5360" w:type="dxa"/>
            <w:vAlign w:val="bottom"/>
            <w:tcBorders>
              <w:top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EBITDA</w:t>
            </w:r>
            <w:r>
              <w:rPr>
                <w:rFonts w:ascii="Times New Roman" w:cs="Times New Roman" w:eastAsia="Times New Roman" w:hAnsi="Times New Roman"/>
                <w:sz w:val="18"/>
                <w:szCs w:val="18"/>
                <w:b w:val="1"/>
                <w:bCs w:val="1"/>
                <w:color w:val="auto"/>
                <w:vertAlign w:val="superscript"/>
              </w:rPr>
              <w:t>1</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1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2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3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4 ended</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(Quarters 1-</w:t>
            </w: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940" w:type="dxa"/>
            <w:vAlign w:val="bottom"/>
            <w:tcBorders>
              <w:right w:val="single" w:sz="8" w:color="auto"/>
            </w:tcBorders>
          </w:tcPr>
          <w:p>
            <w:pPr>
              <w:spacing w:after="0"/>
              <w:rPr>
                <w:sz w:val="8"/>
                <w:szCs w:val="8"/>
                <w:color w:val="auto"/>
              </w:rPr>
            </w:pPr>
          </w:p>
        </w:tc>
        <w:tc>
          <w:tcPr>
            <w:tcW w:w="7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jc w:val="right"/>
              <w:ind w:right="480"/>
              <w:spacing w:after="0" w:line="95" w:lineRule="exact"/>
              <w:rPr>
                <w:sz w:val="20"/>
                <w:szCs w:val="20"/>
                <w:color w:val="auto"/>
              </w:rPr>
            </w:pPr>
            <w:r>
              <w:rPr>
                <w:rFonts w:ascii="Times New Roman" w:cs="Times New Roman" w:eastAsia="Times New Roman" w:hAnsi="Times New Roman"/>
                <w:sz w:val="10"/>
                <w:szCs w:val="10"/>
                <w:b w:val="1"/>
                <w:bCs w:val="1"/>
                <w:color w:val="auto"/>
              </w:rPr>
              <w:t>4)</w:t>
            </w:r>
          </w:p>
        </w:tc>
      </w:tr>
      <w:tr>
        <w:trPr>
          <w:trHeight w:val="33"/>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69"/>
        </w:trPr>
        <w:tc>
          <w:tcPr>
            <w:tcW w:w="6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w:t>
            </w:r>
          </w:p>
        </w:tc>
        <w:tc>
          <w:tcPr>
            <w:tcW w:w="53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Consolidated Net Income</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127"/>
        </w:trPr>
        <w:tc>
          <w:tcPr>
            <w:tcW w:w="600" w:type="dxa"/>
            <w:vAlign w:val="bottom"/>
            <w:tcBorders>
              <w:left w:val="single" w:sz="8" w:color="auto"/>
              <w:right w:val="single" w:sz="8" w:color="auto"/>
            </w:tcBorders>
          </w:tcPr>
          <w:p>
            <w:pPr>
              <w:ind w:left="100"/>
              <w:spacing w:after="0" w:line="127" w:lineRule="exact"/>
              <w:rPr>
                <w:sz w:val="20"/>
                <w:szCs w:val="20"/>
                <w:color w:val="auto"/>
              </w:rPr>
            </w:pPr>
            <w:r>
              <w:rPr>
                <w:rFonts w:ascii="Times New Roman" w:cs="Times New Roman" w:eastAsia="Times New Roman" w:hAnsi="Times New Roman"/>
                <w:sz w:val="14"/>
                <w:szCs w:val="14"/>
                <w:color w:val="auto"/>
              </w:rPr>
              <w:t>(b)</w:t>
            </w:r>
          </w:p>
        </w:tc>
        <w:tc>
          <w:tcPr>
            <w:tcW w:w="5360" w:type="dxa"/>
            <w:vAlign w:val="bottom"/>
            <w:tcBorders>
              <w:right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4"/>
                <w:szCs w:val="14"/>
                <w:color w:val="auto"/>
              </w:rPr>
              <w:t>The following amounts, without duplication, to the extent deducted in determining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r>
      <w:tr>
        <w:trPr>
          <w:trHeight w:val="186"/>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53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Consolidated Net Income (other than as set forth in (b)(vii)(B)):</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r>
      <w:tr>
        <w:trPr>
          <w:trHeight w:val="172"/>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w:t>
            </w:r>
          </w:p>
        </w:tc>
        <w:tc>
          <w:tcPr>
            <w:tcW w:w="49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Consolidated Interest Expense</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w:t>
            </w: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expense for Taxes measured by net income, profits or capital (or any similar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measures), paid or accrued, including federal and state and local income Taxes,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foreign income Taxes and franchise Taxes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(iii)</w:t>
            </w: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other non-cash charges, expenses or losses (including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non-cash stock based compensation expense), excluding any non-cash charge 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expense that represents an accrual for a cash expense to be taken in a future period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(iv)</w:t>
            </w: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unusual and non-recurring losses (excluding extraordinary losses from discontinued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operations)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w:t>
            </w: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all transaction fees, charges and other amounts related to the Transactions and any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amendment or other modification to the Loan Documents, in each case to the extent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paid within six (6) months of the Closing Date or the effectiveness of such</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amendment or other modification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(vi)</w:t>
            </w: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all transaction fees, charges and other amounts (including any financing fees, merger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and acquisition fees, legal fees and expenses, due diligence fees or any other fees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and expenses in connection therewith) in connection with any Permitted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Acquisition, Investment, disposition, issuance or repurchase of Equity Interests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(including the IPO), or the incurrence, amendment or waiver of Indebtedness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12814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1281430" cy="6985"/>
                    </a:xfrm>
                    <a:prstGeom prst="rect">
                      <a:avLst/>
                    </a:prstGeom>
                    <a:noFill/>
                  </pic:spPr>
                </pic:pic>
              </a:graphicData>
            </a:graphic>
          </wp:anchor>
        </w:drawing>
      </w:r>
    </w:p>
    <w:p>
      <w:pPr>
        <w:spacing w:after="0" w:line="257" w:lineRule="exact"/>
        <w:rPr>
          <w:sz w:val="20"/>
          <w:szCs w:val="20"/>
          <w:color w:val="auto"/>
        </w:rPr>
      </w:pPr>
    </w:p>
    <w:p>
      <w:pPr>
        <w:ind w:left="80" w:hanging="76"/>
        <w:spacing w:after="0"/>
        <w:tabs>
          <w:tab w:leader="none" w:pos="80" w:val="left"/>
        </w:tabs>
        <w:numPr>
          <w:ilvl w:val="0"/>
          <w:numId w:val="4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purposes of Calculating Consolidated EBITDA, all non-cash gain or loss in respect of fair value adjustments will be disregarded for purposes of determining Consolidated EBITDA.</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00" w:lineRule="exact"/>
        <w:rPr>
          <w:rFonts w:ascii="Times New Roman" w:cs="Times New Roman" w:eastAsia="Times New Roman" w:hAnsi="Times New Roman"/>
          <w:sz w:val="18"/>
          <w:szCs w:val="18"/>
          <w:color w:val="auto"/>
          <w:vertAlign w:val="superscript"/>
        </w:rPr>
      </w:pPr>
    </w:p>
    <w:p>
      <w:pPr>
        <w:ind w:left="47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Form of Compliance Certificate</w:t>
      </w:r>
    </w:p>
    <w:p>
      <w:pPr>
        <w:sectPr>
          <w:pgSz w:w="11900" w:h="16838" w:orient="portrait"/>
          <w:cols w:equalWidth="0" w:num="1">
            <w:col w:w="11300"/>
          </w:cols>
          <w:pgMar w:left="300" w:top="1121" w:right="299" w:bottom="1440" w:gutter="0" w:footer="0" w:header="0"/>
        </w:sectPr>
      </w:pPr>
    </w:p>
    <w:bookmarkStart w:id="584" w:name="page585"/>
    <w:bookmarkEnd w:id="584"/>
    <w:tbl>
      <w:tblPr>
        <w:tblLayout w:type="fixed"/>
        <w:tblInd w:w="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EBITDA</w:t>
            </w:r>
            <w:r>
              <w:rPr>
                <w:rFonts w:ascii="Times New Roman" w:cs="Times New Roman" w:eastAsia="Times New Roman" w:hAnsi="Times New Roman"/>
                <w:sz w:val="18"/>
                <w:szCs w:val="18"/>
                <w:b w:val="1"/>
                <w:bCs w:val="1"/>
                <w:color w:val="auto"/>
                <w:vertAlign w:val="superscript"/>
              </w:rPr>
              <w:t>1</w:t>
            </w:r>
          </w:p>
        </w:tc>
        <w:tc>
          <w:tcPr>
            <w:tcW w:w="6120" w:type="dxa"/>
            <w:vAlign w:val="bottom"/>
            <w:gridSpan w:val="25"/>
          </w:tcPr>
          <w:p>
            <w:pPr>
              <w:ind w:left="1960"/>
              <w:spacing w:after="0"/>
              <w:rPr>
                <w:sz w:val="20"/>
                <w:szCs w:val="20"/>
                <w:color w:val="auto"/>
              </w:rPr>
            </w:pPr>
            <w:r>
              <w:rPr>
                <w:rFonts w:ascii="Times New Roman" w:cs="Times New Roman" w:eastAsia="Times New Roman" w:hAnsi="Times New Roman"/>
                <w:sz w:val="14"/>
                <w:szCs w:val="14"/>
                <w:b w:val="1"/>
                <w:bCs w:val="1"/>
                <w:color w:val="auto"/>
              </w:rPr>
              <w:t>Quarter 1 ended Quarter 2 ended Quarter 3 ended Quarter 4 ended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(Quarters 1-</w:t>
            </w:r>
          </w:p>
        </w:tc>
      </w:tr>
      <w:tr>
        <w:trPr>
          <w:trHeight w:val="95"/>
        </w:trPr>
        <w:tc>
          <w:tcPr>
            <w:tcW w:w="3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gridSpan w:val="4"/>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10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10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10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Pr>
          <w:p>
            <w:pPr>
              <w:spacing w:after="0"/>
              <w:rPr>
                <w:sz w:val="8"/>
                <w:szCs w:val="8"/>
                <w:color w:val="auto"/>
              </w:rPr>
            </w:pPr>
          </w:p>
        </w:tc>
        <w:tc>
          <w:tcPr>
            <w:tcW w:w="1120" w:type="dxa"/>
            <w:vAlign w:val="bottom"/>
          </w:tcPr>
          <w:p>
            <w:pPr>
              <w:jc w:val="right"/>
              <w:ind w:right="420"/>
              <w:spacing w:after="0" w:line="95" w:lineRule="exact"/>
              <w:rPr>
                <w:sz w:val="20"/>
                <w:szCs w:val="20"/>
                <w:color w:val="auto"/>
              </w:rPr>
            </w:pPr>
            <w:r>
              <w:rPr>
                <w:rFonts w:ascii="Times New Roman" w:cs="Times New Roman" w:eastAsia="Times New Roman" w:hAnsi="Times New Roman"/>
                <w:sz w:val="10"/>
                <w:szCs w:val="10"/>
                <w:b w:val="1"/>
                <w:bCs w:val="1"/>
                <w:color w:val="auto"/>
              </w:rPr>
              <w:t>4)</w:t>
            </w:r>
          </w:p>
        </w:tc>
      </w:tr>
      <w:tr>
        <w:trPr>
          <w:trHeight w:val="20"/>
        </w:trPr>
        <w:tc>
          <w:tcPr>
            <w:tcW w:w="3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735965</wp:posOffset>
            </wp:positionV>
            <wp:extent cx="7169150" cy="33508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69150" cy="335089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4"/>
          <w:szCs w:val="14"/>
          <w:color w:val="auto"/>
        </w:rPr>
        <w:t>permitted hereunder (other than those related to the Transactions or with respect to</w:t>
      </w:r>
    </w:p>
    <w:p>
      <w:pPr>
        <w:ind w:left="520"/>
        <w:spacing w:after="0" w:line="238" w:lineRule="auto"/>
        <w:rPr>
          <w:sz w:val="20"/>
          <w:szCs w:val="20"/>
          <w:color w:val="auto"/>
        </w:rPr>
      </w:pPr>
      <w:r>
        <w:rPr>
          <w:rFonts w:ascii="Times New Roman" w:cs="Times New Roman" w:eastAsia="Times New Roman" w:hAnsi="Times New Roman"/>
          <w:sz w:val="14"/>
          <w:szCs w:val="14"/>
          <w:color w:val="auto"/>
        </w:rPr>
        <w:t>any amendment or modification of the Loan Documents), in each case, whether or</w:t>
      </w:r>
    </w:p>
    <w:p>
      <w:pPr>
        <w:ind w:left="520"/>
        <w:spacing w:after="0" w:line="235" w:lineRule="auto"/>
        <w:rPr>
          <w:sz w:val="20"/>
          <w:szCs w:val="20"/>
          <w:color w:val="auto"/>
        </w:rPr>
      </w:pPr>
      <w:r>
        <w:rPr>
          <w:rFonts w:ascii="Times New Roman" w:cs="Times New Roman" w:eastAsia="Times New Roman" w:hAnsi="Times New Roman"/>
          <w:sz w:val="14"/>
          <w:szCs w:val="14"/>
          <w:color w:val="auto"/>
        </w:rPr>
        <w:t>not consummated, in each case to the extent paid within six (6) months of the</w:t>
      </w:r>
    </w:p>
    <w:p>
      <w:pPr>
        <w:ind w:left="520"/>
        <w:spacing w:after="0" w:line="219" w:lineRule="auto"/>
        <w:rPr>
          <w:sz w:val="20"/>
          <w:szCs w:val="20"/>
          <w:color w:val="auto"/>
        </w:rPr>
      </w:pPr>
      <w:r>
        <w:rPr>
          <w:rFonts w:ascii="Times New Roman" w:cs="Times New Roman" w:eastAsia="Times New Roman" w:hAnsi="Times New Roman"/>
          <w:sz w:val="14"/>
          <w:szCs w:val="14"/>
          <w:color w:val="auto"/>
        </w:rPr>
        <w:t>closing or effectiveness of such event or the termination or abandonment of such</w:t>
      </w:r>
    </w:p>
    <w:p>
      <w:pPr>
        <w:ind w:left="520"/>
        <w:spacing w:after="0" w:line="235" w:lineRule="auto"/>
        <w:rPr>
          <w:sz w:val="20"/>
          <w:szCs w:val="20"/>
          <w:color w:val="auto"/>
        </w:rPr>
      </w:pPr>
      <w:r>
        <w:rPr>
          <w:rFonts w:ascii="Times New Roman" w:cs="Times New Roman" w:eastAsia="Times New Roman" w:hAnsi="Times New Roman"/>
          <w:sz w:val="14"/>
          <w:szCs w:val="14"/>
          <w:color w:val="auto"/>
        </w:rPr>
        <w:t>transaction, or in the case of any deferred consideration or earn-out payable in</w:t>
      </w:r>
    </w:p>
    <w:p>
      <w:pPr>
        <w:ind w:left="520"/>
        <w:spacing w:after="0" w:line="235" w:lineRule="auto"/>
        <w:rPr>
          <w:sz w:val="20"/>
          <w:szCs w:val="20"/>
          <w:color w:val="auto"/>
        </w:rPr>
      </w:pPr>
      <w:r>
        <w:rPr>
          <w:rFonts w:ascii="Times New Roman" w:cs="Times New Roman" w:eastAsia="Times New Roman" w:hAnsi="Times New Roman"/>
          <w:sz w:val="14"/>
          <w:szCs w:val="14"/>
          <w:color w:val="auto"/>
        </w:rPr>
        <w:t>connection with any Permitted Acquisition or other Investment, upon payment</w:t>
      </w:r>
    </w:p>
    <w:p>
      <w:pPr>
        <w:ind w:left="520"/>
        <w:spacing w:after="0" w:line="220" w:lineRule="auto"/>
        <w:rPr>
          <w:sz w:val="20"/>
          <w:szCs w:val="20"/>
          <w:color w:val="auto"/>
        </w:rPr>
      </w:pPr>
      <w:r>
        <w:rPr>
          <w:rFonts w:ascii="Times New Roman" w:cs="Times New Roman" w:eastAsia="Times New Roman" w:hAnsi="Times New Roman"/>
          <w:sz w:val="14"/>
          <w:szCs w:val="14"/>
          <w:color w:val="auto"/>
        </w:rPr>
        <w:t xml:space="preserve">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amounts described in this clause (b)(vi) with respect to</w:t>
      </w:r>
    </w:p>
    <w:p>
      <w:pPr>
        <w:ind w:left="520"/>
        <w:spacing w:after="0" w:line="235" w:lineRule="auto"/>
        <w:rPr>
          <w:sz w:val="20"/>
          <w:szCs w:val="20"/>
          <w:color w:val="auto"/>
        </w:rPr>
      </w:pPr>
      <w:r>
        <w:rPr>
          <w:rFonts w:ascii="Times New Roman" w:cs="Times New Roman" w:eastAsia="Times New Roman" w:hAnsi="Times New Roman"/>
          <w:sz w:val="14"/>
          <w:szCs w:val="14"/>
          <w:color w:val="auto"/>
        </w:rPr>
        <w:t>transactions that are not consummated shall not exceed $15,000,000 for the</w:t>
      </w:r>
    </w:p>
    <w:p>
      <w:pPr>
        <w:ind w:left="520"/>
        <w:spacing w:after="0"/>
        <w:rPr>
          <w:sz w:val="20"/>
          <w:szCs w:val="20"/>
          <w:color w:val="auto"/>
        </w:rPr>
      </w:pPr>
      <w:r>
        <w:rPr>
          <w:rFonts w:ascii="Times New Roman" w:cs="Times New Roman" w:eastAsia="Times New Roman" w:hAnsi="Times New Roman"/>
          <w:sz w:val="14"/>
          <w:szCs w:val="14"/>
          <w:color w:val="auto"/>
        </w:rPr>
        <w:t>applicable period</w:t>
      </w:r>
    </w:p>
    <w:p>
      <w:pPr>
        <w:spacing w:after="0" w:line="33" w:lineRule="exact"/>
        <w:rPr>
          <w:sz w:val="20"/>
          <w:szCs w:val="20"/>
          <w:color w:val="auto"/>
        </w:rPr>
      </w:pPr>
    </w:p>
    <w:p>
      <w:pPr>
        <w:ind w:left="520" w:right="5320" w:hanging="511"/>
        <w:spacing w:after="0" w:line="231" w:lineRule="auto"/>
        <w:tabs>
          <w:tab w:leader="none" w:pos="520"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other unusual, extraordinary and non-recurring cash expenses or charges (including restructuring costs, including severance) and (B) the amount of any “run rate” synergies, operating expense reductions and other net cost savings and integration costs, in each case projected by the Borrower in connection with Permitted Acquisitions, Asset Dispositions (including the termination or discontinuance of activities constituting such business) and/or other operating improvement, restructuring (including severance), cost savings initiative or other similar initiative taken after the Closing Date that have been consummated during the applicable Reference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such synergies, expense reductions and cost savings are reasonably identifiable, factually supportable, expected to have a continuing impact on the operations of the Borrower and its Subsidiaries and have been determined by the Borrower in good faith to be reasonably anticipated to be realizable within 12 months following any such action as set forth in reasonable detail on a certificate of a Responsible Officer of the Borrower delivered to the Administrative Agent, (ii) no such amounts shall be added pursuant to this clause to the extent duplicative of any expenses or charges otherwise added to Consolidated EBITDA, whether through a pro forma adjustment, the definition of Pro Forma Basis or otherwise and (iii) the aggregate amount added pursuant to this clause (b)(vii)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700"/>
        <w:spacing w:after="0"/>
        <w:rPr>
          <w:sz w:val="20"/>
          <w:szCs w:val="20"/>
          <w:color w:val="auto"/>
        </w:rPr>
      </w:pPr>
      <w:r>
        <w:rPr>
          <w:rFonts w:ascii="Times New Roman" w:cs="Times New Roman" w:eastAsia="Times New Roman" w:hAnsi="Times New Roman"/>
          <w:sz w:val="14"/>
          <w:szCs w:val="14"/>
          <w:color w:val="auto"/>
        </w:rPr>
        <w:t>Form of Compliance Certificate</w:t>
      </w:r>
    </w:p>
    <w:p>
      <w:pPr>
        <w:sectPr>
          <w:pgSz w:w="11900" w:h="16838" w:orient="portrait"/>
          <w:cols w:equalWidth="0" w:num="1">
            <w:col w:w="10600"/>
          </w:cols>
          <w:pgMar w:left="940" w:top="1174" w:right="359" w:bottom="1440" w:gutter="0" w:footer="0" w:header="0"/>
        </w:sectPr>
      </w:pPr>
    </w:p>
    <w:bookmarkStart w:id="585" w:name="page586"/>
    <w:bookmarkEnd w:id="585"/>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tcPr>
          <w:p>
            <w:pPr>
              <w:spacing w:after="0"/>
              <w:rPr>
                <w:sz w:val="21"/>
                <w:szCs w:val="21"/>
                <w:color w:val="auto"/>
              </w:rPr>
            </w:pPr>
          </w:p>
        </w:tc>
        <w:tc>
          <w:tcPr>
            <w:tcW w:w="5360" w:type="dxa"/>
            <w:vAlign w:val="bottom"/>
            <w:tcBorders>
              <w:top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EBITDA</w:t>
            </w:r>
            <w:r>
              <w:rPr>
                <w:rFonts w:ascii="Times New Roman" w:cs="Times New Roman" w:eastAsia="Times New Roman" w:hAnsi="Times New Roman"/>
                <w:sz w:val="18"/>
                <w:szCs w:val="18"/>
                <w:b w:val="1"/>
                <w:bCs w:val="1"/>
                <w:color w:val="auto"/>
                <w:vertAlign w:val="superscript"/>
              </w:rPr>
              <w:t>1</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1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2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3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4 ended</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(Quarters 1-</w:t>
            </w: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7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tcPr>
          <w:p>
            <w:pPr>
              <w:jc w:val="right"/>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jc w:val="right"/>
              <w:ind w:right="480"/>
              <w:spacing w:after="0" w:line="95" w:lineRule="exact"/>
              <w:rPr>
                <w:sz w:val="20"/>
                <w:szCs w:val="20"/>
                <w:color w:val="auto"/>
              </w:rPr>
            </w:pPr>
            <w:r>
              <w:rPr>
                <w:rFonts w:ascii="Times New Roman" w:cs="Times New Roman" w:eastAsia="Times New Roman" w:hAnsi="Times New Roman"/>
                <w:sz w:val="10"/>
                <w:szCs w:val="10"/>
                <w:b w:val="1"/>
                <w:bCs w:val="1"/>
                <w:color w:val="auto"/>
              </w:rPr>
              <w:t>4)</w:t>
            </w:r>
          </w:p>
        </w:tc>
      </w:tr>
      <w:tr>
        <w:trPr>
          <w:trHeight w:val="33"/>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color w:val="auto"/>
              </w:rPr>
              <w:t>any Reference Period shall in no event exceed 25% of Consolidated EBITDA for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color w:val="auto"/>
              </w:rPr>
              <w:t>such period (calculated prior to any such add-backs pursuant to this clause (b)(vii)</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5360" w:type="dxa"/>
            <w:vAlign w:val="bottom"/>
            <w:tcBorders>
              <w:bottom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color w:val="auto"/>
              </w:rPr>
              <w:t>Sum of (b)(i) through (b)(vii)</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165"/>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5360" w:type="dxa"/>
            <w:vAlign w:val="bottom"/>
            <w:tcBorders>
              <w:right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color w:val="auto"/>
              </w:rPr>
              <w:t>The following amounts, without duplication, to the extent added in computing Consolidated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5360" w:type="dxa"/>
            <w:vAlign w:val="bottom"/>
            <w:tcBorders>
              <w:right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color w:val="auto"/>
              </w:rPr>
              <w:t>Net Income for such period: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w:t>
            </w:r>
          </w:p>
        </w:tc>
        <w:tc>
          <w:tcPr>
            <w:tcW w:w="4940" w:type="dxa"/>
            <w:vAlign w:val="bottom"/>
            <w:tcBorders>
              <w:right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color w:val="auto"/>
              </w:rPr>
              <w:t>interest income (but the Borrower’s income from the partner bank program shall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color w:val="auto"/>
              </w:rPr>
              <w:t>not be considered interest income for this purpose)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w:t>
            </w:r>
          </w:p>
        </w:tc>
        <w:tc>
          <w:tcPr>
            <w:tcW w:w="4940" w:type="dxa"/>
            <w:vAlign w:val="bottom"/>
            <w:tcBorders>
              <w:right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color w:val="auto"/>
              </w:rPr>
              <w:t>Federal, state, local and foreign income Tax credits of the Borrower and its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color w:val="auto"/>
              </w:rPr>
              <w:t>Subsidiaries for such period (to the extent not netted from income Tax expense)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(iii)</w:t>
            </w:r>
          </w:p>
        </w:tc>
        <w:tc>
          <w:tcPr>
            <w:tcW w:w="4940" w:type="dxa"/>
            <w:vAlign w:val="bottom"/>
            <w:tcBorders>
              <w:bottom w:val="single" w:sz="8" w:color="auto"/>
              <w:right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color w:val="auto"/>
              </w:rPr>
              <w:t>any unusual and non-recurring gains</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169"/>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(iv)</w:t>
            </w:r>
          </w:p>
        </w:tc>
        <w:tc>
          <w:tcPr>
            <w:tcW w:w="4940" w:type="dxa"/>
            <w:vAlign w:val="bottom"/>
            <w:tcBorders>
              <w:bottom w:val="single" w:sz="8" w:color="auto"/>
              <w:right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color w:val="auto"/>
              </w:rPr>
              <w:t>non-cash gains or non-cash items</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165"/>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w:t>
            </w:r>
          </w:p>
        </w:tc>
        <w:tc>
          <w:tcPr>
            <w:tcW w:w="4940" w:type="dxa"/>
            <w:vAlign w:val="bottom"/>
            <w:tcBorders>
              <w:right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color w:val="auto"/>
              </w:rPr>
              <w:t>any cash expense made during such period which represents the reversal of any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color w:val="auto"/>
              </w:rPr>
              <w:t>non-cash expense that was added in a prior period pursuant to clause (b)(iii) above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Borders>
              <w:right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color w:val="auto"/>
              </w:rPr>
              <w:t>subsequent to the fiscal quarter in which the relevant non-cash expenses, charges 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940" w:type="dxa"/>
            <w:vAlign w:val="bottom"/>
            <w:tcBorders>
              <w:right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color w:val="auto"/>
              </w:rPr>
              <w:t>losses were incurred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5360" w:type="dxa"/>
            <w:vAlign w:val="bottom"/>
            <w:tcBorders>
              <w:bottom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color w:val="auto"/>
              </w:rPr>
              <w:t>Sum of (d)(i) through (d)(iv)</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165"/>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w:t>
            </w:r>
          </w:p>
        </w:tc>
        <w:tc>
          <w:tcPr>
            <w:tcW w:w="5360" w:type="dxa"/>
            <w:vAlign w:val="bottom"/>
            <w:tcBorders>
              <w:right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color w:val="auto"/>
              </w:rPr>
              <w:t>Pro Forma Basis Adjustments to Consolidated EBITDA, if applicable (excluding calculation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5360" w:type="dxa"/>
            <w:vAlign w:val="bottom"/>
            <w:tcBorders>
              <w:right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color w:val="auto"/>
              </w:rPr>
              <w:t>of the Consolidated Fixed Charge Coverage Ratio)</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148"/>
        </w:trPr>
        <w:tc>
          <w:tcPr>
            <w:tcW w:w="600" w:type="dxa"/>
            <w:vAlign w:val="bottom"/>
            <w:tcBorders>
              <w:left w:val="single" w:sz="8" w:color="auto"/>
              <w:right w:val="single" w:sz="8" w:color="auto"/>
            </w:tcBorders>
          </w:tcPr>
          <w:p>
            <w:pPr>
              <w:ind w:left="100"/>
              <w:spacing w:after="0" w:line="148" w:lineRule="exact"/>
              <w:rPr>
                <w:sz w:val="20"/>
                <w:szCs w:val="20"/>
                <w:color w:val="auto"/>
              </w:rPr>
            </w:pPr>
            <w:r>
              <w:rPr>
                <w:rFonts w:ascii="Times New Roman" w:cs="Times New Roman" w:eastAsia="Times New Roman" w:hAnsi="Times New Roman"/>
                <w:sz w:val="14"/>
                <w:szCs w:val="14"/>
                <w:color w:val="auto"/>
              </w:rPr>
              <w:t>(g)</w:t>
            </w:r>
          </w:p>
        </w:tc>
        <w:tc>
          <w:tcPr>
            <w:tcW w:w="5360" w:type="dxa"/>
            <w:vAlign w:val="bottom"/>
            <w:tcBorders>
              <w:right w:val="single" w:sz="8" w:color="auto"/>
            </w:tcBorders>
            <w:gridSpan w:val="10"/>
          </w:tcPr>
          <w:p>
            <w:pPr>
              <w:ind w:left="40"/>
              <w:spacing w:after="0" w:line="148" w:lineRule="exact"/>
              <w:rPr>
                <w:sz w:val="20"/>
                <w:szCs w:val="20"/>
                <w:color w:val="auto"/>
              </w:rPr>
            </w:pPr>
            <w:r>
              <w:rPr>
                <w:rFonts w:ascii="Times New Roman" w:cs="Times New Roman" w:eastAsia="Times New Roman" w:hAnsi="Times New Roman"/>
                <w:sz w:val="14"/>
                <w:szCs w:val="14"/>
                <w:color w:val="auto"/>
              </w:rPr>
              <w:t>Consolidated EBITDA ((a) plus (c) minus (e) plus or minus, as applicable, (f))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33"/>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of Compliance Certificate</w:t>
      </w:r>
    </w:p>
    <w:p>
      <w:pPr>
        <w:sectPr>
          <w:pgSz w:w="11900" w:h="16838" w:orient="portrait"/>
          <w:cols w:equalWidth="0" w:num="1">
            <w:col w:w="11300"/>
          </w:cols>
          <w:pgMar w:left="300" w:top="1140" w:right="299" w:bottom="1440" w:gutter="0" w:footer="0" w:header="0"/>
        </w:sectPr>
      </w:pPr>
    </w:p>
    <w:bookmarkStart w:id="586" w:name="page587"/>
    <w:bookmarkEnd w:id="586"/>
    <w:p>
      <w:pPr>
        <w:jc w:val="center"/>
        <w:ind w:right="20"/>
        <w:spacing w:after="0"/>
        <w:rPr>
          <w:sz w:val="20"/>
          <w:szCs w:val="20"/>
          <w:color w:val="auto"/>
        </w:rPr>
      </w:pPr>
      <w:r>
        <w:rPr>
          <w:rFonts w:ascii="Times New Roman" w:cs="Times New Roman" w:eastAsia="Times New Roman" w:hAnsi="Times New Roman"/>
          <w:sz w:val="15"/>
          <w:szCs w:val="15"/>
          <w:color w:val="auto"/>
        </w:rPr>
        <w:t>Schedule 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u w:val="single" w:color="auto"/>
          <w:color w:val="auto"/>
        </w:rPr>
        <w:t>Compliance Certificate</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600" w:type="dxa"/>
            <w:vAlign w:val="bottom"/>
            <w:tcBorders>
              <w:top w:val="single" w:sz="8" w:color="auto"/>
              <w:left w:val="single" w:sz="8" w:color="auto"/>
              <w:right w:val="single" w:sz="8" w:color="auto"/>
            </w:tcBorders>
          </w:tcPr>
          <w:p>
            <w:pPr>
              <w:spacing w:after="0"/>
              <w:rPr>
                <w:sz w:val="15"/>
                <w:szCs w:val="15"/>
                <w:color w:val="auto"/>
              </w:rPr>
            </w:pPr>
          </w:p>
        </w:tc>
        <w:tc>
          <w:tcPr>
            <w:tcW w:w="53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Fixed Charges</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1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2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3 ended</w:t>
            </w:r>
          </w:p>
        </w:tc>
        <w:tc>
          <w:tcPr>
            <w:tcW w:w="104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Quarter 4 ended</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(Quarters 1-</w:t>
            </w:r>
          </w:p>
        </w:tc>
        <w:tc>
          <w:tcPr>
            <w:tcW w:w="0" w:type="dxa"/>
            <w:vAlign w:val="bottom"/>
          </w:tcPr>
          <w:p>
            <w:pPr>
              <w:spacing w:after="0"/>
              <w:rPr>
                <w:sz w:val="1"/>
                <w:szCs w:val="1"/>
                <w:color w:val="auto"/>
              </w:rPr>
            </w:pPr>
          </w:p>
        </w:tc>
      </w:tr>
      <w:tr>
        <w:trPr>
          <w:trHeight w:val="101"/>
        </w:trPr>
        <w:tc>
          <w:tcPr>
            <w:tcW w:w="600" w:type="dxa"/>
            <w:vAlign w:val="bottom"/>
            <w:tcBorders>
              <w:left w:val="single" w:sz="8" w:color="auto"/>
              <w:right w:val="single" w:sz="8" w:color="auto"/>
            </w:tcBorders>
          </w:tcPr>
          <w:p>
            <w:pPr>
              <w:spacing w:after="0"/>
              <w:rPr>
                <w:sz w:val="8"/>
                <w:szCs w:val="8"/>
                <w:color w:val="auto"/>
              </w:rPr>
            </w:pPr>
          </w:p>
        </w:tc>
        <w:tc>
          <w:tcPr>
            <w:tcW w:w="5360" w:type="dxa"/>
            <w:vAlign w:val="bottom"/>
            <w:tcBorders>
              <w:right w:val="single" w:sz="8" w:color="auto"/>
            </w:tcBorders>
            <w:vMerge w:val="continue"/>
          </w:tcPr>
          <w:p>
            <w:pPr>
              <w:spacing w:after="0"/>
              <w:rPr>
                <w:sz w:val="8"/>
                <w:szCs w:val="8"/>
                <w:color w:val="auto"/>
              </w:rPr>
            </w:pPr>
          </w:p>
        </w:tc>
        <w:tc>
          <w:tcPr>
            <w:tcW w:w="740" w:type="dxa"/>
            <w:vAlign w:val="bottom"/>
            <w:gridSpan w:val="6"/>
            <w:vMerge w:val="restart"/>
          </w:tcPr>
          <w:p>
            <w:pPr>
              <w:jc w:val="right"/>
              <w:ind w:right="140"/>
              <w:spacing w:after="0" w:line="153" w:lineRule="exact"/>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vMerge w:val="restart"/>
          </w:tcPr>
          <w:p>
            <w:pPr>
              <w:jc w:val="right"/>
              <w:ind w:right="140"/>
              <w:spacing w:after="0" w:line="153" w:lineRule="exact"/>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vMerge w:val="restart"/>
          </w:tcPr>
          <w:p>
            <w:pPr>
              <w:jc w:val="right"/>
              <w:ind w:right="140"/>
              <w:spacing w:after="0" w:line="153" w:lineRule="exact"/>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right w:val="single" w:sz="8" w:color="auto"/>
            </w:tcBorders>
          </w:tcPr>
          <w:p>
            <w:pPr>
              <w:spacing w:after="0"/>
              <w:rPr>
                <w:sz w:val="8"/>
                <w:szCs w:val="8"/>
                <w:color w:val="auto"/>
              </w:rPr>
            </w:pPr>
          </w:p>
        </w:tc>
        <w:tc>
          <w:tcPr>
            <w:tcW w:w="740" w:type="dxa"/>
            <w:vAlign w:val="bottom"/>
            <w:gridSpan w:val="6"/>
            <w:vMerge w:val="restart"/>
          </w:tcPr>
          <w:p>
            <w:pPr>
              <w:jc w:val="right"/>
              <w:ind w:right="140"/>
              <w:spacing w:after="0" w:line="153" w:lineRule="exact"/>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vMerge w:val="restart"/>
          </w:tcPr>
          <w:p>
            <w:pPr>
              <w:jc w:val="right"/>
              <w:ind w:right="470"/>
              <w:spacing w:after="0" w:line="153" w:lineRule="exact"/>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53"/>
        </w:trPr>
        <w:tc>
          <w:tcPr>
            <w:tcW w:w="600" w:type="dxa"/>
            <w:vAlign w:val="bottom"/>
            <w:tcBorders>
              <w:left w:val="single" w:sz="8" w:color="auto"/>
              <w:right w:val="single" w:sz="8" w:color="auto"/>
            </w:tcBorders>
          </w:tcPr>
          <w:p>
            <w:pPr>
              <w:spacing w:after="0"/>
              <w:rPr>
                <w:sz w:val="4"/>
                <w:szCs w:val="4"/>
                <w:color w:val="auto"/>
              </w:rPr>
            </w:pPr>
          </w:p>
        </w:tc>
        <w:tc>
          <w:tcPr>
            <w:tcW w:w="5360" w:type="dxa"/>
            <w:vAlign w:val="bottom"/>
            <w:tcBorders>
              <w:right w:val="single" w:sz="8" w:color="auto"/>
            </w:tcBorders>
          </w:tcPr>
          <w:p>
            <w:pPr>
              <w:spacing w:after="0"/>
              <w:rPr>
                <w:sz w:val="4"/>
                <w:szCs w:val="4"/>
                <w:color w:val="auto"/>
              </w:rPr>
            </w:pPr>
          </w:p>
        </w:tc>
        <w:tc>
          <w:tcPr>
            <w:tcW w:w="740" w:type="dxa"/>
            <w:vAlign w:val="bottom"/>
            <w:gridSpan w:val="6"/>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740" w:type="dxa"/>
            <w:vAlign w:val="bottom"/>
            <w:gridSpan w:val="6"/>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740" w:type="dxa"/>
            <w:vAlign w:val="bottom"/>
            <w:gridSpan w:val="6"/>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740" w:type="dxa"/>
            <w:vAlign w:val="bottom"/>
            <w:gridSpan w:val="6"/>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w:t>
            </w:r>
          </w:p>
        </w:tc>
        <w:tc>
          <w:tcPr>
            <w:tcW w:w="5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Consolidated Interest Expense paid or payable in cash,</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5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scheduled principal payments with respect to Indebtedness,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5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Capital Expenditures (not financed through an issuance of Indebtedness (other than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0" w:type="dxa"/>
            <w:vAlign w:val="bottom"/>
            <w:tcBorders>
              <w:left w:val="single" w:sz="8" w:color="auto"/>
              <w:right w:val="single" w:sz="8" w:color="auto"/>
            </w:tcBorders>
          </w:tcPr>
          <w:p>
            <w:pPr>
              <w:spacing w:after="0"/>
              <w:rPr>
                <w:sz w:val="15"/>
                <w:szCs w:val="15"/>
                <w:color w:val="auto"/>
              </w:rPr>
            </w:pPr>
          </w:p>
        </w:tc>
        <w:tc>
          <w:tcPr>
            <w:tcW w:w="5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Revolving Credit Loans) or Equity Issuance permitted hereunder)</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5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federal, state, local and foreign income taxes paid in cash</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5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cash Restricted Payments made by the Borrower</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00" w:type="dxa"/>
            <w:vAlign w:val="bottom"/>
            <w:tcBorders>
              <w:left w:val="single" w:sz="8" w:color="auto"/>
              <w:right w:val="single" w:sz="8" w:color="auto"/>
            </w:tcBorders>
          </w:tcPr>
          <w:p>
            <w:pPr>
              <w:spacing w:after="0"/>
              <w:rPr>
                <w:sz w:val="15"/>
                <w:szCs w:val="15"/>
                <w:color w:val="auto"/>
              </w:rPr>
            </w:pPr>
          </w:p>
        </w:tc>
        <w:tc>
          <w:tcPr>
            <w:tcW w:w="5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Consolidated Fixed Charges (sum of (a) through (e))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of Compliance Certificate</w:t>
      </w:r>
    </w:p>
    <w:p>
      <w:pPr>
        <w:sectPr>
          <w:pgSz w:w="11900" w:h="16838" w:orient="portrait"/>
          <w:cols w:equalWidth="0" w:num="1">
            <w:col w:w="11300"/>
          </w:cols>
          <w:pgMar w:left="300" w:top="1248" w:right="299" w:bottom="1440" w:gutter="0" w:footer="0" w:header="0"/>
        </w:sectPr>
      </w:pPr>
    </w:p>
    <w:bookmarkStart w:id="587" w:name="page588"/>
    <w:bookmarkEnd w:id="587"/>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FORM OF ASSIGNMENT AND ASSUMPTION</w:t>
      </w:r>
    </w:p>
    <w:p>
      <w:pPr>
        <w:sectPr>
          <w:pgSz w:w="11900" w:h="16838" w:orient="portrait"/>
          <w:cols w:equalWidth="0" w:num="1">
            <w:col w:w="9019"/>
          </w:cols>
          <w:pgMar w:left="1440" w:top="1248" w:right="1440" w:bottom="1440" w:gutter="0" w:footer="0" w:header="0"/>
        </w:sectPr>
      </w:pPr>
    </w:p>
    <w:bookmarkStart w:id="588" w:name="page589"/>
    <w:bookmarkEnd w:id="588"/>
    <w:p>
      <w:pPr>
        <w:jc w:val="center"/>
        <w:spacing w:after="0"/>
        <w:rPr>
          <w:sz w:val="20"/>
          <w:szCs w:val="20"/>
          <w:color w:val="auto"/>
        </w:rPr>
      </w:pPr>
      <w:r>
        <w:rPr>
          <w:rFonts w:ascii="Times New Roman" w:cs="Times New Roman" w:eastAsia="Times New Roman" w:hAnsi="Times New Roman"/>
          <w:sz w:val="15"/>
          <w:szCs w:val="15"/>
          <w:u w:val="single" w:color="auto"/>
          <w:color w:val="auto"/>
        </w:rPr>
        <w:t>ASSIGNMENT AND ASSUMPTION</w:t>
      </w:r>
    </w:p>
    <w:p>
      <w:pPr>
        <w:spacing w:after="0" w:line="170" w:lineRule="exact"/>
        <w:rPr>
          <w:sz w:val="20"/>
          <w:szCs w:val="20"/>
          <w:color w:val="auto"/>
        </w:rPr>
      </w:pPr>
    </w:p>
    <w:p>
      <w:pPr>
        <w:jc w:val="both"/>
        <w:ind w:firstLine="505"/>
        <w:spacing w:after="0" w:line="226" w:lineRule="auto"/>
        <w:rPr>
          <w:sz w:val="20"/>
          <w:szCs w:val="20"/>
          <w:color w:val="auto"/>
        </w:rPr>
      </w:pPr>
      <w:r>
        <w:rPr>
          <w:rFonts w:ascii="Times New Roman" w:cs="Times New Roman" w:eastAsia="Times New Roman" w:hAnsi="Times New Roman"/>
          <w:sz w:val="15"/>
          <w:szCs w:val="15"/>
          <w:color w:val="auto"/>
        </w:rPr>
        <w:t>This Assignment and Assumption (the “</w:t>
      </w:r>
      <w:r>
        <w:rPr>
          <w:rFonts w:ascii="Times New Roman" w:cs="Times New Roman" w:eastAsia="Times New Roman" w:hAnsi="Times New Roman"/>
          <w:sz w:val="15"/>
          <w:szCs w:val="15"/>
          <w:u w:val="single" w:color="auto"/>
          <w:color w:val="auto"/>
        </w:rPr>
        <w:t>Assignment and Assumption</w:t>
      </w:r>
      <w:r>
        <w:rPr>
          <w:rFonts w:ascii="Times New Roman" w:cs="Times New Roman" w:eastAsia="Times New Roman" w:hAnsi="Times New Roman"/>
          <w:sz w:val="15"/>
          <w:szCs w:val="15"/>
          <w:color w:val="auto"/>
        </w:rPr>
        <w:t xml:space="preserve">”) is dated as of the Effective Date set forth below and is entered into by and between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i w:val="1"/>
          <w:iCs w:val="1"/>
          <w:color w:val="auto"/>
        </w:rPr>
        <w:t>INSERT NAME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 ASSIGNOR</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u w:val="single" w:color="auto"/>
          <w:color w:val="auto"/>
        </w:rPr>
        <w:t>Assignor</w:t>
      </w:r>
      <w:r>
        <w:rPr>
          <w:rFonts w:ascii="Times New Roman" w:cs="Times New Roman" w:eastAsia="Times New Roman" w:hAnsi="Times New Roman"/>
          <w:sz w:val="15"/>
          <w:szCs w:val="15"/>
          <w:color w:val="auto"/>
        </w:rPr>
        <w:t>”) and the parties identified on the Schedules hereto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each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Assignee identified on the Schedules hereto as “Assignee” or as “Assignees”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(collectively, the “</w:t>
      </w:r>
      <w:r>
        <w:rPr>
          <w:rFonts w:ascii="Times New Roman" w:cs="Times New Roman" w:eastAsia="Times New Roman" w:hAnsi="Times New Roman"/>
          <w:sz w:val="15"/>
          <w:szCs w:val="15"/>
          <w:u w:val="single" w:color="auto"/>
          <w:color w:val="auto"/>
        </w:rPr>
        <w:t>Assignees</w:t>
      </w:r>
      <w:r>
        <w:rPr>
          <w:rFonts w:ascii="Times New Roman" w:cs="Times New Roman" w:eastAsia="Times New Roman" w:hAnsi="Times New Roman"/>
          <w:sz w:val="15"/>
          <w:szCs w:val="15"/>
          <w:color w:val="auto"/>
        </w:rPr>
        <w:t>” and each, an “</w:t>
      </w:r>
      <w:r>
        <w:rPr>
          <w:rFonts w:ascii="Times New Roman" w:cs="Times New Roman" w:eastAsia="Times New Roman" w:hAnsi="Times New Roman"/>
          <w:sz w:val="15"/>
          <w:szCs w:val="15"/>
          <w:u w:val="single" w:color="auto"/>
          <w:color w:val="auto"/>
        </w:rPr>
        <w:t>Assignee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It is understood and agreed that the rights and obligations of the Assignees</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hereunder are several and not joint.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5"/>
          <w:szCs w:val="15"/>
          <w:color w:val="auto"/>
        </w:rPr>
        <w:t xml:space="preserve"> Capitalized terms used but not defined herein shall have the meanings given to them in the Credit Agreement identified below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xml:space="preserve">”), receipt of a copy of which is hereby acknowledged by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each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Assignee. The Standard Terms and Conditions set forth in </w:t>
      </w:r>
      <w:r>
        <w:rPr>
          <w:rFonts w:ascii="Times New Roman" w:cs="Times New Roman" w:eastAsia="Times New Roman" w:hAnsi="Times New Roman"/>
          <w:sz w:val="15"/>
          <w:szCs w:val="15"/>
          <w:u w:val="single" w:color="auto"/>
          <w:color w:val="auto"/>
        </w:rPr>
        <w:t>Annex 1</w:t>
      </w:r>
      <w:r>
        <w:rPr>
          <w:rFonts w:ascii="Times New Roman" w:cs="Times New Roman" w:eastAsia="Times New Roman" w:hAnsi="Times New Roman"/>
          <w:sz w:val="15"/>
          <w:szCs w:val="15"/>
          <w:color w:val="auto"/>
        </w:rPr>
        <w:t xml:space="preserve"> attached hereto are hereby agreed to and incorporated herein by reference and made a part of this Assignment and Assumption as if set forth herein in full.</w:t>
      </w:r>
    </w:p>
    <w:p>
      <w:pPr>
        <w:spacing w:after="0" w:line="147" w:lineRule="exact"/>
        <w:rPr>
          <w:sz w:val="20"/>
          <w:szCs w:val="20"/>
          <w:color w:val="auto"/>
        </w:rPr>
      </w:pPr>
    </w:p>
    <w:p>
      <w:pPr>
        <w:jc w:val="both"/>
        <w:ind w:firstLine="505"/>
        <w:spacing w:after="0" w:line="250" w:lineRule="auto"/>
        <w:rPr>
          <w:sz w:val="20"/>
          <w:szCs w:val="20"/>
          <w:color w:val="auto"/>
        </w:rPr>
      </w:pPr>
      <w:r>
        <w:rPr>
          <w:rFonts w:ascii="Times New Roman" w:cs="Times New Roman" w:eastAsia="Times New Roman" w:hAnsi="Times New Roman"/>
          <w:sz w:val="15"/>
          <w:szCs w:val="15"/>
          <w:color w:val="auto"/>
        </w:rPr>
        <w:t xml:space="preserve">For an agreed consideration, the Assignor hereby irrevocably sells and assigns to the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Assignee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respective Assignees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each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to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any</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Assignee pursuant to clauses (i) and (ii) above being referred to herein collectively as,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an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Assigned Interest</w:t>
      </w:r>
      <w:r>
        <w:rPr>
          <w:rFonts w:ascii="Times New Roman" w:cs="Times New Roman" w:eastAsia="Times New Roman" w:hAnsi="Times New Roman"/>
          <w:sz w:val="15"/>
          <w:szCs w:val="15"/>
          <w:color w:val="auto"/>
        </w:rPr>
        <w:t>”). Each such sale and assignment is without recourse to the Assignor and, except as expressly provided in this Assignment and Assumption, without representation or warranty by the Assignor.</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88"/>
              </w:rPr>
              <w:t>1.</w:t>
            </w:r>
          </w:p>
        </w:tc>
        <w:tc>
          <w:tcPr>
            <w:tcW w:w="2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Assignor:</w:t>
            </w:r>
          </w:p>
        </w:tc>
        <w:tc>
          <w:tcPr>
            <w:tcW w:w="7820" w:type="dxa"/>
            <w:vAlign w:val="bottom"/>
          </w:tcPr>
          <w:p>
            <w:pPr>
              <w:ind w:left="980"/>
              <w:spacing w:after="0"/>
              <w:rPr>
                <w:sz w:val="20"/>
                <w:szCs w:val="20"/>
                <w:color w:val="auto"/>
              </w:rPr>
            </w:pPr>
            <w:r>
              <w:rPr>
                <w:rFonts w:ascii="Times New Roman" w:cs="Times New Roman" w:eastAsia="Times New Roman" w:hAnsi="Times New Roman"/>
                <w:sz w:val="15"/>
                <w:szCs w:val="15"/>
                <w:i w:val="1"/>
                <w:iCs w:val="1"/>
                <w:color w:val="auto"/>
              </w:rPr>
              <w:t>[INSERT NAME OF ASSIGNOR]</w:t>
            </w:r>
          </w:p>
        </w:tc>
      </w:tr>
      <w:tr>
        <w:trPr>
          <w:trHeight w:val="368"/>
        </w:trPr>
        <w:tc>
          <w:tcPr>
            <w:tcW w:w="54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88"/>
              </w:rPr>
              <w:t>2.</w:t>
            </w:r>
          </w:p>
        </w:tc>
        <w:tc>
          <w:tcPr>
            <w:tcW w:w="2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Assignee(s):</w:t>
            </w:r>
          </w:p>
        </w:tc>
        <w:tc>
          <w:tcPr>
            <w:tcW w:w="7820" w:type="dxa"/>
            <w:vAlign w:val="bottom"/>
          </w:tcPr>
          <w:p>
            <w:pPr>
              <w:ind w:left="980"/>
              <w:spacing w:after="0"/>
              <w:rPr>
                <w:sz w:val="20"/>
                <w:szCs w:val="20"/>
                <w:color w:val="auto"/>
              </w:rPr>
            </w:pPr>
            <w:r>
              <w:rPr>
                <w:rFonts w:ascii="Times New Roman" w:cs="Times New Roman" w:eastAsia="Times New Roman" w:hAnsi="Times New Roman"/>
                <w:sz w:val="15"/>
                <w:szCs w:val="15"/>
                <w:i w:val="1"/>
                <w:iCs w:val="1"/>
                <w:color w:val="auto"/>
              </w:rPr>
              <w:t>See Schedules attached hereto</w:t>
            </w:r>
          </w:p>
        </w:tc>
      </w:tr>
      <w:tr>
        <w:trPr>
          <w:trHeight w:val="368"/>
        </w:trPr>
        <w:tc>
          <w:tcPr>
            <w:tcW w:w="54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88"/>
              </w:rPr>
              <w:t>3.</w:t>
            </w:r>
          </w:p>
        </w:tc>
        <w:tc>
          <w:tcPr>
            <w:tcW w:w="2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Borrower:</w:t>
            </w:r>
          </w:p>
        </w:tc>
        <w:tc>
          <w:tcPr>
            <w:tcW w:w="782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Wealthfront Corporation</w:t>
            </w:r>
          </w:p>
        </w:tc>
      </w:tr>
      <w:tr>
        <w:trPr>
          <w:trHeight w:val="368"/>
        </w:trPr>
        <w:tc>
          <w:tcPr>
            <w:tcW w:w="54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88"/>
              </w:rPr>
              <w:t>4.</w:t>
            </w:r>
          </w:p>
        </w:tc>
        <w:tc>
          <w:tcPr>
            <w:tcW w:w="2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Administrative Agent:</w:t>
            </w:r>
          </w:p>
        </w:tc>
        <w:tc>
          <w:tcPr>
            <w:tcW w:w="782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Wells Fargo Bank, National Association, as the administrative agent under the Credit Agreement</w:t>
            </w:r>
          </w:p>
        </w:tc>
      </w:tr>
      <w:tr>
        <w:trPr>
          <w:trHeight w:val="326"/>
        </w:trPr>
        <w:tc>
          <w:tcPr>
            <w:tcW w:w="54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88"/>
              </w:rPr>
              <w:t>5.</w:t>
            </w:r>
          </w:p>
        </w:tc>
        <w:tc>
          <w:tcPr>
            <w:tcW w:w="2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Credit Agreement:</w:t>
            </w:r>
          </w:p>
        </w:tc>
        <w:tc>
          <w:tcPr>
            <w:tcW w:w="782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The Amended and Restated Credit Agreement dated as of October 14, 2025 among Wealthfront Corporation, as</w:t>
            </w:r>
          </w:p>
        </w:tc>
      </w:tr>
      <w:tr>
        <w:trPr>
          <w:trHeight w:val="199"/>
        </w:trPr>
        <w:tc>
          <w:tcPr>
            <w:tcW w:w="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Borrower, the Lenders party thereto, and Wells Fargo Bank, National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12814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1281430" cy="6985"/>
                    </a:xfrm>
                    <a:prstGeom prst="rect">
                      <a:avLst/>
                    </a:prstGeom>
                    <a:noFill/>
                  </pic:spPr>
                </pic:pic>
              </a:graphicData>
            </a:graphic>
          </wp:anchor>
        </w:drawing>
      </w:r>
    </w:p>
    <w:p>
      <w:pPr>
        <w:spacing w:after="0" w:line="287" w:lineRule="exact"/>
        <w:rPr>
          <w:sz w:val="20"/>
          <w:szCs w:val="20"/>
          <w:color w:val="auto"/>
        </w:rPr>
      </w:pPr>
    </w:p>
    <w:p>
      <w:pPr>
        <w:ind w:firstLine="4"/>
        <w:spacing w:after="0" w:line="228" w:lineRule="auto"/>
        <w:tabs>
          <w:tab w:leader="none" w:pos="91" w:val="left"/>
        </w:tabs>
        <w:numPr>
          <w:ilvl w:val="0"/>
          <w:numId w:val="4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 w:lineRule="exact"/>
        <w:rPr>
          <w:rFonts w:ascii="Times New Roman" w:cs="Times New Roman" w:eastAsia="Times New Roman" w:hAnsi="Times New Roman"/>
          <w:sz w:val="18"/>
          <w:szCs w:val="18"/>
          <w:color w:val="auto"/>
          <w:vertAlign w:val="superscript"/>
        </w:rPr>
      </w:pPr>
    </w:p>
    <w:p>
      <w:pPr>
        <w:spacing w:after="0" w:line="19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Select as appropriate.</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Include bracketed language if there are multiple Assignees.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Assignment and Assumption</w:t>
      </w:r>
    </w:p>
    <w:p>
      <w:pPr>
        <w:sectPr>
          <w:pgSz w:w="11900" w:h="16838" w:orient="portrait"/>
          <w:cols w:equalWidth="0" w:num="1">
            <w:col w:w="11280"/>
          </w:cols>
          <w:pgMar w:left="300" w:top="1248" w:right="319" w:bottom="1440" w:gutter="0" w:footer="0" w:header="0"/>
        </w:sectPr>
      </w:pPr>
    </w:p>
    <w:bookmarkStart w:id="589" w:name="page590"/>
    <w:bookmarkEnd w:id="589"/>
    <w:tbl>
      <w:tblPr>
        <w:tblLayout w:type="fixed"/>
        <w:tblInd w:w="16" w:type="dxa"/>
        <w:tblCellMar>
          <w:top w:w="0" w:type="dxa"/>
          <w:left w:w="0" w:type="dxa"/>
          <w:bottom w:w="0" w:type="dxa"/>
          <w:right w:w="0" w:type="dxa"/>
        </w:tblCellMar>
      </w:tblPr>
      <w:tr>
        <w:trPr>
          <w:trHeight w:val="199"/>
        </w:trPr>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60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Association, as Administrative Agent (as amended, restated, supplemented or otherwise modified)</w:t>
            </w:r>
          </w:p>
        </w:tc>
      </w:tr>
      <w:tr>
        <w:trPr>
          <w:trHeight w:val="38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6.</w:t>
            </w:r>
          </w:p>
        </w:tc>
        <w:tc>
          <w:tcPr>
            <w:tcW w:w="22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Assigned Interest:</w:t>
            </w:r>
          </w:p>
        </w:tc>
        <w:tc>
          <w:tcPr>
            <w:tcW w:w="7600" w:type="dxa"/>
            <w:vAlign w:val="bottom"/>
          </w:tcPr>
          <w:p>
            <w:pPr>
              <w:ind w:left="1520"/>
              <w:spacing w:after="0"/>
              <w:rPr>
                <w:sz w:val="20"/>
                <w:szCs w:val="20"/>
                <w:color w:val="auto"/>
              </w:rPr>
            </w:pPr>
            <w:r>
              <w:rPr>
                <w:rFonts w:ascii="Times New Roman" w:cs="Times New Roman" w:eastAsia="Times New Roman" w:hAnsi="Times New Roman"/>
                <w:sz w:val="15"/>
                <w:szCs w:val="15"/>
                <w:i w:val="1"/>
                <w:iCs w:val="1"/>
                <w:color w:val="auto"/>
              </w:rPr>
              <w:t>See Schedules attached hereto</w:t>
            </w:r>
          </w:p>
        </w:tc>
      </w:tr>
      <w:tr>
        <w:trPr>
          <w:trHeight w:val="433"/>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[7.</w:t>
            </w:r>
          </w:p>
        </w:tc>
        <w:tc>
          <w:tcPr>
            <w:tcW w:w="22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Trade Date:</w:t>
            </w:r>
          </w:p>
        </w:tc>
        <w:tc>
          <w:tcPr>
            <w:tcW w:w="760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______________]</w:t>
            </w:r>
            <w:r>
              <w:rPr>
                <w:rFonts w:ascii="Times New Roman" w:cs="Times New Roman" w:eastAsia="Times New Roman" w:hAnsi="Times New Roman"/>
                <w:sz w:val="20"/>
                <w:szCs w:val="20"/>
                <w:color w:val="auto"/>
                <w:vertAlign w:val="superscript"/>
              </w:rPr>
              <w:t>4</w:t>
            </w:r>
          </w:p>
        </w:tc>
      </w:tr>
      <w:tr>
        <w:trPr>
          <w:trHeight w:val="376"/>
        </w:trPr>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[Remainder of page intentionally left blank; signature page follows]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2814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1281430" cy="6985"/>
                    </a:xfrm>
                    <a:prstGeom prst="rect">
                      <a:avLst/>
                    </a:prstGeom>
                    <a:noFill/>
                  </pic:spPr>
                </pic:pic>
              </a:graphicData>
            </a:graphic>
          </wp:anchor>
        </w:drawing>
      </w:r>
    </w:p>
    <w:p>
      <w:pPr>
        <w:spacing w:after="0" w:line="154" w:lineRule="exact"/>
        <w:rPr>
          <w:sz w:val="20"/>
          <w:szCs w:val="20"/>
          <w:color w:val="auto"/>
        </w:rPr>
      </w:pPr>
    </w:p>
    <w:p>
      <w:pPr>
        <w:ind w:left="116" w:hanging="116"/>
        <w:spacing w:after="0"/>
        <w:tabs>
          <w:tab w:leader="none" w:pos="116" w:val="left"/>
        </w:tabs>
        <w:numPr>
          <w:ilvl w:val="0"/>
          <w:numId w:val="439"/>
        </w:numPr>
        <w:rPr>
          <w:rFonts w:ascii="Arial" w:cs="Arial" w:eastAsia="Arial" w:hAnsi="Arial"/>
          <w:sz w:val="22"/>
          <w:szCs w:val="22"/>
          <w:color w:val="auto"/>
          <w:vertAlign w:val="superscript"/>
        </w:rPr>
      </w:pPr>
      <w:r>
        <w:rPr>
          <w:rFonts w:ascii="Times New Roman" w:cs="Times New Roman" w:eastAsia="Times New Roman" w:hAnsi="Times New Roman"/>
          <w:sz w:val="14"/>
          <w:szCs w:val="14"/>
          <w:color w:val="auto"/>
        </w:rPr>
        <w:t>To be completed if the Assignor and the Assignees intend that the minimum assignment amount is to be determined as of the Trade Date.</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6" w:lineRule="exact"/>
        <w:rPr>
          <w:rFonts w:ascii="Arial" w:cs="Arial" w:eastAsia="Arial" w:hAnsi="Arial"/>
          <w:sz w:val="22"/>
          <w:szCs w:val="22"/>
          <w:color w:val="auto"/>
          <w:vertAlign w:val="superscript"/>
        </w:rPr>
      </w:pPr>
    </w:p>
    <w:p>
      <w:pPr>
        <w:ind w:left="4576"/>
        <w:spacing w:after="0"/>
        <w:rPr>
          <w:rFonts w:ascii="Arial" w:cs="Arial" w:eastAsia="Arial" w:hAnsi="Arial"/>
          <w:sz w:val="22"/>
          <w:szCs w:val="22"/>
          <w:color w:val="auto"/>
          <w:vertAlign w:val="superscript"/>
        </w:rPr>
      </w:pPr>
      <w:r>
        <w:rPr>
          <w:rFonts w:ascii="Times New Roman" w:cs="Times New Roman" w:eastAsia="Times New Roman" w:hAnsi="Times New Roman"/>
          <w:sz w:val="14"/>
          <w:szCs w:val="14"/>
          <w:color w:val="auto"/>
        </w:rPr>
        <w:t>Form of Assignment and Assumption</w:t>
      </w:r>
    </w:p>
    <w:p>
      <w:pPr>
        <w:sectPr>
          <w:pgSz w:w="11900" w:h="16838" w:orient="portrait"/>
          <w:cols w:equalWidth="0" w:num="1">
            <w:col w:w="10416"/>
          </w:cols>
          <w:pgMar w:left="304" w:top="1280" w:right="117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5"/>
          <w:szCs w:val="15"/>
          <w:color w:val="auto"/>
        </w:rPr>
        <w:t xml:space="preserve">Effective Date: _____________ ___, 2____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i w:val="1"/>
          <w:iCs w:val="1"/>
          <w:color w:val="auto"/>
        </w:rPr>
        <w:t>TO BE INSERTED BY THE ADMINISTRATIVE AGENT AND WHICH SHALL BE THE EFFECTIVE DATE OF RECORDATION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TRANSFER IN THE REGISTER THEREFOR</w:t>
      </w:r>
      <w:r>
        <w:rPr>
          <w:rFonts w:ascii="Times New Roman" w:cs="Times New Roman" w:eastAsia="Times New Roman" w:hAnsi="Times New Roman"/>
          <w:sz w:val="15"/>
          <w:szCs w:val="15"/>
          <w:b w:val="1"/>
          <w:bCs w:val="1"/>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terms set forth in this Assignment and Assumption are hereby agreed to:</w:t>
      </w:r>
    </w:p>
    <w:p>
      <w:pPr>
        <w:spacing w:after="0" w:line="20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u w:val="single" w:color="auto"/>
          <w:color w:val="auto"/>
        </w:rPr>
        <w:t>ASSIGNOR</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NAME OF ASSIGNOR</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p>
      <w:pPr>
        <w:spacing w:after="0" w:line="3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-104775</wp:posOffset>
            </wp:positionV>
            <wp:extent cx="311086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Title:</w:t>
      </w:r>
    </w:p>
    <w:p>
      <w:pPr>
        <w:spacing w:after="0" w:line="36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u w:val="single" w:color="auto"/>
          <w:color w:val="auto"/>
        </w:rPr>
        <w:t>ASSIGNEES</w:t>
      </w:r>
    </w:p>
    <w:p>
      <w:pPr>
        <w:spacing w:after="0" w:line="19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i w:val="1"/>
          <w:iCs w:val="1"/>
          <w:color w:val="auto"/>
        </w:rPr>
        <w:t>See Schedules attached hereto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Assignment and Assumption</w:t>
      </w:r>
    </w:p>
    <w:p>
      <w:pPr>
        <w:sectPr>
          <w:pgSz w:w="11900" w:h="16838" w:orient="portrait"/>
          <w:cols w:equalWidth="0" w:num="1">
            <w:col w:w="11280"/>
          </w:cols>
          <w:pgMar w:left="300" w:top="1243" w:right="31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Consented to and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Accepted:</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as Administrative Agent, Issuing Lender and Swingline Lender</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-104775</wp:posOffset>
            </wp:positionV>
            <wp:extent cx="273685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2736850" cy="6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Consented to: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0"/>
          <w:szCs w:val="20"/>
          <w:color w:val="auto"/>
          <w:vertAlign w:val="superscript"/>
        </w:rPr>
        <w:t>2</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BORROWER</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-104775</wp:posOffset>
            </wp:positionV>
            <wp:extent cx="264985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2649855" cy="6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Consented to: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0"/>
          <w:szCs w:val="20"/>
          <w:color w:val="auto"/>
          <w:vertAlign w:val="superscript"/>
        </w:rPr>
        <w:t>3</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ISSUING LENDER</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-104775</wp:posOffset>
            </wp:positionV>
            <wp:extent cx="264985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2649855" cy="6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wp:posOffset>
            </wp:positionV>
            <wp:extent cx="12814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1281430" cy="6985"/>
                    </a:xfrm>
                    <a:prstGeom prst="rect">
                      <a:avLst/>
                    </a:prstGeom>
                    <a:noFill/>
                  </pic:spPr>
                </pic:pic>
              </a:graphicData>
            </a:graphic>
          </wp:anchor>
        </w:drawing>
      </w:r>
    </w:p>
    <w:p>
      <w:pPr>
        <w:spacing w:after="0" w:line="300" w:lineRule="exact"/>
        <w:rPr>
          <w:sz w:val="20"/>
          <w:szCs w:val="20"/>
          <w:color w:val="auto"/>
        </w:rPr>
      </w:pPr>
    </w:p>
    <w:p>
      <w:pPr>
        <w:ind w:left="80" w:hanging="76"/>
        <w:spacing w:after="0"/>
        <w:tabs>
          <w:tab w:leader="none" w:pos="80" w:val="left"/>
        </w:tabs>
        <w:numPr>
          <w:ilvl w:val="0"/>
          <w:numId w:val="4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 be added only if the consent of the Administrative Agent and/or the Swingline Lender and Issuing Lender is required by the terms of the Credit Agreement. May also use a Master Consent.</w:t>
      </w:r>
    </w:p>
    <w:p>
      <w:pPr>
        <w:spacing w:after="0" w:line="1" w:lineRule="exact"/>
        <w:rPr>
          <w:rFonts w:ascii="Times New Roman" w:cs="Times New Roman" w:eastAsia="Times New Roman" w:hAnsi="Times New Roman"/>
          <w:sz w:val="18"/>
          <w:szCs w:val="18"/>
          <w:color w:val="auto"/>
          <w:vertAlign w:val="superscript"/>
        </w:rPr>
      </w:pPr>
    </w:p>
    <w:p>
      <w:pPr>
        <w:spacing w:after="0" w:line="195"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To be added only if the consent of the Borrower is required by the terms of the Credit Agreement. May also use a Master Consent.</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To be added only if the consent of the Issuing Lender(s) is required by the terms of the Credit Agreement. May also use a Master Consent.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Assignment and Assumption</w:t>
      </w:r>
    </w:p>
    <w:p>
      <w:pPr>
        <w:sectPr>
          <w:pgSz w:w="11900" w:h="16838" w:orient="portrait"/>
          <w:cols w:equalWidth="0" w:num="1">
            <w:col w:w="10840"/>
          </w:cols>
          <w:pgMar w:left="300" w:top="1243" w:right="759" w:bottom="1440" w:gutter="0" w:footer="0" w:header="0"/>
        </w:sectPr>
      </w:pPr>
    </w:p>
    <w:bookmarkStart w:id="592" w:name="page593"/>
    <w:bookmarkEnd w:id="592"/>
    <w:p>
      <w:pPr>
        <w:jc w:val="center"/>
        <w:spacing w:after="0"/>
        <w:rPr>
          <w:sz w:val="20"/>
          <w:szCs w:val="20"/>
          <w:color w:val="auto"/>
        </w:rPr>
      </w:pPr>
      <w:r>
        <w:rPr>
          <w:rFonts w:ascii="Times New Roman" w:cs="Times New Roman" w:eastAsia="Times New Roman" w:hAnsi="Times New Roman"/>
          <w:sz w:val="15"/>
          <w:szCs w:val="15"/>
          <w:u w:val="single" w:color="auto"/>
          <w:color w:val="auto"/>
        </w:rPr>
        <w:t>SCHEDULE 1</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To Assignment and Assumption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its execution of this Schedule, the Assignee identified on the signature block below agrees to the terms set forth in the attached Assignment and Assumption.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Assigned Interests: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180" w:type="dxa"/>
            <w:vAlign w:val="bottom"/>
            <w:tcBorders>
              <w:top w:val="single" w:sz="8" w:color="auto"/>
              <w:left w:val="single" w:sz="8" w:color="auto"/>
              <w:right w:val="single" w:sz="8" w:color="auto"/>
            </w:tcBorders>
          </w:tcPr>
          <w:p>
            <w:pPr>
              <w:ind w:left="520"/>
              <w:spacing w:after="0" w:line="205" w:lineRule="exact"/>
              <w:rPr>
                <w:sz w:val="20"/>
                <w:szCs w:val="20"/>
                <w:color w:val="auto"/>
              </w:rPr>
            </w:pPr>
            <w:r>
              <w:rPr>
                <w:rFonts w:ascii="Times New Roman" w:cs="Times New Roman" w:eastAsia="Times New Roman" w:hAnsi="Times New Roman"/>
                <w:sz w:val="15"/>
                <w:szCs w:val="15"/>
                <w:color w:val="auto"/>
              </w:rPr>
              <w:t>Facility Assigned</w:t>
            </w:r>
            <w:r>
              <w:rPr>
                <w:rFonts w:ascii="Times New Roman" w:cs="Times New Roman" w:eastAsia="Times New Roman" w:hAnsi="Times New Roman"/>
                <w:sz w:val="20"/>
                <w:szCs w:val="20"/>
                <w:color w:val="auto"/>
                <w:vertAlign w:val="superscript"/>
              </w:rPr>
              <w:t>1</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Aggregate Amount of</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Amount of</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Percentage</w:t>
            </w:r>
          </w:p>
        </w:tc>
        <w:tc>
          <w:tcPr>
            <w:tcW w:w="214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CUSIP Number</w:t>
            </w:r>
          </w:p>
        </w:tc>
      </w:tr>
      <w:tr>
        <w:trPr>
          <w:trHeight w:val="179"/>
        </w:trPr>
        <w:tc>
          <w:tcPr>
            <w:tcW w:w="218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Commitment/ Loans for all</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Commitment/</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Assigned of</w:t>
            </w:r>
          </w:p>
        </w:tc>
        <w:tc>
          <w:tcPr>
            <w:tcW w:w="2140" w:type="dxa"/>
            <w:vAlign w:val="bottom"/>
            <w:tcBorders>
              <w:right w:val="single" w:sz="8" w:color="auto"/>
            </w:tcBorders>
          </w:tcPr>
          <w:p>
            <w:pPr>
              <w:spacing w:after="0"/>
              <w:rPr>
                <w:sz w:val="15"/>
                <w:szCs w:val="15"/>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5"/>
                <w:szCs w:val="15"/>
                <w:color w:val="auto"/>
                <w:w w:val="98"/>
              </w:rPr>
              <w:t>Lenders</w:t>
            </w:r>
            <w:r>
              <w:rPr>
                <w:rFonts w:ascii="Times New Roman" w:cs="Times New Roman" w:eastAsia="Times New Roman" w:hAnsi="Times New Roman"/>
                <w:sz w:val="20"/>
                <w:szCs w:val="20"/>
                <w:color w:val="auto"/>
                <w:w w:val="98"/>
                <w:vertAlign w:val="superscript"/>
              </w:rPr>
              <w:t>2</w:t>
            </w:r>
          </w:p>
        </w:tc>
        <w:tc>
          <w:tcPr>
            <w:tcW w:w="27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5"/>
                <w:szCs w:val="15"/>
                <w:color w:val="auto"/>
              </w:rPr>
              <w:t>Loans Assigned</w:t>
            </w:r>
            <w:r>
              <w:rPr>
                <w:rFonts w:ascii="Times New Roman" w:cs="Times New Roman" w:eastAsia="Times New Roman" w:hAnsi="Times New Roman"/>
                <w:sz w:val="20"/>
                <w:szCs w:val="20"/>
                <w:color w:val="auto"/>
                <w:vertAlign w:val="superscript"/>
              </w:rPr>
              <w:t>3</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Commitment/</w:t>
            </w:r>
          </w:p>
        </w:tc>
        <w:tc>
          <w:tcPr>
            <w:tcW w:w="2140" w:type="dxa"/>
            <w:vAlign w:val="bottom"/>
            <w:tcBorders>
              <w:right w:val="single" w:sz="8" w:color="auto"/>
            </w:tcBorders>
          </w:tcPr>
          <w:p>
            <w:pPr>
              <w:spacing w:after="0"/>
              <w:rPr>
                <w:sz w:val="16"/>
                <w:szCs w:val="16"/>
                <w:color w:val="auto"/>
              </w:rPr>
            </w:pPr>
          </w:p>
        </w:tc>
      </w:tr>
      <w:tr>
        <w:trPr>
          <w:trHeight w:val="216"/>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5"/>
                <w:szCs w:val="15"/>
                <w:color w:val="auto"/>
                <w:w w:val="96"/>
              </w:rPr>
              <w:t>Loans</w:t>
            </w:r>
            <w:r>
              <w:rPr>
                <w:rFonts w:ascii="Times New Roman" w:cs="Times New Roman" w:eastAsia="Times New Roman" w:hAnsi="Times New Roman"/>
                <w:sz w:val="20"/>
                <w:szCs w:val="20"/>
                <w:color w:val="auto"/>
                <w:w w:val="96"/>
                <w:vertAlign w:val="superscript"/>
              </w:rPr>
              <w:t>4</w:t>
            </w:r>
          </w:p>
        </w:tc>
        <w:tc>
          <w:tcPr>
            <w:tcW w:w="2140" w:type="dxa"/>
            <w:vAlign w:val="bottom"/>
            <w:tcBorders>
              <w:bottom w:val="single" w:sz="8" w:color="auto"/>
              <w:right w:val="single" w:sz="8" w:color="auto"/>
            </w:tcBorders>
          </w:tcPr>
          <w:p>
            <w:pPr>
              <w:spacing w:after="0"/>
              <w:rPr>
                <w:sz w:val="18"/>
                <w:szCs w:val="18"/>
                <w:color w:val="auto"/>
              </w:rPr>
            </w:pPr>
          </w:p>
        </w:tc>
      </w:tr>
      <w:tr>
        <w:trPr>
          <w:trHeight w:val="190"/>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right"/>
              <w:ind w:right="2003"/>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bottom w:val="single" w:sz="8" w:color="auto"/>
              <w:right w:val="single" w:sz="8" w:color="auto"/>
            </w:tcBorders>
          </w:tcPr>
          <w:p>
            <w:pPr>
              <w:jc w:val="right"/>
              <w:ind w:right="250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Borders>
              <w:bottom w:val="single" w:sz="8" w:color="auto"/>
              <w:right w:val="single" w:sz="8" w:color="auto"/>
            </w:tcBorders>
          </w:tcPr>
          <w:p>
            <w:pPr>
              <w:spacing w:after="0"/>
              <w:rPr>
                <w:sz w:val="16"/>
                <w:szCs w:val="16"/>
                <w:color w:val="auto"/>
              </w:rPr>
            </w:pPr>
          </w:p>
        </w:tc>
      </w:tr>
      <w:tr>
        <w:trPr>
          <w:trHeight w:val="190"/>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right"/>
              <w:ind w:right="2003"/>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bottom w:val="single" w:sz="8" w:color="auto"/>
              <w:right w:val="single" w:sz="8" w:color="auto"/>
            </w:tcBorders>
          </w:tcPr>
          <w:p>
            <w:pPr>
              <w:jc w:val="right"/>
              <w:ind w:right="250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Borders>
              <w:bottom w:val="single" w:sz="8" w:color="auto"/>
              <w:right w:val="single" w:sz="8" w:color="auto"/>
            </w:tcBorders>
          </w:tcPr>
          <w:p>
            <w:pPr>
              <w:spacing w:after="0"/>
              <w:rPr>
                <w:sz w:val="16"/>
                <w:szCs w:val="16"/>
                <w:color w:val="auto"/>
              </w:rPr>
            </w:pPr>
          </w:p>
        </w:tc>
      </w:tr>
      <w:tr>
        <w:trPr>
          <w:trHeight w:val="190"/>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right"/>
              <w:ind w:right="2003"/>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bottom w:val="single" w:sz="8" w:color="auto"/>
              <w:right w:val="single" w:sz="8" w:color="auto"/>
            </w:tcBorders>
          </w:tcPr>
          <w:p>
            <w:pPr>
              <w:jc w:val="right"/>
              <w:ind w:right="250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NAME OF ASSIGNEE</w:t>
      </w:r>
      <w:r>
        <w:rPr>
          <w:rFonts w:ascii="Times New Roman" w:cs="Times New Roman" w:eastAsia="Times New Roman" w:hAnsi="Times New Roman"/>
          <w:sz w:val="15"/>
          <w:szCs w:val="15"/>
          <w:color w:val="auto"/>
        </w:rPr>
        <w:t>]</w:t>
      </w:r>
      <w:r>
        <w:rPr>
          <w:rFonts w:ascii="Times New Roman" w:cs="Times New Roman" w:eastAsia="Times New Roman" w:hAnsi="Times New Roman"/>
          <w:sz w:val="20"/>
          <w:szCs w:val="20"/>
          <w:color w:val="auto"/>
          <w:vertAlign w:val="superscript"/>
        </w:rPr>
        <w:t>5</w:t>
      </w:r>
    </w:p>
    <w:p>
      <w:pPr>
        <w:ind w:left="5000"/>
        <w:spacing w:after="0"/>
        <w:rPr>
          <w:sz w:val="20"/>
          <w:szCs w:val="20"/>
          <w:color w:val="auto"/>
        </w:rPr>
      </w:pPr>
      <w:r>
        <w:rPr>
          <w:rFonts w:ascii="Times New Roman" w:cs="Times New Roman" w:eastAsia="Times New Roman" w:hAnsi="Times New Roman"/>
          <w:sz w:val="15"/>
          <w:szCs w:val="15"/>
          <w:color w:val="auto"/>
        </w:rPr>
        <w:t>[and is an Affiliate/Approved Fund of [</w:t>
      </w:r>
      <w:r>
        <w:rPr>
          <w:rFonts w:ascii="Times New Roman" w:cs="Times New Roman" w:eastAsia="Times New Roman" w:hAnsi="Times New Roman"/>
          <w:sz w:val="15"/>
          <w:szCs w:val="15"/>
          <w:i w:val="1"/>
          <w:iCs w:val="1"/>
          <w:color w:val="auto"/>
        </w:rPr>
        <w:t>identify Lender</w:t>
      </w:r>
      <w:r>
        <w:rPr>
          <w:rFonts w:ascii="Times New Roman" w:cs="Times New Roman" w:eastAsia="Times New Roman" w:hAnsi="Times New Roman"/>
          <w:sz w:val="15"/>
          <w:szCs w:val="15"/>
          <w:color w:val="auto"/>
        </w:rPr>
        <w:t>]]</w:t>
      </w:r>
      <w:r>
        <w:rPr>
          <w:rFonts w:ascii="Times New Roman" w:cs="Times New Roman" w:eastAsia="Times New Roman" w:hAnsi="Times New Roman"/>
          <w:sz w:val="20"/>
          <w:szCs w:val="20"/>
          <w:color w:val="auto"/>
          <w:vertAlign w:val="superscript"/>
        </w:rPr>
        <w:t>6</w:t>
      </w:r>
    </w:p>
    <w:p>
      <w:pPr>
        <w:spacing w:after="0" w:line="16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-104775</wp:posOffset>
            </wp:positionV>
            <wp:extent cx="248983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2489835" cy="6985"/>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wp:posOffset>
            </wp:positionV>
            <wp:extent cx="12814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1281430" cy="6985"/>
                    </a:xfrm>
                    <a:prstGeom prst="rect">
                      <a:avLst/>
                    </a:prstGeom>
                    <a:noFill/>
                  </pic:spPr>
                </pic:pic>
              </a:graphicData>
            </a:graphic>
          </wp:anchor>
        </w:drawing>
      </w:r>
    </w:p>
    <w:p>
      <w:pPr>
        <w:spacing w:after="0" w:line="290" w:lineRule="exact"/>
        <w:rPr>
          <w:sz w:val="20"/>
          <w:szCs w:val="20"/>
          <w:color w:val="auto"/>
        </w:rPr>
      </w:pPr>
    </w:p>
    <w:p>
      <w:pPr>
        <w:ind w:left="80" w:hanging="76"/>
        <w:spacing w:after="0"/>
        <w:tabs>
          <w:tab w:leader="none" w:pos="80" w:val="left"/>
        </w:tabs>
        <w:numPr>
          <w:ilvl w:val="0"/>
          <w:numId w:val="4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Fill in the appropriate terminology for the types of facilities under the Credit Agreement that are being assigned under this Agreement (e.g. “Revolving Credit Commitment,” etc.)</w:t>
      </w:r>
    </w:p>
    <w:p>
      <w:pPr>
        <w:spacing w:after="0" w:line="1" w:lineRule="exact"/>
        <w:rPr>
          <w:rFonts w:ascii="Times New Roman" w:cs="Times New Roman" w:eastAsia="Times New Roman" w:hAnsi="Times New Roman"/>
          <w:sz w:val="18"/>
          <w:szCs w:val="18"/>
          <w:color w:val="auto"/>
          <w:vertAlign w:val="superscript"/>
        </w:rPr>
      </w:pPr>
    </w:p>
    <w:p>
      <w:pPr>
        <w:jc w:val="both"/>
        <w:ind w:right="2860"/>
        <w:spacing w:after="0" w:line="195"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Amount to be adjusted by the counterparties to take into account any payments or prepayments made between the Trade Date and the Effective Date.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Amount to be adjusted by the counterparties to take into account any payments or prepayments made between the Trade Date and the Effective Date. </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Set forth, to at least 9 decimals, as a percentage of the Commitment/Loans of all Lenders thereunder.</w:t>
      </w:r>
    </w:p>
    <w:p>
      <w:pPr>
        <w:spacing w:after="0" w:line="195"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Add additional signature blocks, as needed.</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4"/>
          <w:szCs w:val="14"/>
          <w:color w:val="auto"/>
        </w:rPr>
        <w:t xml:space="preserve"> Select as appropriate.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of Assignment and Assumption</w:t>
      </w:r>
    </w:p>
    <w:p>
      <w:pPr>
        <w:sectPr>
          <w:pgSz w:w="11900" w:h="16838" w:orient="portrait"/>
          <w:cols w:equalWidth="0" w:num="1">
            <w:col w:w="11300"/>
          </w:cols>
          <w:pgMar w:left="300" w:top="1248" w:right="299" w:bottom="1440" w:gutter="0" w:footer="0" w:header="0"/>
        </w:sectPr>
      </w:pPr>
    </w:p>
    <w:bookmarkStart w:id="593" w:name="page594"/>
    <w:bookmarkEnd w:id="593"/>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ANNEX 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 Assignment and Assumption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STANDARD TERMS AND CONDITIONS FOR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ASSIGNMENT AND ASSUMPTION</w:t>
      </w:r>
    </w:p>
    <w:p>
      <w:pPr>
        <w:spacing w:after="0" w:line="158" w:lineRule="exact"/>
        <w:rPr>
          <w:sz w:val="20"/>
          <w:szCs w:val="20"/>
          <w:color w:val="auto"/>
        </w:rPr>
      </w:pPr>
    </w:p>
    <w:p>
      <w:pPr>
        <w:ind w:left="780" w:hanging="271"/>
        <w:spacing w:after="0"/>
        <w:tabs>
          <w:tab w:leader="none" w:pos="780" w:val="left"/>
        </w:tabs>
        <w:numPr>
          <w:ilvl w:val="0"/>
          <w:numId w:val="4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w:t>
      </w:r>
    </w:p>
    <w:p>
      <w:pPr>
        <w:spacing w:after="0" w:line="170" w:lineRule="exact"/>
        <w:rPr>
          <w:sz w:val="20"/>
          <w:szCs w:val="20"/>
          <w:color w:val="auto"/>
        </w:rPr>
      </w:pPr>
    </w:p>
    <w:p>
      <w:pPr>
        <w:jc w:val="both"/>
        <w:ind w:firstLine="1009"/>
        <w:spacing w:after="0" w:line="253" w:lineRule="auto"/>
        <w:rPr>
          <w:sz w:val="20"/>
          <w:szCs w:val="20"/>
          <w:color w:val="auto"/>
        </w:rPr>
      </w:pPr>
      <w:r>
        <w:rPr>
          <w:rFonts w:ascii="Times New Roman" w:cs="Times New Roman" w:eastAsia="Times New Roman" w:hAnsi="Times New Roman"/>
          <w:sz w:val="15"/>
          <w:szCs w:val="15"/>
          <w:color w:val="auto"/>
        </w:rPr>
        <w:t xml:space="preserve">1.1 </w:t>
      </w:r>
      <w:r>
        <w:rPr>
          <w:rFonts w:ascii="Times New Roman" w:cs="Times New Roman" w:eastAsia="Times New Roman" w:hAnsi="Times New Roman"/>
          <w:sz w:val="15"/>
          <w:szCs w:val="15"/>
          <w:u w:val="single" w:color="auto"/>
          <w:color w:val="auto"/>
        </w:rPr>
        <w:t>Assignor</w:t>
      </w:r>
      <w:r>
        <w:rPr>
          <w:rFonts w:ascii="Times New Roman" w:cs="Times New Roman" w:eastAsia="Times New Roman" w:hAnsi="Times New Roman"/>
          <w:sz w:val="15"/>
          <w:szCs w:val="15"/>
          <w:color w:val="auto"/>
        </w:rPr>
        <w:t xml:space="preserve">. The Assignor (a) represents and warrants that (i) it is the legal and beneficial owner of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the relevant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Assigned Interest, (ii)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such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not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its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their respective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Subsidiaries or Affiliates or any other Person obligated in respect of any Loan Document or (iv) the performance or observance by the Borrower, any of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its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their respective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Subsidiaries or Affiliates or any other Person of any of their respective obligations under any Loan Document.</w:t>
      </w:r>
    </w:p>
    <w:p>
      <w:pPr>
        <w:spacing w:after="0" w:line="136" w:lineRule="exact"/>
        <w:rPr>
          <w:sz w:val="20"/>
          <w:szCs w:val="20"/>
          <w:color w:val="auto"/>
        </w:rPr>
      </w:pPr>
    </w:p>
    <w:p>
      <w:pPr>
        <w:jc w:val="both"/>
        <w:ind w:firstLine="1009"/>
        <w:spacing w:after="0" w:line="249" w:lineRule="auto"/>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u w:val="single" w:color="auto"/>
          <w:color w:val="auto"/>
        </w:rPr>
        <w:t>Assignee</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u w:val="single" w:color="auto"/>
          <w:color w:val="auto"/>
        </w:rPr>
        <w:t>s</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Each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the requirements of an Eligible Assignee under the Credit Agreement (subject to such consents, if any, as may be required under </w:t>
      </w:r>
      <w:r>
        <w:rPr>
          <w:rFonts w:ascii="Times New Roman" w:cs="Times New Roman" w:eastAsia="Times New Roman" w:hAnsi="Times New Roman"/>
          <w:sz w:val="15"/>
          <w:szCs w:val="15"/>
          <w:u w:val="single" w:color="auto"/>
          <w:color w:val="auto"/>
        </w:rPr>
        <w:t>Section 12.9(b)(iii)</w:t>
      </w:r>
      <w:r>
        <w:rPr>
          <w:rFonts w:ascii="Times New Roman" w:cs="Times New Roman" w:eastAsia="Times New Roman" w:hAnsi="Times New Roman"/>
          <w:sz w:val="15"/>
          <w:szCs w:val="15"/>
          <w:color w:val="auto"/>
        </w:rPr>
        <w:t xml:space="preserve"> of the Credit Agreement), (iii) from and after the Effective Date, it shall be bound by the provisions of the Credit Agreement as a Lender thereunder and, to the extent of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the relevant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Assigned Interest, shall have the obligations of a Lender thereunder, (iv) it is sophisticated with respect to decisions to acquire assets of the type represented by the Assigned Interest and either it, or the Person exercising discretion in making its decision to acquire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such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5"/>
          <w:szCs w:val="15"/>
          <w:u w:val="single" w:color="auto"/>
          <w:color w:val="auto"/>
        </w:rPr>
        <w:t>Section 6.1 Section 8.1</w:t>
      </w:r>
      <w:r>
        <w:rPr>
          <w:rFonts w:ascii="Times New Roman" w:cs="Times New Roman" w:eastAsia="Times New Roman" w:hAnsi="Times New Roman"/>
          <w:sz w:val="15"/>
          <w:szCs w:val="15"/>
          <w:color w:val="auto"/>
        </w:rPr>
        <w:t xml:space="preserve"> thereof, as applicable, and such other documents and information as it deems appropriate to make its own credit analysis and decision to enter into this Assignment and Assumption and to purchase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such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such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Assigned Interest, and</w:t>
      </w:r>
    </w:p>
    <w:p>
      <w:pPr>
        <w:spacing w:after="0" w:line="7" w:lineRule="exact"/>
        <w:rPr>
          <w:sz w:val="20"/>
          <w:szCs w:val="20"/>
          <w:color w:val="auto"/>
        </w:rPr>
      </w:pPr>
    </w:p>
    <w:p>
      <w:pPr>
        <w:jc w:val="both"/>
        <w:ind w:firstLine="4"/>
        <w:spacing w:after="0" w:line="248" w:lineRule="auto"/>
        <w:tabs>
          <w:tab w:leader="none" w:pos="314" w:val="left"/>
        </w:tabs>
        <w:numPr>
          <w:ilvl w:val="0"/>
          <w:numId w:val="4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it is a Foreign Lender, attached to the Assignment and Assumption is any documentation required to be delivered by it pursuant to the terms of the Credit Agreement, duly completed and executed by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such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Assignee; and (b) agrees that (i) it will, independently and without reliance upon the Administrative Agent,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any</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39" w:lineRule="exact"/>
        <w:rPr>
          <w:rFonts w:ascii="Times New Roman" w:cs="Times New Roman" w:eastAsia="Times New Roman" w:hAnsi="Times New Roman"/>
          <w:sz w:val="15"/>
          <w:szCs w:val="15"/>
          <w:color w:val="auto"/>
        </w:rPr>
      </w:pPr>
    </w:p>
    <w:p>
      <w:pPr>
        <w:ind w:firstLine="509"/>
        <w:spacing w:after="0" w:line="291" w:lineRule="auto"/>
        <w:tabs>
          <w:tab w:leader="none" w:pos="837" w:val="left"/>
        </w:tabs>
        <w:numPr>
          <w:ilvl w:val="1"/>
          <w:numId w:val="4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Payments</w:t>
      </w:r>
      <w:r>
        <w:rPr>
          <w:rFonts w:ascii="Times New Roman" w:cs="Times New Roman" w:eastAsia="Times New Roman" w:hAnsi="Times New Roman"/>
          <w:sz w:val="15"/>
          <w:szCs w:val="15"/>
          <w:color w:val="auto"/>
        </w:rPr>
        <w:t xml:space="preserve">. From and after the Effective Date, the Administrative Agent shall make all payments in respect of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each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Assigned Interest (including payments of principal, interest, fees and other amounts) to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the relevant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Assignor for amounts which have accrued to but excluding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Assignment and Assumption</w:t>
      </w:r>
    </w:p>
    <w:p>
      <w:pPr>
        <w:sectPr>
          <w:pgSz w:w="11900" w:h="16838" w:orient="portrait"/>
          <w:cols w:equalWidth="0" w:num="1">
            <w:col w:w="11280"/>
          </w:cols>
          <w:pgMar w:left="300" w:top="1248" w:right="31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5"/>
          <w:szCs w:val="15"/>
          <w:color w:val="auto"/>
        </w:rPr>
        <w:t xml:space="preserve">Effective Date and to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the relevant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Assignee for amounts which have accrued from and after the Effective Date.</w:t>
      </w:r>
    </w:p>
    <w:p>
      <w:pPr>
        <w:spacing w:after="0" w:line="178" w:lineRule="exact"/>
        <w:rPr>
          <w:sz w:val="20"/>
          <w:szCs w:val="20"/>
          <w:color w:val="auto"/>
        </w:rPr>
      </w:pPr>
    </w:p>
    <w:p>
      <w:pPr>
        <w:jc w:val="both"/>
        <w:ind w:firstLine="509"/>
        <w:spacing w:after="0" w:line="270" w:lineRule="auto"/>
        <w:tabs>
          <w:tab w:leader="none" w:pos="795" w:val="left"/>
        </w:tabs>
        <w:numPr>
          <w:ilvl w:val="0"/>
          <w:numId w:val="4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 Provisions</w:t>
      </w:r>
      <w:r>
        <w:rPr>
          <w:rFonts w:ascii="Times New Roman" w:cs="Times New Roman" w:eastAsia="Times New Roman" w:hAnsi="Times New Roman"/>
          <w:sz w:val="15"/>
          <w:szCs w:val="15"/>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Assignment and Assumption</w:t>
      </w:r>
    </w:p>
    <w:p>
      <w:pPr>
        <w:sectPr>
          <w:pgSz w:w="11900" w:h="16838" w:orient="portrait"/>
          <w:cols w:equalWidth="0" w:num="1">
            <w:col w:w="11280"/>
          </w:cols>
          <w:pgMar w:left="300" w:top="1244" w:right="319" w:bottom="1440" w:gutter="0" w:footer="0" w:header="0"/>
        </w:sectPr>
      </w:pPr>
    </w:p>
    <w:bookmarkStart w:id="595" w:name="page596"/>
    <w:bookmarkEnd w:id="595"/>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H-1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(NON-PARTNERSHIP FOREIGN LENDERS)</w:t>
      </w:r>
    </w:p>
    <w:p>
      <w:pPr>
        <w:sectPr>
          <w:pgSz w:w="11900" w:h="16838" w:orient="portrait"/>
          <w:cols w:equalWidth="0" w:num="1">
            <w:col w:w="9019"/>
          </w:cols>
          <w:pgMar w:left="1440" w:top="1248" w:right="1440" w:bottom="1440" w:gutter="0" w:footer="0" w:header="0"/>
        </w:sectPr>
      </w:pPr>
    </w:p>
    <w:bookmarkStart w:id="596" w:name="page597"/>
    <w:bookmarkEnd w:id="596"/>
    <w:p>
      <w:pPr>
        <w:jc w:val="center"/>
        <w:spacing w:after="0"/>
        <w:rPr>
          <w:sz w:val="20"/>
          <w:szCs w:val="20"/>
          <w:color w:val="auto"/>
        </w:rPr>
      </w:pPr>
      <w:r>
        <w:rPr>
          <w:rFonts w:ascii="Times New Roman" w:cs="Times New Roman" w:eastAsia="Times New Roman" w:hAnsi="Times New Roman"/>
          <w:sz w:val="15"/>
          <w:szCs w:val="15"/>
          <w:u w:val="single" w:color="auto"/>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For Foreign Lenders That Are Not Partnerships For U.S. Federal Income Tax Purposes</w:t>
      </w:r>
      <w:r>
        <w:rPr>
          <w:rFonts w:ascii="Times New Roman" w:cs="Times New Roman" w:eastAsia="Times New Roman" w:hAnsi="Times New Roman"/>
          <w:sz w:val="15"/>
          <w:szCs w:val="15"/>
          <w:color w:val="auto"/>
        </w:rPr>
        <w:t>)</w:t>
      </w:r>
    </w:p>
    <w:p>
      <w:pPr>
        <w:spacing w:after="0" w:line="211"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Reference is hereby made to the Amended and Restated Credit Agreement dated as of October 14, 2025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the lenders who are or may become a party thereto, as Lenders, and Wells Fargo Bank, National Association, as Administrative Agent. Capitalized terms used herein and not defined herein shall have the meanings assigned thereto in the Credit Agreement.</w:t>
      </w:r>
    </w:p>
    <w:p>
      <w:pPr>
        <w:spacing w:after="0" w:line="135"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5"/>
          <w:szCs w:val="15"/>
          <w:color w:val="auto"/>
        </w:rPr>
        <w:t xml:space="preserve">Pursuant to the provisions of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 xml:space="preserve"> of the Credit Agreement, the undersigned hereby certifies that (a) it is the sole record and beneficial owner of the Loan(s) (as well as any Note(s) evidencing such Loan(s)) in respect of which it is providing this certificate, (b) it is not a bank within the meaning of Section 881(c)(3)(A) of the Code, (c) it is not a ten percent (10%) shareholder of the Borrower within the meaning of Section 881(c)(3)(B) of the Code and (d) it is not a controlled foreign corporation related to the Borrower as described in Section 881(c)(3)(C) of the Code.</w:t>
      </w:r>
    </w:p>
    <w:p>
      <w:pPr>
        <w:spacing w:after="0" w:line="58" w:lineRule="exact"/>
        <w:rPr>
          <w:sz w:val="20"/>
          <w:szCs w:val="20"/>
          <w:color w:val="auto"/>
        </w:rPr>
      </w:pPr>
    </w:p>
    <w:p>
      <w:pPr>
        <w:jc w:val="both"/>
        <w:ind w:firstLine="505"/>
        <w:spacing w:after="0" w:line="270" w:lineRule="auto"/>
        <w:rPr>
          <w:sz w:val="20"/>
          <w:szCs w:val="20"/>
          <w:color w:val="auto"/>
        </w:rPr>
      </w:pPr>
      <w:r>
        <w:rPr>
          <w:rFonts w:ascii="Times New Roman" w:cs="Times New Roman" w:eastAsia="Times New Roman" w:hAnsi="Times New Roman"/>
          <w:sz w:val="15"/>
          <w:szCs w:val="15"/>
          <w:color w:val="auto"/>
        </w:rPr>
        <w:t>The undersigned has furnished the Administrative Agent and the Borrower with a certificate of its non-U.S. Person status on IRS Form W-8BEN-E. By executing this certificate, the undersigned agrees that (a) if the information provided on this certificate changes, the undersigned shall promptly so inform the Borrower and the Administrative Agent and (b)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 OF LENDER]</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34290</wp:posOffset>
            </wp:positionV>
            <wp:extent cx="359156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3591560" cy="6985"/>
                    </a:xfrm>
                    <a:prstGeom prst="rect">
                      <a:avLst/>
                    </a:prstGeom>
                    <a:noFill/>
                  </pic:spPr>
                </pic:pic>
              </a:graphicData>
            </a:graphic>
          </wp:anchor>
        </w:drawing>
      </w:r>
    </w:p>
    <w:p>
      <w:pPr>
        <w:spacing w:after="0" w:line="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Name:</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Title: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________ __, 20__</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Foreign Lenders That Are Not Partnerships For U.S. Federal Income Tax Purposes)</w:t>
      </w:r>
    </w:p>
    <w:p>
      <w:pPr>
        <w:sectPr>
          <w:pgSz w:w="11900" w:h="16838" w:orient="portrait"/>
          <w:cols w:equalWidth="0" w:num="1">
            <w:col w:w="11280"/>
          </w:cols>
          <w:pgMar w:left="300" w:top="1248" w:right="319" w:bottom="1440" w:gutter="0" w:footer="0" w:header="0"/>
        </w:sectPr>
      </w:pPr>
    </w:p>
    <w:bookmarkStart w:id="597" w:name="page598"/>
    <w:bookmarkEnd w:id="597"/>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H-2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5"/>
          <w:szCs w:val="15"/>
          <w:u w:val="single" w:color="auto"/>
          <w:color w:val="auto"/>
        </w:rPr>
        <w:t>FORM OF U.S. TAX COMPLIANCE CERTIFICATE</w:t>
      </w:r>
    </w:p>
    <w:p>
      <w:pPr>
        <w:spacing w:after="0" w:line="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u w:val="single" w:color="auto"/>
          <w:color w:val="auto"/>
        </w:rPr>
        <w:t>(NON-PARTNERSHIP FOREIGN PARTICIPANTS)</w:t>
      </w:r>
    </w:p>
    <w:p>
      <w:pPr>
        <w:sectPr>
          <w:pgSz w:w="11900" w:h="16838" w:orient="portrait"/>
          <w:cols w:equalWidth="0" w:num="1">
            <w:col w:w="9019"/>
          </w:cols>
          <w:pgMar w:left="1440" w:top="1247" w:right="1440" w:bottom="1440" w:gutter="0" w:footer="0" w:header="0"/>
        </w:sectPr>
      </w:pPr>
    </w:p>
    <w:bookmarkStart w:id="598" w:name="page599"/>
    <w:bookmarkEnd w:id="598"/>
    <w:p>
      <w:pPr>
        <w:jc w:val="center"/>
        <w:spacing w:after="0"/>
        <w:rPr>
          <w:sz w:val="20"/>
          <w:szCs w:val="20"/>
          <w:color w:val="auto"/>
        </w:rPr>
      </w:pPr>
      <w:r>
        <w:rPr>
          <w:rFonts w:ascii="Times New Roman" w:cs="Times New Roman" w:eastAsia="Times New Roman" w:hAnsi="Times New Roman"/>
          <w:sz w:val="15"/>
          <w:szCs w:val="15"/>
          <w:u w:val="single" w:color="auto"/>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For Foreign Participants That Are Not Partnerships For U.S. Federal Income Tax Purposes</w:t>
      </w:r>
      <w:r>
        <w:rPr>
          <w:rFonts w:ascii="Times New Roman" w:cs="Times New Roman" w:eastAsia="Times New Roman" w:hAnsi="Times New Roman"/>
          <w:sz w:val="15"/>
          <w:szCs w:val="15"/>
          <w:color w:val="auto"/>
        </w:rPr>
        <w:t>)</w:t>
      </w:r>
    </w:p>
    <w:p>
      <w:pPr>
        <w:spacing w:after="0" w:line="211"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Reference is hereby made to the Amended and Restated Credit Agreement dated as of October 14, 2025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the lenders who are or may become party a thereto, as Lenders, and Wells Fargo Bank, National Association, as Administrative Agent. Capitalized terms used herein and not defined herein shall have the meanings assigned thereto in the Credit Agreement.</w:t>
      </w:r>
    </w:p>
    <w:p>
      <w:pPr>
        <w:spacing w:after="0" w:line="135" w:lineRule="exact"/>
        <w:rPr>
          <w:sz w:val="20"/>
          <w:szCs w:val="20"/>
          <w:color w:val="auto"/>
        </w:rPr>
      </w:pPr>
    </w:p>
    <w:p>
      <w:pPr>
        <w:jc w:val="both"/>
        <w:ind w:firstLine="505"/>
        <w:spacing w:after="0" w:line="269" w:lineRule="auto"/>
        <w:rPr>
          <w:sz w:val="20"/>
          <w:szCs w:val="20"/>
          <w:color w:val="auto"/>
        </w:rPr>
      </w:pPr>
      <w:r>
        <w:rPr>
          <w:rFonts w:ascii="Times New Roman" w:cs="Times New Roman" w:eastAsia="Times New Roman" w:hAnsi="Times New Roman"/>
          <w:sz w:val="15"/>
          <w:szCs w:val="15"/>
          <w:color w:val="auto"/>
        </w:rPr>
        <w:t xml:space="preserve">Pursuant to the provisions of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 xml:space="preserve"> of the Credit Agreement, the undersigned hereby certifies that (a) it is the sole record and beneficial owner of the participation in respect of which it is providing this certificate, (b) it is not a bank within the meaning of Section 881(c)(3)(A) of the Code, (c) it is not a ten percent (10%) shareholder of the Borrower within the meaning of Section 881(c)(3)(B) of the Code and (d) it is not a controlled foreign corporation related to the Borrower as described in Section 881(c)(3)(C) of the Code.</w:t>
      </w:r>
    </w:p>
    <w:p>
      <w:pPr>
        <w:spacing w:after="0" w:line="240" w:lineRule="exact"/>
        <w:rPr>
          <w:sz w:val="20"/>
          <w:szCs w:val="20"/>
          <w:color w:val="auto"/>
        </w:rPr>
      </w:pPr>
    </w:p>
    <w:p>
      <w:pPr>
        <w:jc w:val="both"/>
        <w:ind w:firstLine="505"/>
        <w:spacing w:after="0" w:line="270" w:lineRule="auto"/>
        <w:rPr>
          <w:sz w:val="20"/>
          <w:szCs w:val="20"/>
          <w:color w:val="auto"/>
        </w:rPr>
      </w:pPr>
      <w:r>
        <w:rPr>
          <w:rFonts w:ascii="Times New Roman" w:cs="Times New Roman" w:eastAsia="Times New Roman" w:hAnsi="Times New Roman"/>
          <w:sz w:val="15"/>
          <w:szCs w:val="15"/>
          <w:color w:val="auto"/>
        </w:rPr>
        <w:t>The undersigned has furnished its participating Lender with a certificate of its non-U.S. Person status on IRS Form W-8BEN-E.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 OF PARTICIPANT]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34290</wp:posOffset>
            </wp:positionV>
            <wp:extent cx="35915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3591560" cy="6985"/>
                    </a:xfrm>
                    <a:prstGeom prst="rect">
                      <a:avLst/>
                    </a:prstGeom>
                    <a:noFill/>
                  </pic:spPr>
                </pic:pic>
              </a:graphicData>
            </a:graphic>
          </wp:anchor>
        </w:drawing>
      </w:r>
    </w:p>
    <w:p>
      <w:pPr>
        <w:spacing w:after="0" w:line="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Name:</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Title: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________ __, 20__</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Foreign Participants That Are Not Partnerships For U.S. Federal Income Tax Purposes)</w:t>
      </w:r>
    </w:p>
    <w:p>
      <w:pPr>
        <w:sectPr>
          <w:pgSz w:w="11900" w:h="16838" w:orient="portrait"/>
          <w:cols w:equalWidth="0" w:num="1">
            <w:col w:w="11280"/>
          </w:cols>
          <w:pgMar w:left="300" w:top="1247" w:right="319" w:bottom="1440" w:gutter="0" w:footer="0" w:header="0"/>
        </w:sectPr>
      </w:pPr>
    </w:p>
    <w:bookmarkStart w:id="599" w:name="page600"/>
    <w:bookmarkEnd w:id="599"/>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H-3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(FOREIGN PARTICIPANT PARTNERSHIPS)</w:t>
      </w:r>
    </w:p>
    <w:p>
      <w:pPr>
        <w:sectPr>
          <w:pgSz w:w="11900" w:h="16838" w:orient="portrait"/>
          <w:cols w:equalWidth="0" w:num="1">
            <w:col w:w="9019"/>
          </w:cols>
          <w:pgMar w:left="1440" w:top="1248" w:right="1440" w:bottom="1440" w:gutter="0" w:footer="0" w:header="0"/>
        </w:sectPr>
      </w:pPr>
    </w:p>
    <w:bookmarkStart w:id="600" w:name="page601"/>
    <w:bookmarkEnd w:id="600"/>
    <w:p>
      <w:pPr>
        <w:jc w:val="center"/>
        <w:spacing w:after="0"/>
        <w:rPr>
          <w:sz w:val="20"/>
          <w:szCs w:val="20"/>
          <w:color w:val="auto"/>
        </w:rPr>
      </w:pPr>
      <w:r>
        <w:rPr>
          <w:rFonts w:ascii="Times New Roman" w:cs="Times New Roman" w:eastAsia="Times New Roman" w:hAnsi="Times New Roman"/>
          <w:sz w:val="15"/>
          <w:szCs w:val="15"/>
          <w:u w:val="single" w:color="auto"/>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For Foreign Participants That Are Partnerships For U.S. Federal Income Tax Purposes</w:t>
      </w:r>
      <w:r>
        <w:rPr>
          <w:rFonts w:ascii="Times New Roman" w:cs="Times New Roman" w:eastAsia="Times New Roman" w:hAnsi="Times New Roman"/>
          <w:sz w:val="15"/>
          <w:szCs w:val="15"/>
          <w:color w:val="auto"/>
        </w:rPr>
        <w:t>)</w:t>
      </w:r>
    </w:p>
    <w:p>
      <w:pPr>
        <w:spacing w:after="0" w:line="211"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Reference is hereby made to the Amended and Restated Credit Agreement dated as of October 14, 2025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the lenders who are or may become party thereto, as Lenders, and Wells Fargo Bank, National Association, as Administrative Agent. Capitalized terms used herein and not defined herein shall have the meanings assigned thereto in the Credit Agreement.</w:t>
      </w:r>
    </w:p>
    <w:p>
      <w:pPr>
        <w:spacing w:after="0" w:line="135"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5"/>
          <w:szCs w:val="15"/>
          <w:color w:val="auto"/>
        </w:rPr>
        <w:t xml:space="preserve">Pursuant to the provisions of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 xml:space="preserve">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(10%) shareholder of the Borrower within the meaning of Section 881(c)(3)(B) of the Code and (e) none of its direct or indirect partners/members is a controlled foreign corporation related to the Borrower as described in Section 881(c)(3)(C) of the Code.</w:t>
      </w:r>
    </w:p>
    <w:p>
      <w:pPr>
        <w:spacing w:after="0" w:line="236" w:lineRule="exact"/>
        <w:rPr>
          <w:sz w:val="20"/>
          <w:szCs w:val="20"/>
          <w:color w:val="auto"/>
        </w:rPr>
      </w:pPr>
    </w:p>
    <w:p>
      <w:pPr>
        <w:jc w:val="both"/>
        <w:ind w:firstLine="505"/>
        <w:spacing w:after="0" w:line="268" w:lineRule="auto"/>
        <w:rPr>
          <w:sz w:val="20"/>
          <w:szCs w:val="20"/>
          <w:color w:val="auto"/>
        </w:rPr>
      </w:pPr>
      <w:r>
        <w:rPr>
          <w:rFonts w:ascii="Times New Roman" w:cs="Times New Roman" w:eastAsia="Times New Roman" w:hAnsi="Times New Roman"/>
          <w:sz w:val="15"/>
          <w:szCs w:val="15"/>
          <w:color w:val="auto"/>
        </w:rPr>
        <w:t>The undersigned has furnished its participating Lender with IRS Form W-8IMY accompanied by one of the following forms from each of its partners/members that is claiming the portfolio interest exemption: (a) an IRS Form W-8BEN-E or (b) an IRS Form W-8IMY accompanied by an IRS Form W- 8BEN-E from each of such partner’s/member’s beneficial owners that is claiming the portfolio interest exemption. By executing this certificate, the undersigned agrees that (i) if the information provided on this certificate changes, the undersigned shall promptly so inform such Lender and (ii)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 OF PARTICIPANT]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34290</wp:posOffset>
            </wp:positionV>
            <wp:extent cx="35915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3591560" cy="6985"/>
                    </a:xfrm>
                    <a:prstGeom prst="rect">
                      <a:avLst/>
                    </a:prstGeom>
                    <a:noFill/>
                  </pic:spPr>
                </pic:pic>
              </a:graphicData>
            </a:graphic>
          </wp:anchor>
        </w:drawing>
      </w:r>
    </w:p>
    <w:p>
      <w:pPr>
        <w:spacing w:after="0" w:line="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Name:</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Title: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Foreign Participants That Are Partnerships For U.S. Federal Income Tax Purposes)</w:t>
      </w:r>
    </w:p>
    <w:p>
      <w:pPr>
        <w:sectPr>
          <w:pgSz w:w="11900" w:h="16838" w:orient="portrait"/>
          <w:cols w:equalWidth="0" w:num="1">
            <w:col w:w="11280"/>
          </w:cols>
          <w:pgMar w:left="300" w:top="1248" w:right="319" w:bottom="1440" w:gutter="0" w:footer="0" w:header="0"/>
        </w:sectPr>
      </w:pPr>
    </w:p>
    <w:bookmarkStart w:id="601" w:name="page602"/>
    <w:bookmarkEnd w:id="601"/>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H-4</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(FOREIGN LENDER PARTNERSHIPS)</w:t>
      </w:r>
    </w:p>
    <w:p>
      <w:pPr>
        <w:sectPr>
          <w:pgSz w:w="11900" w:h="16838" w:orient="portrait"/>
          <w:cols w:equalWidth="0" w:num="1">
            <w:col w:w="9019"/>
          </w:cols>
          <w:pgMar w:left="1440" w:top="1247" w:right="1440" w:bottom="1440" w:gutter="0" w:footer="0" w:header="0"/>
        </w:sectPr>
      </w:pPr>
    </w:p>
    <w:bookmarkStart w:id="602" w:name="page603"/>
    <w:bookmarkEnd w:id="602"/>
    <w:p>
      <w:pPr>
        <w:jc w:val="center"/>
        <w:spacing w:after="0"/>
        <w:rPr>
          <w:sz w:val="20"/>
          <w:szCs w:val="20"/>
          <w:color w:val="auto"/>
        </w:rPr>
      </w:pPr>
      <w:r>
        <w:rPr>
          <w:rFonts w:ascii="Times New Roman" w:cs="Times New Roman" w:eastAsia="Times New Roman" w:hAnsi="Times New Roman"/>
          <w:sz w:val="15"/>
          <w:szCs w:val="15"/>
          <w:u w:val="single" w:color="auto"/>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For Foreign Lenders That Are Partnerships For U.S. Federal Income Tax Purposes</w:t>
      </w:r>
      <w:r>
        <w:rPr>
          <w:rFonts w:ascii="Times New Roman" w:cs="Times New Roman" w:eastAsia="Times New Roman" w:hAnsi="Times New Roman"/>
          <w:sz w:val="15"/>
          <w:szCs w:val="15"/>
          <w:color w:val="auto"/>
        </w:rPr>
        <w:t>)</w:t>
      </w:r>
    </w:p>
    <w:p>
      <w:pPr>
        <w:spacing w:after="0" w:line="211"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Reference is hereby made to the Amended and Restated Credit Agreement dated as of October 14, 2025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the lenders who are or may become party thereto, as Lenders, and Wells Fargo Bank, National Association, as Administrative Agent. Capitalized terms used herein and not defined herein shall have the meanings assigned thereto in the Credit Agreement.</w:t>
      </w:r>
    </w:p>
    <w:p>
      <w:pPr>
        <w:spacing w:after="0" w:line="135" w:lineRule="exact"/>
        <w:rPr>
          <w:sz w:val="20"/>
          <w:szCs w:val="20"/>
          <w:color w:val="auto"/>
        </w:rPr>
      </w:pPr>
    </w:p>
    <w:p>
      <w:pPr>
        <w:jc w:val="both"/>
        <w:ind w:firstLine="505"/>
        <w:spacing w:after="0" w:line="264" w:lineRule="auto"/>
        <w:rPr>
          <w:sz w:val="20"/>
          <w:szCs w:val="20"/>
          <w:color w:val="auto"/>
        </w:rPr>
      </w:pPr>
      <w:r>
        <w:rPr>
          <w:rFonts w:ascii="Times New Roman" w:cs="Times New Roman" w:eastAsia="Times New Roman" w:hAnsi="Times New Roman"/>
          <w:sz w:val="15"/>
          <w:szCs w:val="15"/>
          <w:color w:val="auto"/>
        </w:rPr>
        <w:t xml:space="preserve">Pursuant to the provisions of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 xml:space="preserve"> of the Credit Agreement, the undersigned hereby certifies that (a) it is the sole record owner of the Loan(s) (as well as any Note(s) evidencing such Loan(s)) in respect of which it is providing this certificate, (b) its direct or indirect partners/members are the sole beneficial owners of such Loan(s) (as well as any Note(s) evidencing such Loan(s)), (c)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(10%) shareholder of the Borrower within the meaning of Section 881(c)(3)(B) of the Code and (e) none of its direct or indirect partners/members is a controlled foreign corporation related to the Borrower as described in Section 881(c)(3)(C) of the Code.</w:t>
      </w:r>
    </w:p>
    <w:p>
      <w:pPr>
        <w:spacing w:after="0" w:line="49" w:lineRule="exact"/>
        <w:rPr>
          <w:sz w:val="20"/>
          <w:szCs w:val="20"/>
          <w:color w:val="auto"/>
        </w:rPr>
      </w:pPr>
    </w:p>
    <w:p>
      <w:pPr>
        <w:jc w:val="both"/>
        <w:ind w:firstLine="505"/>
        <w:spacing w:after="0" w:line="264" w:lineRule="auto"/>
        <w:rPr>
          <w:sz w:val="20"/>
          <w:szCs w:val="20"/>
          <w:color w:val="auto"/>
        </w:rPr>
      </w:pPr>
      <w:r>
        <w:rPr>
          <w:rFonts w:ascii="Times New Roman" w:cs="Times New Roman" w:eastAsia="Times New Roman" w:hAnsi="Times New Roman"/>
          <w:sz w:val="15"/>
          <w:szCs w:val="15"/>
          <w:color w:val="auto"/>
        </w:rPr>
        <w:t>The undersigned has furnished the Administrative Agent and the Borrower with IRS Form W- 8IMY accompanied by one of the following forms from each of its partners/members that is claiming the portfolio interest exemption: (a) an IRS Form W-8BEN-E or (b) an IRS Form W-8IMY accompanied by an IRS Form W-8BEN-E from each of such partner’s/member’s beneficial owners that is claiming the portfolio interest exemption. By executing this certificate, the undersigned agrees that (i) if the information provided on this certificate changes, the undersigned shall promptly so inform the Borrower and the Administrative Agent and (ii)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 OF LENDER]</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34290</wp:posOffset>
            </wp:positionV>
            <wp:extent cx="35915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3591560" cy="6985"/>
                    </a:xfrm>
                    <a:prstGeom prst="rect">
                      <a:avLst/>
                    </a:prstGeom>
                    <a:noFill/>
                  </pic:spPr>
                </pic:pic>
              </a:graphicData>
            </a:graphic>
          </wp:anchor>
        </w:drawing>
      </w:r>
    </w:p>
    <w:p>
      <w:pPr>
        <w:spacing w:after="0" w:line="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Name:</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Title: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Foreign Lenders That Are Partnerships For U.S. Federal Income Tax Purposes)</w:t>
      </w:r>
    </w:p>
    <w:p>
      <w:pPr>
        <w:sectPr>
          <w:pgSz w:w="11900" w:h="16838" w:orient="portrait"/>
          <w:cols w:equalWidth="0" w:num="1">
            <w:col w:w="11280"/>
          </w:cols>
          <w:pgMar w:left="300" w:top="1248" w:right="319" w:bottom="1440" w:gutter="0" w:footer="0" w:header="0"/>
        </w:sectPr>
      </w:pPr>
    </w:p>
    <w:bookmarkStart w:id="603" w:name="page604"/>
    <w:bookmarkEnd w:id="603"/>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dated as of October 14, 2025</w:t>
      </w:r>
    </w:p>
    <w:p>
      <w:pPr>
        <w:spacing w:after="0" w:line="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by and among</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Wealthfront Corporation,</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as Borrower,</w:t>
      </w:r>
    </w:p>
    <w:p>
      <w:pPr>
        <w:spacing w:after="0" w:line="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the lenders party thereto,</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as Lenders,</w:t>
      </w:r>
    </w:p>
    <w:p>
      <w:pPr>
        <w:spacing w:after="0" w:line="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and</w:t>
      </w:r>
    </w:p>
    <w:p>
      <w:pPr>
        <w:spacing w:after="0" w:line="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FORM OF JOINDER AGREEMENT</w:t>
      </w:r>
    </w:p>
    <w:p>
      <w:pPr>
        <w:sectPr>
          <w:pgSz w:w="11900" w:h="16838" w:orient="portrait"/>
          <w:cols w:equalWidth="0" w:num="1">
            <w:col w:w="9019"/>
          </w:cols>
          <w:pgMar w:left="1440" w:top="1248" w:right="1440" w:bottom="1440" w:gutter="0" w:footer="0" w:header="0"/>
        </w:sectPr>
      </w:pPr>
    </w:p>
    <w:bookmarkStart w:id="604" w:name="page605"/>
    <w:bookmarkEnd w:id="604"/>
    <w:p>
      <w:pPr>
        <w:jc w:val="center"/>
        <w:spacing w:after="0"/>
        <w:rPr>
          <w:sz w:val="20"/>
          <w:szCs w:val="20"/>
          <w:color w:val="auto"/>
        </w:rPr>
      </w:pPr>
      <w:r>
        <w:rPr>
          <w:rFonts w:ascii="Times New Roman" w:cs="Times New Roman" w:eastAsia="Times New Roman" w:hAnsi="Times New Roman"/>
          <w:sz w:val="15"/>
          <w:szCs w:val="15"/>
          <w:u w:val="single" w:color="auto"/>
          <w:color w:val="auto"/>
        </w:rPr>
        <w:t>JOINDER AGREEMENT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THIS JOINDER AGREEMENT dated as of </w:t>
      </w:r>
      <w:r>
        <w:rPr>
          <w:rFonts w:ascii="Times New Roman" w:cs="Times New Roman" w:eastAsia="Times New Roman" w:hAnsi="Times New Roman"/>
          <w:sz w:val="15"/>
          <w:szCs w:val="15"/>
          <w:b w:val="1"/>
          <w:bCs w:val="1"/>
          <w:color w:val="auto"/>
        </w:rPr>
        <w:t>[_____]</w:t>
      </w:r>
      <w:r>
        <w:rPr>
          <w:rFonts w:ascii="Times New Roman" w:cs="Times New Roman" w:eastAsia="Times New Roman" w:hAnsi="Times New Roman"/>
          <w:sz w:val="15"/>
          <w:szCs w:val="15"/>
          <w:color w:val="auto"/>
        </w:rPr>
        <w:t xml:space="preserve"> (as amended, restated, supplemented or otherwise modified from time to time,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to the Guaranty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Agreement and the Collateral Agreement referred to below is entered into by and between [NAME OF NEW SUBSIDIARY], a </w:t>
      </w:r>
      <w:r>
        <w:rPr>
          <w:rFonts w:ascii="Times New Roman" w:cs="Times New Roman" w:eastAsia="Times New Roman" w:hAnsi="Times New Roman"/>
          <w:sz w:val="15"/>
          <w:szCs w:val="15"/>
          <w:b w:val="1"/>
          <w:bCs w:val="1"/>
          <w:color w:val="auto"/>
        </w:rPr>
        <w:t>[_____]</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New Subsidiary</w:t>
      </w:r>
      <w:r>
        <w:rPr>
          <w:rFonts w:ascii="Times New Roman" w:cs="Times New Roman" w:eastAsia="Times New Roman" w:hAnsi="Times New Roman"/>
          <w:sz w:val="15"/>
          <w:szCs w:val="15"/>
          <w:color w:val="auto"/>
        </w:rPr>
        <w:t>”), and WELLS FARGO</w:t>
      </w:r>
    </w:p>
    <w:p>
      <w:pPr>
        <w:spacing w:after="0" w:line="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BANK, NATIONAL ASSOCIATION, a national banking association, as Administrative Agent for the Lenders (the “</w:t>
      </w:r>
      <w:r>
        <w:rPr>
          <w:rFonts w:ascii="Times New Roman" w:cs="Times New Roman" w:eastAsia="Times New Roman" w:hAnsi="Times New Roman"/>
          <w:sz w:val="15"/>
          <w:szCs w:val="15"/>
          <w:u w:val="single" w:color="auto"/>
          <w:color w:val="auto"/>
        </w:rPr>
        <w:t>Administrative Agent</w:t>
      </w:r>
      <w:r>
        <w:rPr>
          <w:rFonts w:ascii="Times New Roman" w:cs="Times New Roman" w:eastAsia="Times New Roman" w:hAnsi="Times New Roman"/>
          <w:sz w:val="15"/>
          <w:szCs w:val="15"/>
          <w:color w:val="auto"/>
        </w:rPr>
        <w:t>”) under the Credit Agreement referred to below.</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Statement of Purpose</w:t>
      </w:r>
    </w:p>
    <w:p>
      <w:pPr>
        <w:spacing w:after="0" w:line="174"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5"/>
          <w:szCs w:val="15"/>
          <w:color w:val="auto"/>
        </w:rPr>
        <w:t>Reference is made to that certain Amended and Restated Credit Agreement, dated as of October 14, 2025 (as amended, restated, modified or supplemented from time to time,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by and among Wealthfront Corporation,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certain banks and other financial institutions from time to time parties thereto (the “</w:t>
      </w:r>
      <w:r>
        <w:rPr>
          <w:rFonts w:ascii="Times New Roman" w:cs="Times New Roman" w:eastAsia="Times New Roman" w:hAnsi="Times New Roman"/>
          <w:sz w:val="15"/>
          <w:szCs w:val="15"/>
          <w:u w:val="single" w:color="auto"/>
          <w:color w:val="auto"/>
        </w:rPr>
        <w:t>Lenders</w:t>
      </w:r>
      <w:r>
        <w:rPr>
          <w:rFonts w:ascii="Times New Roman" w:cs="Times New Roman" w:eastAsia="Times New Roman" w:hAnsi="Times New Roman"/>
          <w:sz w:val="15"/>
          <w:szCs w:val="15"/>
          <w:color w:val="auto"/>
        </w:rPr>
        <w:t>”) and Wells Fargo Bank, National Association, as Administrative Agent (the “</w:t>
      </w:r>
      <w:r>
        <w:rPr>
          <w:rFonts w:ascii="Times New Roman" w:cs="Times New Roman" w:eastAsia="Times New Roman" w:hAnsi="Times New Roman"/>
          <w:sz w:val="15"/>
          <w:szCs w:val="15"/>
          <w:u w:val="single" w:color="auto"/>
          <w:color w:val="auto"/>
        </w:rPr>
        <w:t>Administrative Agent</w:t>
      </w:r>
      <w:r>
        <w:rPr>
          <w:rFonts w:ascii="Times New Roman" w:cs="Times New Roman" w:eastAsia="Times New Roman" w:hAnsi="Times New Roman"/>
          <w:sz w:val="15"/>
          <w:szCs w:val="15"/>
          <w:color w:val="auto"/>
        </w:rPr>
        <w:t>”). In connection with the Credit Agreement, the Borrower and certain Subsidiaries of the Borrower have entered into the Guaranty Agreement and the Collateral Agreement referred to therein.</w:t>
      </w:r>
    </w:p>
    <w:p>
      <w:pPr>
        <w:spacing w:after="0" w:line="13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5"/>
          <w:szCs w:val="15"/>
          <w:color w:val="auto"/>
        </w:rPr>
        <w:t xml:space="preserve">Pursuant to </w:t>
      </w:r>
      <w:r>
        <w:rPr>
          <w:rFonts w:ascii="Times New Roman" w:cs="Times New Roman" w:eastAsia="Times New Roman" w:hAnsi="Times New Roman"/>
          <w:sz w:val="15"/>
          <w:szCs w:val="15"/>
          <w:u w:val="single" w:color="auto"/>
          <w:color w:val="auto"/>
        </w:rPr>
        <w:t>Section 8.14</w:t>
      </w:r>
      <w:r>
        <w:rPr>
          <w:rFonts w:ascii="Times New Roman" w:cs="Times New Roman" w:eastAsia="Times New Roman" w:hAnsi="Times New Roman"/>
          <w:sz w:val="15"/>
          <w:szCs w:val="15"/>
          <w:color w:val="auto"/>
        </w:rPr>
        <w:t xml:space="preserve"> of the Credit Agreement, the New Subsidiary is required to become a party to the Guaranty Agreement as a guarantor thereunder and to the Collateral Agreement as a grantor thereunder. The New Subsidiary will obtain benefits as a result of the continued extension of credit to the Borrower under the Credit Agreement, which benefits are hereby acknowledged, and, accordingly, desire to execute and deliver this Agreement.</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Therefore, in consideration of the foregoing and other good and valuable consideration, the receipt and sufficiency of which are hereby acknowledged, and to induce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Lenders to continue to extend credit to the Borrower under the Credit Agreement, the New Subsidiary hereby agrees as follows:</w:t>
      </w:r>
    </w:p>
    <w:p>
      <w:pPr>
        <w:spacing w:after="0" w:line="158" w:lineRule="exact"/>
        <w:rPr>
          <w:sz w:val="20"/>
          <w:szCs w:val="20"/>
          <w:color w:val="auto"/>
        </w:rPr>
      </w:pPr>
    </w:p>
    <w:p>
      <w:pPr>
        <w:ind w:left="1280" w:hanging="267"/>
        <w:spacing w:after="0"/>
        <w:tabs>
          <w:tab w:leader="none" w:pos="1280" w:val="left"/>
        </w:tabs>
        <w:numPr>
          <w:ilvl w:val="0"/>
          <w:numId w:val="4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Supplement to Guaranty Agreement and Collateral Agreement</w:t>
      </w:r>
      <w:r>
        <w:rPr>
          <w:rFonts w:ascii="Times New Roman" w:cs="Times New Roman" w:eastAsia="Times New Roman" w:hAnsi="Times New Roman"/>
          <w:sz w:val="15"/>
          <w:szCs w:val="15"/>
          <w:color w:val="auto"/>
        </w:rPr>
        <w:t>.</w:t>
      </w:r>
    </w:p>
    <w:p>
      <w:pPr>
        <w:spacing w:after="0" w:line="164" w:lineRule="exact"/>
        <w:rPr>
          <w:sz w:val="20"/>
          <w:szCs w:val="20"/>
          <w:color w:val="auto"/>
        </w:rPr>
      </w:pPr>
    </w:p>
    <w:p>
      <w:pPr>
        <w:jc w:val="both"/>
        <w:ind w:firstLine="1013"/>
        <w:spacing w:after="0" w:line="257" w:lineRule="auto"/>
        <w:tabs>
          <w:tab w:leader="none" w:pos="1333" w:val="left"/>
        </w:tabs>
        <w:numPr>
          <w:ilvl w:val="0"/>
          <w:numId w:val="4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New Subsidiary hereby agrees that it is a Guarantor and a Subsidiary Guarantor (as defined in the Guaranty Agreement) under the Guaranty Agreement as if a signatory thereof on the Closing Date, and the New Subsidiary shall comply with, and be subject to, and have the benefit of, all of the terms, conditions, covenants, agreements and obligations set forth in the Guaranty Agreement. Each reference to “Subsidiary Guarantor”, “Guarantor”, “Subsidiary Guarantors” or the “Guarantors” in the Credit Agreement, the Guaranty Agreement and the other Loan Documents shall include the New Subsidiary, and each reference to the “Guaranty Agreement” or “Guaranty” as used therein shall mean the Guaranty Agreement as supplemented hereby.</w:t>
      </w:r>
    </w:p>
    <w:p>
      <w:pPr>
        <w:spacing w:after="0" w:line="138" w:lineRule="exact"/>
        <w:rPr>
          <w:rFonts w:ascii="Times New Roman" w:cs="Times New Roman" w:eastAsia="Times New Roman" w:hAnsi="Times New Roman"/>
          <w:sz w:val="15"/>
          <w:szCs w:val="15"/>
          <w:color w:val="auto"/>
        </w:rPr>
      </w:pPr>
    </w:p>
    <w:p>
      <w:pPr>
        <w:jc w:val="both"/>
        <w:ind w:firstLine="1013"/>
        <w:spacing w:after="0" w:line="252" w:lineRule="auto"/>
        <w:tabs>
          <w:tab w:leader="none" w:pos="1343" w:val="left"/>
        </w:tabs>
        <w:numPr>
          <w:ilvl w:val="0"/>
          <w:numId w:val="4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New Subsidiary hereby agrees that it is a Grantor under the Collateral Agreement as if a signatory thereof as a Grantor and as an Issuer on the Closing Date, and the New Subsidiary shall comply with, and be subject to, and have the benefit of, all of the terms, covenants, conditions, agreements and obligations set forth in the Collateral Agreement. In furtherance (and without limitation) of the foregoing, pursuant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the Collateral Agreement, and as security for all of the Secured Obligations, the New Subsidiary hereby pledges, assigns and delivers to the Administrative Agent, for the ratable benefit of the Secured Parties, and grants to the Administrative Agent, for the ratable benefit of the Secured Parties, a Lien upon and security interest in, all of its right, title and interest in and to the Collateral as set forth in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the Collateral Agreement, now or hereafter acquired, all on the terms and subject to the conditions set forth in the Collateral Agreement. Each reference to a “Grantor”, the “Grantors”, an “Issuer” or the “Issuers” in the Collateral Agreement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Joinder Agreement</w:t>
      </w:r>
    </w:p>
    <w:p>
      <w:pPr>
        <w:sectPr>
          <w:pgSz w:w="11900" w:h="16838" w:orient="portrait"/>
          <w:cols w:equalWidth="0" w:num="1">
            <w:col w:w="11280"/>
          </w:cols>
          <w:pgMar w:left="300" w:top="1247" w:right="319" w:bottom="1440" w:gutter="0" w:footer="0" w:header="0"/>
        </w:sectPr>
      </w:pPr>
    </w:p>
    <w:bookmarkStart w:id="605" w:name="page606"/>
    <w:bookmarkEnd w:id="605"/>
    <w:p>
      <w:pPr>
        <w:spacing w:after="0" w:line="255" w:lineRule="auto"/>
        <w:rPr>
          <w:sz w:val="20"/>
          <w:szCs w:val="20"/>
          <w:color w:val="auto"/>
        </w:rPr>
      </w:pPr>
      <w:r>
        <w:rPr>
          <w:rFonts w:ascii="Times New Roman" w:cs="Times New Roman" w:eastAsia="Times New Roman" w:hAnsi="Times New Roman"/>
          <w:sz w:val="15"/>
          <w:szCs w:val="15"/>
          <w:color w:val="auto"/>
        </w:rPr>
        <w:t>Documents shall include each New Subsidiary and each reference “Collateral Agreement” or “Agreement” as used therein shall mean the Collateral Agreement as supplemented hereby.</w:t>
      </w:r>
    </w:p>
    <w:p>
      <w:pPr>
        <w:spacing w:after="0" w:line="321" w:lineRule="exact"/>
        <w:rPr>
          <w:sz w:val="20"/>
          <w:szCs w:val="20"/>
          <w:color w:val="auto"/>
        </w:rPr>
      </w:pPr>
    </w:p>
    <w:p>
      <w:pPr>
        <w:jc w:val="both"/>
        <w:ind w:firstLine="1013"/>
        <w:spacing w:after="0" w:line="242" w:lineRule="auto"/>
        <w:tabs>
          <w:tab w:leader="none" w:pos="1289" w:val="left"/>
        </w:tabs>
        <w:numPr>
          <w:ilvl w:val="0"/>
          <w:numId w:val="4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Schedules; Representations and Warranties</w:t>
      </w:r>
      <w:r>
        <w:rPr>
          <w:rFonts w:ascii="Times New Roman" w:cs="Times New Roman" w:eastAsia="Times New Roman" w:hAnsi="Times New Roman"/>
          <w:sz w:val="15"/>
          <w:szCs w:val="15"/>
          <w:color w:val="auto"/>
        </w:rPr>
        <w:t xml:space="preserve">. The New Subsidiary hereby represents and warrants that (a) </w:t>
      </w:r>
      <w:r>
        <w:rPr>
          <w:rFonts w:ascii="Times New Roman" w:cs="Times New Roman" w:eastAsia="Times New Roman" w:hAnsi="Times New Roman"/>
          <w:sz w:val="15"/>
          <w:szCs w:val="15"/>
          <w:u w:val="single" w:color="auto"/>
          <w:color w:val="auto"/>
        </w:rPr>
        <w:t>Schedule 1</w:t>
      </w:r>
      <w:r>
        <w:rPr>
          <w:rFonts w:ascii="Times New Roman" w:cs="Times New Roman" w:eastAsia="Times New Roman" w:hAnsi="Times New Roman"/>
          <w:sz w:val="15"/>
          <w:szCs w:val="15"/>
          <w:color w:val="auto"/>
        </w:rPr>
        <w:t xml:space="preserve"> hereto sets forth all information required to be listed on the Schedules to the Collateral Agreement in order to make each representation and warranty contained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of the Collateral Agreement true and correct with respect to the New Subsidiary as of the date hereof (and, with respect to this Agreement and the New Subsidiary, all references to the Closing Date in Article III shall mean the date hereof) and after giving effect to this Agreement and (b) after giving effect to this Agreement and to the incorporation into such Schedules, as applicable, of the information set forth in </w:t>
      </w:r>
      <w:r>
        <w:rPr>
          <w:rFonts w:ascii="Times New Roman" w:cs="Times New Roman" w:eastAsia="Times New Roman" w:hAnsi="Times New Roman"/>
          <w:sz w:val="15"/>
          <w:szCs w:val="15"/>
          <w:u w:val="single" w:color="auto"/>
          <w:color w:val="auto"/>
        </w:rPr>
        <w:t>Schedule 1</w:t>
      </w:r>
      <w:r>
        <w:rPr>
          <w:rFonts w:ascii="Times New Roman" w:cs="Times New Roman" w:eastAsia="Times New Roman" w:hAnsi="Times New Roman"/>
          <w:sz w:val="15"/>
          <w:szCs w:val="15"/>
          <w:color w:val="auto"/>
        </w:rPr>
        <w:t xml:space="preserve">, each representation and warranty contained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of the Collateral Agreement is true and correct with respect to the New Subsidiary as of the date hereof (with all references to the Closing Date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of the Collateral Agreement meaning the date hereof with respect to such New Subsidiary), as if such representations and warranties were fully set forth herein.</w:t>
      </w:r>
    </w:p>
    <w:p>
      <w:pPr>
        <w:spacing w:after="0" w:line="312" w:lineRule="exact"/>
        <w:rPr>
          <w:rFonts w:ascii="Times New Roman" w:cs="Times New Roman" w:eastAsia="Times New Roman" w:hAnsi="Times New Roman"/>
          <w:sz w:val="15"/>
          <w:szCs w:val="15"/>
          <w:color w:val="auto"/>
        </w:rPr>
      </w:pPr>
    </w:p>
    <w:p>
      <w:pPr>
        <w:jc w:val="both"/>
        <w:ind w:firstLine="1013"/>
        <w:spacing w:after="0" w:line="259" w:lineRule="auto"/>
        <w:tabs>
          <w:tab w:leader="none" w:pos="1254"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u w:val="single" w:color="auto"/>
          <w:color w:val="auto"/>
        </w:rPr>
        <w:t>Acknowledgement and Consent</w:t>
      </w:r>
      <w:r>
        <w:rPr>
          <w:rFonts w:ascii="Times New Roman" w:cs="Times New Roman" w:eastAsia="Times New Roman" w:hAnsi="Times New Roman"/>
          <w:sz w:val="15"/>
          <w:szCs w:val="15"/>
          <w:color w:val="auto"/>
        </w:rPr>
        <w:t>. The New Subsidiary hereby acknowledges receipt of a copy of the Collateral Agreement, the Guaranty Agreement and the other Loan Documents to which it is a party and agrees for the benefit of the Administrative Agent and the Secured Parties to be bound thereby and to comply with the terms thereof insofar as such terms are applicable to it.</w:t>
      </w:r>
    </w:p>
    <w:p>
      <w:pPr>
        <w:spacing w:after="0" w:line="124" w:lineRule="exact"/>
        <w:rPr>
          <w:rFonts w:ascii="Times New Roman" w:cs="Times New Roman" w:eastAsia="Times New Roman" w:hAnsi="Times New Roman"/>
          <w:sz w:val="14"/>
          <w:szCs w:val="14"/>
          <w:color w:val="auto"/>
        </w:rPr>
      </w:pPr>
    </w:p>
    <w:p>
      <w:pPr>
        <w:ind w:left="1280" w:hanging="267"/>
        <w:spacing w:after="0"/>
        <w:tabs>
          <w:tab w:leader="none" w:pos="1280" w:val="left"/>
        </w:tabs>
        <w:numPr>
          <w:ilvl w:val="0"/>
          <w:numId w:val="4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64" w:lineRule="exact"/>
        <w:rPr>
          <w:sz w:val="20"/>
          <w:szCs w:val="20"/>
          <w:color w:val="auto"/>
        </w:rPr>
      </w:pPr>
    </w:p>
    <w:p>
      <w:pPr>
        <w:ind w:firstLine="1013"/>
        <w:spacing w:after="0" w:line="271" w:lineRule="auto"/>
        <w:tabs>
          <w:tab w:leader="none" w:pos="1369" w:val="left"/>
        </w:tabs>
        <w:numPr>
          <w:ilvl w:val="0"/>
          <w:numId w:val="4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be a Loan Document (within the meaning of such term under the Credit Agreement), shall be binding upon and enforceable against the New Subsidiary and its successors and assigns, and shall inure to the benefit of and be enforceable by each Secured Party and its successors and assigns.</w:t>
      </w:r>
    </w:p>
    <w:p>
      <w:pPr>
        <w:spacing w:after="0" w:line="115" w:lineRule="exact"/>
        <w:rPr>
          <w:rFonts w:ascii="Times New Roman" w:cs="Times New Roman" w:eastAsia="Times New Roman" w:hAnsi="Times New Roman"/>
          <w:sz w:val="15"/>
          <w:szCs w:val="15"/>
          <w:color w:val="auto"/>
        </w:rPr>
      </w:pPr>
    </w:p>
    <w:p>
      <w:pPr>
        <w:ind w:firstLine="1013"/>
        <w:spacing w:after="0" w:line="271" w:lineRule="auto"/>
        <w:tabs>
          <w:tab w:leader="none" w:pos="1358" w:val="left"/>
        </w:tabs>
        <w:numPr>
          <w:ilvl w:val="0"/>
          <w:numId w:val="4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each other Credit Party, jointly and severally, shall pay or reimburse the Administrative Agent for all of its out-of-pocket costs and expenses incurred in connection with the preparation, negotiation and execution of this Agreement including, without limitation, the reasonable fees and disbursements of counsel.</w:t>
      </w:r>
    </w:p>
    <w:p>
      <w:pPr>
        <w:spacing w:after="0" w:line="115" w:lineRule="exact"/>
        <w:rPr>
          <w:rFonts w:ascii="Times New Roman" w:cs="Times New Roman" w:eastAsia="Times New Roman" w:hAnsi="Times New Roman"/>
          <w:sz w:val="15"/>
          <w:szCs w:val="15"/>
          <w:color w:val="auto"/>
        </w:rPr>
      </w:pPr>
    </w:p>
    <w:p>
      <w:pPr>
        <w:ind w:firstLine="1013"/>
        <w:spacing w:after="0" w:line="271" w:lineRule="auto"/>
        <w:tabs>
          <w:tab w:leader="none" w:pos="1354" w:val="left"/>
        </w:tabs>
        <w:numPr>
          <w:ilvl w:val="0"/>
          <w:numId w:val="4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may be executed in any number of counterparts and by different parties hereto in different counterparts, each of which when so executed shall be deemed to be an original and shall be binding upon all parties, their successors and assigns, and all of which when taken together shall constitute one and the same agreement.</w:t>
      </w:r>
    </w:p>
    <w:p>
      <w:pPr>
        <w:spacing w:after="0" w:line="125" w:lineRule="exact"/>
        <w:rPr>
          <w:rFonts w:ascii="Times New Roman" w:cs="Times New Roman" w:eastAsia="Times New Roman" w:hAnsi="Times New Roman"/>
          <w:sz w:val="15"/>
          <w:szCs w:val="15"/>
          <w:color w:val="auto"/>
        </w:rPr>
      </w:pPr>
    </w:p>
    <w:p>
      <w:pPr>
        <w:ind w:left="1380" w:hanging="367"/>
        <w:spacing w:after="0"/>
        <w:tabs>
          <w:tab w:leader="none" w:pos="1380" w:val="left"/>
        </w:tabs>
        <w:numPr>
          <w:ilvl w:val="0"/>
          <w:numId w:val="4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capitalized terms used and not defined herein shall have the meanings given thereto in the Credit Agreement or the applicable Loan Document referred to</w:t>
      </w:r>
    </w:p>
    <w:p>
      <w:pPr>
        <w:spacing w:after="0" w:line="1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therein.</w:t>
      </w:r>
    </w:p>
    <w:p>
      <w:pPr>
        <w:spacing w:after="0" w:line="147" w:lineRule="exact"/>
        <w:rPr>
          <w:rFonts w:ascii="Times New Roman" w:cs="Times New Roman" w:eastAsia="Times New Roman" w:hAnsi="Times New Roman"/>
          <w:sz w:val="15"/>
          <w:szCs w:val="15"/>
          <w:color w:val="auto"/>
        </w:rPr>
      </w:pPr>
    </w:p>
    <w:p>
      <w:pPr>
        <w:ind w:left="1340" w:hanging="327"/>
        <w:spacing w:after="0"/>
        <w:tabs>
          <w:tab w:leader="none" w:pos="1340" w:val="left"/>
        </w:tabs>
        <w:numPr>
          <w:ilvl w:val="0"/>
          <w:numId w:val="4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BE GOVERNED BY, AND CONSTRUED IN ACCORDANCE WITH THE LAW OF THE STATE OF NEW YORK.</w:t>
      </w:r>
    </w:p>
    <w:p>
      <w:pPr>
        <w:spacing w:after="0" w:line="163" w:lineRule="exact"/>
        <w:rPr>
          <w:rFonts w:ascii="Times New Roman" w:cs="Times New Roman" w:eastAsia="Times New Roman" w:hAnsi="Times New Roman"/>
          <w:sz w:val="15"/>
          <w:szCs w:val="15"/>
          <w:color w:val="auto"/>
        </w:rPr>
      </w:pPr>
    </w:p>
    <w:p>
      <w:pPr>
        <w:jc w:val="both"/>
        <w:ind w:firstLine="1013"/>
        <w:spacing w:after="0" w:line="246" w:lineRule="auto"/>
        <w:tabs>
          <w:tab w:leader="none" w:pos="1334" w:val="left"/>
        </w:tabs>
        <w:numPr>
          <w:ilvl w:val="0"/>
          <w:numId w:val="4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facsimile, telecopy or other reproduction of this Agreement may be executed by one or more parties hereto, and an executed copy of this Agreement may be delivered by one or more parties hereto by facsimile or similar instantaneous electronic transmission device pursuant to which the signature of or on behalf of such party can be seen, and such execution and delivery shall be considered valid, binding and effective for all purposes. At the request of any party hereto, all parties hereto agree to execute an original of this Agreement as well as any facsimile, telecopy, pdf or other reproduction hereof.</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Joinder Agreement</w:t>
      </w:r>
    </w:p>
    <w:p>
      <w:pPr>
        <w:sectPr>
          <w:pgSz w:w="11900" w:h="16838" w:orient="portrait"/>
          <w:cols w:equalWidth="0" w:num="1">
            <w:col w:w="11280"/>
          </w:cols>
          <w:pgMar w:left="300" w:top="1249" w:right="319"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5"/>
          <w:szCs w:val="15"/>
          <w:color w:val="auto"/>
        </w:rPr>
        <w:t>IN WITNESS WHEREOF, the New Subsidiary has caused this Agreement to be executed under seal by its duly authorized officer as of the date first above written.</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NAME OF NEW SUBSIDIARY</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p>
      <w:pPr>
        <w:spacing w:after="0" w:line="3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-104775</wp:posOffset>
            </wp:positionV>
            <wp:extent cx="366458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3664585" cy="698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Joinder Agreement</w:t>
      </w:r>
    </w:p>
    <w:p>
      <w:pPr>
        <w:spacing w:after="0" w:line="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Signature Page</w:t>
      </w:r>
    </w:p>
    <w:p>
      <w:pPr>
        <w:sectPr>
          <w:pgSz w:w="11900" w:h="16838" w:orient="portrait"/>
          <w:cols w:equalWidth="0" w:num="1">
            <w:col w:w="10100"/>
          </w:cols>
          <w:pgMar w:left="800" w:top="1248" w:right="999" w:bottom="1440" w:gutter="0" w:footer="0" w:header="0"/>
        </w:sectPr>
      </w:pPr>
    </w:p>
    <w:bookmarkStart w:id="607" w:name="page608"/>
    <w:bookmarkEnd w:id="607"/>
    <w:p>
      <w:pPr>
        <w:ind w:left="386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2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as Administrative Agent</w:t>
      </w:r>
    </w:p>
    <w:p>
      <w:pPr>
        <w:spacing w:after="0" w:line="36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-104775</wp:posOffset>
            </wp:positionV>
            <wp:extent cx="366458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3664585" cy="6985"/>
                    </a:xfrm>
                    <a:prstGeom prst="rect">
                      <a:avLst/>
                    </a:prstGeom>
                    <a:noFill/>
                  </pic:spPr>
                </pic:pic>
              </a:graphicData>
            </a:graphic>
          </wp:anchor>
        </w:drawing>
      </w:r>
    </w:p>
    <w:p>
      <w:pPr>
        <w:spacing w:after="0" w:line="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Joinder Agreement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w:t>
      </w:r>
    </w:p>
    <w:p>
      <w:pPr>
        <w:sectPr>
          <w:pgSz w:w="11900" w:h="16838" w:orient="portrait"/>
          <w:cols w:equalWidth="0" w:num="1">
            <w:col w:w="9019"/>
          </w:cols>
          <w:pgMar w:left="1440" w:top="1289" w:right="1440" w:bottom="1440" w:gutter="0" w:footer="0" w:header="0"/>
        </w:sectPr>
      </w:pPr>
    </w:p>
    <w:bookmarkStart w:id="608" w:name="page609"/>
    <w:bookmarkEnd w:id="608"/>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of Independent Registered Public Accounting Firm</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consent to the reference to our firm under the caption "Experts" and to the use of our report dated June 18, 2025, in Amendment No. 1 to the Registration Statement (Form S-1 No. 333-290583) and related Prospectus of Wealthfront Corporation for the registration of shares of its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December 2, 2025</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344C22"/>
    <w:multiLevelType w:val="hybridMultilevel"/>
    <w:lvl w:ilvl="0">
      <w:lvlJc w:val="left"/>
      <w:lvlText w:val="1"/>
      <w:numFmt w:val="bullet"/>
      <w:start w:val="1"/>
    </w:lvl>
  </w:abstractNum>
  <w:abstractNum w:abstractNumId="1">
    <w:nsid w:val="13CDFCFC"/>
    <w:multiLevelType w:val="hybridMultilevel"/>
    <w:lvl w:ilvl="0">
      <w:lvlJc w:val="left"/>
      <w:lvlText w:val="•"/>
      <w:numFmt w:val="bullet"/>
      <w:start w:val="1"/>
    </w:lvl>
  </w:abstractNum>
  <w:abstractNum w:abstractNumId="2">
    <w:nsid w:val="471745E4"/>
    <w:multiLevelType w:val="hybridMultilevel"/>
    <w:lvl w:ilvl="0">
      <w:lvlJc w:val="left"/>
      <w:lvlText w:val="•"/>
      <w:numFmt w:val="bullet"/>
      <w:start w:val="1"/>
    </w:lvl>
  </w:abstractNum>
  <w:abstractNum w:abstractNumId="3">
    <w:nsid w:val="1DDBC66"/>
    <w:multiLevelType w:val="hybridMultilevel"/>
    <w:lvl w:ilvl="0">
      <w:lvlJc w:val="left"/>
      <w:lvlText w:val="•"/>
      <w:numFmt w:val="bullet"/>
      <w:start w:val="1"/>
    </w:lvl>
  </w:abstractNum>
  <w:abstractNum w:abstractNumId="4">
    <w:nsid w:val="30AADFDA"/>
    <w:multiLevelType w:val="hybridMultilevel"/>
    <w:lvl w:ilvl="0">
      <w:lvlJc w:val="left"/>
      <w:lvlText w:val="•"/>
      <w:numFmt w:val="bullet"/>
      <w:start w:val="1"/>
    </w:lvl>
  </w:abstractNum>
  <w:abstractNum w:abstractNumId="5">
    <w:nsid w:val="30EADA61"/>
    <w:multiLevelType w:val="hybridMultilevel"/>
    <w:lvl w:ilvl="0">
      <w:lvlJc w:val="left"/>
      <w:lvlText w:val="3"/>
      <w:numFmt w:val="bullet"/>
      <w:start w:val="1"/>
    </w:lvl>
  </w:abstractNum>
  <w:abstractNum w:abstractNumId="6">
    <w:nsid w:val="27179C0B"/>
    <w:multiLevelType w:val="hybridMultilevel"/>
    <w:lvl w:ilvl="0">
      <w:lvlJc w:val="left"/>
      <w:lvlText w:val="4"/>
      <w:numFmt w:val="bullet"/>
      <w:start w:val="1"/>
    </w:lvl>
  </w:abstractNum>
  <w:abstractNum w:abstractNumId="7">
    <w:nsid w:val="5E636063"/>
    <w:multiLevelType w:val="hybridMultilevel"/>
    <w:lvl w:ilvl="0">
      <w:lvlJc w:val="left"/>
      <w:lvlText w:val="5"/>
      <w:numFmt w:val="bullet"/>
      <w:start w:val="1"/>
    </w:lvl>
  </w:abstractNum>
  <w:abstractNum w:abstractNumId="8">
    <w:nsid w:val="215641AF"/>
    <w:multiLevelType w:val="hybridMultilevel"/>
    <w:lvl w:ilvl="0">
      <w:lvlJc w:val="left"/>
      <w:lvlText w:val="6"/>
      <w:numFmt w:val="bullet"/>
      <w:start w:val="1"/>
    </w:lvl>
  </w:abstractNum>
  <w:abstractNum w:abstractNumId="9">
    <w:nsid w:val="53280662"/>
    <w:multiLevelType w:val="hybridMultilevel"/>
    <w:lvl w:ilvl="0">
      <w:lvlJc w:val="left"/>
      <w:lvlText w:val="7"/>
      <w:numFmt w:val="bullet"/>
      <w:start w:val="1"/>
    </w:lvl>
  </w:abstractNum>
  <w:abstractNum w:abstractNumId="10">
    <w:nsid w:val="46B24DBC"/>
    <w:multiLevelType w:val="hybridMultilevel"/>
    <w:lvl w:ilvl="0">
      <w:lvlJc w:val="left"/>
      <w:lvlText w:val="•"/>
      <w:numFmt w:val="bullet"/>
      <w:start w:val="1"/>
    </w:lvl>
  </w:abstractNum>
  <w:abstractNum w:abstractNumId="11">
    <w:nsid w:val="75B52783"/>
    <w:multiLevelType w:val="hybridMultilevel"/>
    <w:lvl w:ilvl="0">
      <w:lvlJc w:val="left"/>
      <w:lvlText w:val="8"/>
      <w:numFmt w:val="bullet"/>
      <w:start w:val="1"/>
    </w:lvl>
  </w:abstractNum>
  <w:abstractNum w:abstractNumId="12">
    <w:nsid w:val="57CE66B4"/>
    <w:multiLevelType w:val="hybridMultilevel"/>
    <w:lvl w:ilvl="0">
      <w:lvlJc w:val="left"/>
      <w:lvlText w:val="•"/>
      <w:numFmt w:val="bullet"/>
      <w:start w:val="1"/>
    </w:lvl>
  </w:abstractNum>
  <w:abstractNum w:abstractNumId="13">
    <w:nsid w:val="67A70B69"/>
    <w:multiLevelType w:val="hybridMultilevel"/>
    <w:lvl w:ilvl="0">
      <w:lvlJc w:val="left"/>
      <w:lvlText w:val="•"/>
      <w:numFmt w:val="bullet"/>
      <w:start w:val="1"/>
    </w:lvl>
  </w:abstractNum>
  <w:abstractNum w:abstractNumId="14">
    <w:nsid w:val="5953172F"/>
    <w:multiLevelType w:val="hybridMultilevel"/>
    <w:lvl w:ilvl="0">
      <w:lvlJc w:val="left"/>
      <w:lvlText w:val="•"/>
      <w:numFmt w:val="bullet"/>
      <w:start w:val="1"/>
    </w:lvl>
  </w:abstractNum>
  <w:abstractNum w:abstractNumId="15">
    <w:nsid w:val="27EDFE3A"/>
    <w:multiLevelType w:val="hybridMultilevel"/>
    <w:lvl w:ilvl="0">
      <w:lvlJc w:val="left"/>
      <w:lvlText w:val="9"/>
      <w:numFmt w:val="bullet"/>
      <w:start w:val="1"/>
    </w:lvl>
  </w:abstractNum>
  <w:abstractNum w:abstractNumId="16">
    <w:nsid w:val="52AC7DFF"/>
    <w:multiLevelType w:val="hybridMultilevel"/>
    <w:lvl w:ilvl="0">
      <w:lvlJc w:val="left"/>
      <w:lvlText w:val="%1"/>
      <w:numFmt w:val="decimal"/>
      <w:start w:val="10"/>
    </w:lvl>
  </w:abstractNum>
  <w:abstractNum w:abstractNumId="17">
    <w:nsid w:val="C4C3AF"/>
    <w:multiLevelType w:val="hybridMultilevel"/>
    <w:lvl w:ilvl="0">
      <w:lvlJc w:val="left"/>
      <w:lvlText w:val="•"/>
      <w:numFmt w:val="bullet"/>
      <w:start w:val="1"/>
    </w:lvl>
  </w:abstractNum>
  <w:abstractNum w:abstractNumId="18">
    <w:nsid w:val="44380727"/>
    <w:multiLevelType w:val="hybridMultilevel"/>
    <w:lvl w:ilvl="0">
      <w:lvlJc w:val="left"/>
      <w:lvlText w:val="%1"/>
      <w:numFmt w:val="decimal"/>
      <w:start w:val="13"/>
    </w:lvl>
  </w:abstractNum>
  <w:abstractNum w:abstractNumId="19">
    <w:nsid w:val="6C053B16"/>
    <w:multiLevelType w:val="hybridMultilevel"/>
    <w:lvl w:ilvl="0">
      <w:lvlJc w:val="left"/>
      <w:lvlText w:val="%1"/>
      <w:numFmt w:val="decimal"/>
      <w:start w:val="14"/>
    </w:lvl>
  </w:abstractNum>
  <w:abstractNum w:abstractNumId="20">
    <w:nsid w:val="4F294393"/>
    <w:multiLevelType w:val="hybridMultilevel"/>
    <w:lvl w:ilvl="0">
      <w:lvlJc w:val="left"/>
      <w:lvlText w:val="%1"/>
      <w:numFmt w:val="decimal"/>
      <w:start w:val="15"/>
    </w:lvl>
  </w:abstractNum>
  <w:abstractNum w:abstractNumId="21">
    <w:nsid w:val="5243BFAC"/>
    <w:multiLevelType w:val="hybridMultilevel"/>
    <w:lvl w:ilvl="0">
      <w:lvlJc w:val="left"/>
      <w:lvlText w:val="•"/>
      <w:numFmt w:val="bullet"/>
      <w:start w:val="1"/>
    </w:lvl>
  </w:abstractNum>
  <w:abstractNum w:abstractNumId="22">
    <w:nsid w:val="425EB207"/>
    <w:multiLevelType w:val="hybridMultilevel"/>
    <w:lvl w:ilvl="0">
      <w:lvlJc w:val="left"/>
      <w:lvlText w:val="•"/>
      <w:numFmt w:val="bullet"/>
      <w:start w:val="1"/>
    </w:lvl>
  </w:abstractNum>
  <w:abstractNum w:abstractNumId="23">
    <w:nsid w:val="334A6F1F"/>
    <w:multiLevelType w:val="hybridMultilevel"/>
    <w:lvl w:ilvl="0">
      <w:lvlJc w:val="left"/>
      <w:lvlText w:val="•"/>
      <w:numFmt w:val="bullet"/>
      <w:start w:val="1"/>
    </w:lvl>
  </w:abstractNum>
  <w:abstractNum w:abstractNumId="24">
    <w:nsid w:val="2E5B12B8"/>
    <w:multiLevelType w:val="hybridMultilevel"/>
    <w:lvl w:ilvl="0">
      <w:lvlJc w:val="left"/>
      <w:lvlText w:val="•"/>
      <w:numFmt w:val="bullet"/>
      <w:start w:val="1"/>
    </w:lvl>
  </w:abstractNum>
  <w:abstractNum w:abstractNumId="25">
    <w:nsid w:val="5C03D76D"/>
    <w:multiLevelType w:val="hybridMultilevel"/>
    <w:lvl w:ilvl="0">
      <w:lvlJc w:val="left"/>
      <w:lvlText w:val="•"/>
      <w:numFmt w:val="bullet"/>
      <w:start w:val="1"/>
    </w:lvl>
  </w:abstractNum>
  <w:abstractNum w:abstractNumId="26">
    <w:nsid w:val="66A48D11"/>
    <w:multiLevelType w:val="hybridMultilevel"/>
    <w:lvl w:ilvl="0">
      <w:lvlJc w:val="left"/>
      <w:lvlText w:val="•"/>
      <w:numFmt w:val="bullet"/>
      <w:start w:val="1"/>
    </w:lvl>
  </w:abstractNum>
  <w:abstractNum w:abstractNumId="27">
    <w:nsid w:val="56C28E34"/>
    <w:multiLevelType w:val="hybridMultilevel"/>
    <w:lvl w:ilvl="0">
      <w:lvlJc w:val="left"/>
      <w:lvlText w:val="•"/>
      <w:numFmt w:val="bullet"/>
      <w:start w:val="1"/>
    </w:lvl>
  </w:abstractNum>
  <w:abstractNum w:abstractNumId="28">
    <w:nsid w:val="13916F2D"/>
    <w:multiLevelType w:val="hybridMultilevel"/>
    <w:lvl w:ilvl="0">
      <w:lvlJc w:val="left"/>
      <w:lvlText w:val="(%1)"/>
      <w:numFmt w:val="decimal"/>
      <w:start w:val="2"/>
    </w:lvl>
  </w:abstractNum>
  <w:abstractNum w:abstractNumId="29">
    <w:nsid w:val="435D38D"/>
    <w:multiLevelType w:val="hybridMultilevel"/>
    <w:lvl w:ilvl="0">
      <w:lvlJc w:val="left"/>
      <w:lvlText w:val="(%1)"/>
      <w:numFmt w:val="decimal"/>
      <w:start w:val="1"/>
    </w:lvl>
  </w:abstractNum>
  <w:abstractNum w:abstractNumId="30">
    <w:nsid w:val="822C0EF"/>
    <w:multiLevelType w:val="hybridMultilevel"/>
    <w:lvl w:ilvl="0">
      <w:lvlJc w:val="left"/>
      <w:lvlText w:val="(%1)"/>
      <w:numFmt w:val="decimal"/>
      <w:start w:val="1"/>
    </w:lvl>
    <w:lvl w:ilvl="1">
      <w:lvlJc w:val="left"/>
      <w:lvlText w:val="(%2)"/>
      <w:numFmt w:val="lowerLetter"/>
      <w:start w:val="3"/>
    </w:lvl>
  </w:abstractNum>
  <w:abstractNum w:abstractNumId="31">
    <w:nsid w:val="57C5BB4F"/>
    <w:multiLevelType w:val="hybridMultilevel"/>
    <w:lvl w:ilvl="0">
      <w:lvlJc w:val="left"/>
      <w:lvlText w:val="(%1)"/>
      <w:numFmt w:val="decimal"/>
      <w:start w:val="4"/>
    </w:lvl>
  </w:abstractNum>
  <w:abstractNum w:abstractNumId="32">
    <w:nsid w:val="1803D089"/>
    <w:multiLevelType w:val="hybridMultilevel"/>
    <w:lvl w:ilvl="0">
      <w:lvlJc w:val="left"/>
      <w:lvlText w:val="•"/>
      <w:numFmt w:val="bullet"/>
      <w:start w:val="1"/>
    </w:lvl>
  </w:abstractNum>
  <w:abstractNum w:abstractNumId="33">
    <w:nsid w:val="4F3A06D4"/>
    <w:multiLevelType w:val="hybridMultilevel"/>
    <w:lvl w:ilvl="0">
      <w:lvlJc w:val="left"/>
      <w:lvlText w:val="•"/>
      <w:numFmt w:val="bullet"/>
      <w:start w:val="1"/>
    </w:lvl>
  </w:abstractNum>
  <w:abstractNum w:abstractNumId="34">
    <w:nsid w:val="59A377B6"/>
    <w:multiLevelType w:val="hybridMultilevel"/>
    <w:lvl w:ilvl="0">
      <w:lvlJc w:val="left"/>
      <w:lvlText w:val="•"/>
      <w:numFmt w:val="bullet"/>
      <w:start w:val="1"/>
    </w:lvl>
  </w:abstractNum>
  <w:abstractNum w:abstractNumId="35">
    <w:nsid w:val="48AEB063"/>
    <w:multiLevelType w:val="hybridMultilevel"/>
    <w:lvl w:ilvl="0">
      <w:lvlJc w:val="left"/>
      <w:lvlText w:val="•"/>
      <w:numFmt w:val="bullet"/>
      <w:start w:val="1"/>
    </w:lvl>
  </w:abstractNum>
  <w:abstractNum w:abstractNumId="36">
    <w:nsid w:val="24E135"/>
    <w:multiLevelType w:val="hybridMultilevel"/>
    <w:lvl w:ilvl="0">
      <w:lvlJc w:val="left"/>
      <w:lvlText w:val="•"/>
      <w:numFmt w:val="bullet"/>
      <w:start w:val="1"/>
    </w:lvl>
  </w:abstractNum>
  <w:abstractNum w:abstractNumId="37">
    <w:nsid w:val="BB13C1"/>
    <w:multiLevelType w:val="hybridMultilevel"/>
    <w:lvl w:ilvl="0">
      <w:lvlJc w:val="left"/>
      <w:lvlText w:val="•"/>
      <w:numFmt w:val="bullet"/>
      <w:start w:val="1"/>
    </w:lvl>
  </w:abstractNum>
  <w:abstractNum w:abstractNumId="38">
    <w:nsid w:val="271210C7"/>
    <w:multiLevelType w:val="hybridMultilevel"/>
    <w:lvl w:ilvl="0">
      <w:lvlJc w:val="left"/>
      <w:lvlText w:val="•"/>
      <w:numFmt w:val="bullet"/>
      <w:start w:val="1"/>
    </w:lvl>
  </w:abstractNum>
  <w:abstractNum w:abstractNumId="39">
    <w:nsid w:val="217B22E4"/>
    <w:multiLevelType w:val="hybridMultilevel"/>
    <w:lvl w:ilvl="0">
      <w:lvlJc w:val="left"/>
      <w:lvlText w:val="•"/>
      <w:numFmt w:val="bullet"/>
      <w:start w:val="1"/>
    </w:lvl>
  </w:abstractNum>
  <w:abstractNum w:abstractNumId="40">
    <w:nsid w:val="53E31A24"/>
    <w:multiLevelType w:val="hybridMultilevel"/>
    <w:lvl w:ilvl="0">
      <w:lvlJc w:val="left"/>
      <w:lvlText w:val="•"/>
      <w:numFmt w:val="bullet"/>
      <w:start w:val="1"/>
    </w:lvl>
  </w:abstractNum>
  <w:abstractNum w:abstractNumId="41">
    <w:nsid w:val="6DC45E83"/>
    <w:multiLevelType w:val="hybridMultilevel"/>
    <w:lvl w:ilvl="0">
      <w:lvlJc w:val="left"/>
      <w:lvlText w:val="•"/>
      <w:numFmt w:val="bullet"/>
      <w:start w:val="1"/>
    </w:lvl>
  </w:abstractNum>
  <w:abstractNum w:abstractNumId="42">
    <w:nsid w:val="17304A67"/>
    <w:multiLevelType w:val="hybridMultilevel"/>
    <w:lvl w:ilvl="0">
      <w:lvlJc w:val="left"/>
      <w:lvlText w:val="(%1)"/>
      <w:numFmt w:val="lowerRoman"/>
      <w:start w:val="1"/>
    </w:lvl>
  </w:abstractNum>
  <w:abstractNum w:abstractNumId="43">
    <w:nsid w:val="2BB180D8"/>
    <w:multiLevelType w:val="hybridMultilevel"/>
    <w:lvl w:ilvl="0">
      <w:lvlJc w:val="left"/>
      <w:lvlText w:val="•"/>
      <w:numFmt w:val="bullet"/>
      <w:start w:val="1"/>
    </w:lvl>
  </w:abstractNum>
  <w:abstractNum w:abstractNumId="44">
    <w:nsid w:val="556B69ED"/>
    <w:multiLevelType w:val="hybridMultilevel"/>
    <w:lvl w:ilvl="0">
      <w:lvlJc w:val="left"/>
      <w:lvlText w:val="•"/>
      <w:numFmt w:val="bullet"/>
      <w:start w:val="1"/>
    </w:lvl>
  </w:abstractNum>
  <w:abstractNum w:abstractNumId="45">
    <w:nsid w:val="70836196"/>
    <w:multiLevelType w:val="hybridMultilevel"/>
    <w:lvl w:ilvl="0">
      <w:lvlJc w:val="left"/>
      <w:lvlText w:val="•"/>
      <w:numFmt w:val="bullet"/>
      <w:start w:val="1"/>
    </w:lvl>
  </w:abstractNum>
  <w:abstractNum w:abstractNumId="46">
    <w:nsid w:val="539F7F12"/>
    <w:multiLevelType w:val="hybridMultilevel"/>
    <w:lvl w:ilvl="0">
      <w:lvlJc w:val="left"/>
      <w:lvlText w:val="•"/>
      <w:numFmt w:val="bullet"/>
      <w:start w:val="1"/>
    </w:lvl>
    <w:lvl w:ilvl="1">
      <w:lvlJc w:val="left"/>
      <w:lvlText w:val="•"/>
      <w:numFmt w:val="bullet"/>
      <w:start w:val="1"/>
    </w:lvl>
  </w:abstractNum>
  <w:abstractNum w:abstractNumId="47">
    <w:nsid w:val="2817E7EC"/>
    <w:multiLevelType w:val="hybridMultilevel"/>
    <w:lvl w:ilvl="0">
      <w:lvlJc w:val="left"/>
      <w:lvlText w:val="•"/>
      <w:numFmt w:val="bullet"/>
      <w:start w:val="1"/>
    </w:lvl>
  </w:abstractNum>
  <w:abstractNum w:abstractNumId="48">
    <w:nsid w:val="71482545"/>
    <w:multiLevelType w:val="hybridMultilevel"/>
    <w:lvl w:ilvl="0">
      <w:lvlJc w:val="left"/>
      <w:lvlText w:val="(%1)"/>
      <w:numFmt w:val="decimal"/>
      <w:start w:val="1"/>
    </w:lvl>
  </w:abstractNum>
  <w:abstractNum w:abstractNumId="49">
    <w:nsid w:val="17D78639"/>
    <w:multiLevelType w:val="hybridMultilevel"/>
    <w:lvl w:ilvl="0">
      <w:lvlJc w:val="left"/>
      <w:lvlText w:val="•"/>
      <w:numFmt w:val="bullet"/>
      <w:start w:val="1"/>
    </w:lvl>
  </w:abstractNum>
  <w:abstractNum w:abstractNumId="50">
    <w:nsid w:val="141D2302"/>
    <w:multiLevelType w:val="hybridMultilevel"/>
    <w:lvl w:ilvl="0">
      <w:lvlJc w:val="left"/>
      <w:lvlText w:val="•"/>
      <w:numFmt w:val="bullet"/>
      <w:start w:val="1"/>
    </w:lvl>
  </w:abstractNum>
  <w:abstractNum w:abstractNumId="51">
    <w:nsid w:val="407168D8"/>
    <w:multiLevelType w:val="hybridMultilevel"/>
    <w:lvl w:ilvl="0">
      <w:lvlJc w:val="left"/>
      <w:lvlText w:val="%1"/>
      <w:numFmt w:val="decimal"/>
      <w:start w:val="16"/>
    </w:lvl>
  </w:abstractNum>
  <w:abstractNum w:abstractNumId="52">
    <w:nsid w:val="6A1B45E5"/>
    <w:multiLevelType w:val="hybridMultilevel"/>
    <w:lvl w:ilvl="0">
      <w:lvlJc w:val="left"/>
      <w:lvlText w:val="%1"/>
      <w:numFmt w:val="decimal"/>
      <w:start w:val="18"/>
    </w:lvl>
  </w:abstractNum>
  <w:abstractNum w:abstractNumId="53">
    <w:nsid w:val="567BD50A"/>
    <w:multiLevelType w:val="hybridMultilevel"/>
    <w:lvl w:ilvl="0">
      <w:lvlJc w:val="left"/>
      <w:lvlText w:val="%1"/>
      <w:numFmt w:val="decimal"/>
      <w:start w:val="19"/>
    </w:lvl>
  </w:abstractNum>
  <w:abstractNum w:abstractNumId="54">
    <w:nsid w:val="73BBD7F8"/>
    <w:multiLevelType w:val="hybridMultilevel"/>
    <w:lvl w:ilvl="0">
      <w:lvlJc w:val="left"/>
      <w:lvlText w:val="%1"/>
      <w:numFmt w:val="decimal"/>
      <w:start w:val="20"/>
    </w:lvl>
  </w:abstractNum>
  <w:abstractNum w:abstractNumId="55">
    <w:nsid w:val="1876589D"/>
    <w:multiLevelType w:val="hybridMultilevel"/>
    <w:lvl w:ilvl="0">
      <w:lvlJc w:val="left"/>
      <w:lvlText w:val="%1"/>
      <w:numFmt w:val="decimal"/>
      <w:start w:val="21"/>
    </w:lvl>
  </w:abstractNum>
  <w:abstractNum w:abstractNumId="56">
    <w:nsid w:val="327FAC77"/>
    <w:multiLevelType w:val="hybridMultilevel"/>
    <w:lvl w:ilvl="0">
      <w:lvlJc w:val="left"/>
      <w:lvlText w:val="(%1)"/>
      <w:numFmt w:val="decimal"/>
      <w:start w:val="1"/>
    </w:lvl>
  </w:abstractNum>
  <w:abstractNum w:abstractNumId="57">
    <w:nsid w:val="5A606509"/>
    <w:multiLevelType w:val="hybridMultilevel"/>
    <w:lvl w:ilvl="0">
      <w:lvlJc w:val="left"/>
      <w:lvlText w:val="(%1)"/>
      <w:numFmt w:val="decimal"/>
      <w:start w:val="1"/>
    </w:lvl>
  </w:abstractNum>
  <w:abstractNum w:abstractNumId="58">
    <w:nsid w:val="6F38E6D1"/>
    <w:multiLevelType w:val="hybridMultilevel"/>
    <w:lvl w:ilvl="0">
      <w:lvlJc w:val="left"/>
      <w:lvlText w:val="%1"/>
      <w:numFmt w:val="decimal"/>
      <w:start w:val="22"/>
    </w:lvl>
  </w:abstractNum>
  <w:abstractNum w:abstractNumId="59">
    <w:nsid w:val="46111BA5"/>
    <w:multiLevelType w:val="hybridMultilevel"/>
    <w:lvl w:ilvl="0">
      <w:lvlJc w:val="left"/>
      <w:lvlText w:val="•"/>
      <w:numFmt w:val="bullet"/>
      <w:start w:val="1"/>
    </w:lvl>
  </w:abstractNum>
  <w:abstractNum w:abstractNumId="60">
    <w:nsid w:val="5E963896"/>
    <w:multiLevelType w:val="hybridMultilevel"/>
    <w:lvl w:ilvl="0">
      <w:lvlJc w:val="left"/>
      <w:lvlText w:val="•"/>
      <w:numFmt w:val="bullet"/>
      <w:start w:val="1"/>
    </w:lvl>
  </w:abstractNum>
  <w:abstractNum w:abstractNumId="61">
    <w:nsid w:val="775BA7C1"/>
    <w:multiLevelType w:val="hybridMultilevel"/>
    <w:lvl w:ilvl="0">
      <w:lvlJc w:val="left"/>
      <w:lvlText w:val="(%1)"/>
      <w:numFmt w:val="decimal"/>
      <w:start w:val="1"/>
    </w:lvl>
  </w:abstractNum>
  <w:abstractNum w:abstractNumId="62">
    <w:nsid w:val="1DD6D6F4"/>
    <w:multiLevelType w:val="hybridMultilevel"/>
    <w:lvl w:ilvl="0">
      <w:lvlJc w:val="left"/>
      <w:lvlText w:val="%1"/>
      <w:numFmt w:val="decimal"/>
      <w:start w:val="24"/>
    </w:lvl>
  </w:abstractNum>
  <w:abstractNum w:abstractNumId="63">
    <w:nsid w:val="769A091F"/>
    <w:multiLevelType w:val="hybridMultilevel"/>
    <w:lvl w:ilvl="0">
      <w:lvlJc w:val="left"/>
      <w:lvlText w:val="(%1)"/>
      <w:numFmt w:val="decimal"/>
      <w:start w:val="1"/>
    </w:lvl>
  </w:abstractNum>
  <w:abstractNum w:abstractNumId="64">
    <w:nsid w:val="4695AE95"/>
    <w:multiLevelType w:val="hybridMultilevel"/>
    <w:lvl w:ilvl="0">
      <w:lvlJc w:val="left"/>
      <w:lvlText w:val="%1"/>
      <w:numFmt w:val="decimal"/>
      <w:start w:val="25"/>
    </w:lvl>
  </w:abstractNum>
  <w:abstractNum w:abstractNumId="65">
    <w:nsid w:val="777A4EAA"/>
    <w:multiLevelType w:val="hybridMultilevel"/>
    <w:lvl w:ilvl="0">
      <w:lvlJc w:val="left"/>
      <w:lvlText w:val="•"/>
      <w:numFmt w:val="bullet"/>
      <w:start w:val="1"/>
    </w:lvl>
  </w:abstractNum>
  <w:abstractNum w:abstractNumId="66">
    <w:nsid w:val="3F48B982"/>
    <w:multiLevelType w:val="hybridMultilevel"/>
    <w:lvl w:ilvl="0">
      <w:lvlJc w:val="left"/>
      <w:lvlText w:val="•"/>
      <w:numFmt w:val="bullet"/>
      <w:start w:val="1"/>
    </w:lvl>
  </w:abstractNum>
  <w:abstractNum w:abstractNumId="67">
    <w:nsid w:val="46BA8FCA"/>
    <w:multiLevelType w:val="hybridMultilevel"/>
    <w:lvl w:ilvl="0">
      <w:lvlJc w:val="left"/>
      <w:lvlText w:val="•"/>
      <w:numFmt w:val="bullet"/>
      <w:start w:val="1"/>
    </w:lvl>
  </w:abstractNum>
  <w:abstractNum w:abstractNumId="68">
    <w:nsid w:val="7835626C"/>
    <w:multiLevelType w:val="hybridMultilevel"/>
    <w:lvl w:ilvl="0">
      <w:lvlJc w:val="left"/>
      <w:lvlText w:val="(%1)"/>
      <w:numFmt w:val="lowerLetter"/>
      <w:start w:val="25"/>
    </w:lvl>
  </w:abstractNum>
  <w:abstractNum w:abstractNumId="69">
    <w:nsid w:val="665ACA49"/>
    <w:multiLevelType w:val="hybridMultilevel"/>
    <w:lvl w:ilvl="0">
      <w:lvlJc w:val="left"/>
      <w:lvlText w:val="•"/>
      <w:numFmt w:val="bullet"/>
      <w:start w:val="1"/>
    </w:lvl>
  </w:abstractNum>
  <w:abstractNum w:abstractNumId="70">
    <w:nsid w:val="6835B2AE"/>
    <w:multiLevelType w:val="hybridMultilevel"/>
    <w:lvl w:ilvl="0">
      <w:lvlJc w:val="left"/>
      <w:lvlText w:val="%1"/>
      <w:numFmt w:val="decimal"/>
      <w:start w:val="26"/>
    </w:lvl>
  </w:abstractNum>
  <w:abstractNum w:abstractNumId="71">
    <w:nsid w:val="4C187C90"/>
    <w:multiLevelType w:val="hybridMultilevel"/>
    <w:lvl w:ilvl="0">
      <w:lvlJc w:val="left"/>
      <w:lvlText w:val="•"/>
      <w:numFmt w:val="bullet"/>
      <w:start w:val="1"/>
    </w:lvl>
  </w:abstractNum>
  <w:abstractNum w:abstractNumId="72">
    <w:nsid w:val="541F28CD"/>
    <w:multiLevelType w:val="hybridMultilevel"/>
    <w:lvl w:ilvl="0">
      <w:lvlJc w:val="left"/>
      <w:lvlText w:val="•"/>
      <w:numFmt w:val="bullet"/>
      <w:start w:val="1"/>
    </w:lvl>
  </w:abstractNum>
  <w:abstractNum w:abstractNumId="73">
    <w:nsid w:val="7F65FD16"/>
    <w:multiLevelType w:val="hybridMultilevel"/>
    <w:lvl w:ilvl="0">
      <w:lvlJc w:val="left"/>
      <w:lvlText w:val="•"/>
      <w:numFmt w:val="bullet"/>
      <w:start w:val="1"/>
    </w:lvl>
  </w:abstractNum>
  <w:abstractNum w:abstractNumId="74">
    <w:nsid w:val="77C9FD68"/>
    <w:multiLevelType w:val="hybridMultilevel"/>
    <w:lvl w:ilvl="0">
      <w:lvlJc w:val="left"/>
      <w:lvlText w:val="•"/>
      <w:numFmt w:val="bullet"/>
      <w:start w:val="1"/>
    </w:lvl>
  </w:abstractNum>
  <w:abstractNum w:abstractNumId="75">
    <w:nsid w:val="298A92BA"/>
    <w:multiLevelType w:val="hybridMultilevel"/>
    <w:lvl w:ilvl="0">
      <w:lvlJc w:val="left"/>
      <w:lvlText w:val="%1"/>
      <w:numFmt w:val="decimal"/>
      <w:start w:val="28"/>
    </w:lvl>
  </w:abstractNum>
  <w:abstractNum w:abstractNumId="76">
    <w:nsid w:val="6FE95EAC"/>
    <w:multiLevelType w:val="hybridMultilevel"/>
    <w:lvl w:ilvl="0">
      <w:lvlJc w:val="left"/>
      <w:lvlText w:val="%1"/>
      <w:numFmt w:val="decimal"/>
      <w:start w:val="29"/>
    </w:lvl>
  </w:abstractNum>
  <w:abstractNum w:abstractNumId="77">
    <w:nsid w:val="4B697C7A"/>
    <w:multiLevelType w:val="hybridMultilevel"/>
    <w:lvl w:ilvl="0">
      <w:lvlJc w:val="left"/>
      <w:lvlText w:val="•"/>
      <w:numFmt w:val="bullet"/>
      <w:start w:val="1"/>
    </w:lvl>
  </w:abstractNum>
  <w:abstractNum w:abstractNumId="78">
    <w:nsid w:val="51A27AA6"/>
    <w:multiLevelType w:val="hybridMultilevel"/>
    <w:lvl w:ilvl="0">
      <w:lvlJc w:val="left"/>
      <w:lvlText w:val="%1"/>
      <w:numFmt w:val="decimal"/>
      <w:start w:val="33"/>
    </w:lvl>
  </w:abstractNum>
  <w:abstractNum w:abstractNumId="79">
    <w:nsid w:val="613183F2"/>
    <w:multiLevelType w:val="hybridMultilevel"/>
    <w:lvl w:ilvl="0">
      <w:lvlJc w:val="left"/>
      <w:lvlText w:val="•"/>
      <w:numFmt w:val="bullet"/>
      <w:start w:val="1"/>
    </w:lvl>
  </w:abstractNum>
  <w:abstractNum w:abstractNumId="80">
    <w:nsid w:val="634102B4"/>
    <w:multiLevelType w:val="hybridMultilevel"/>
    <w:lvl w:ilvl="0">
      <w:lvlJc w:val="left"/>
      <w:lvlText w:val="•"/>
      <w:numFmt w:val="bullet"/>
      <w:start w:val="1"/>
    </w:lvl>
  </w:abstractNum>
  <w:abstractNum w:abstractNumId="81">
    <w:nsid w:val="65BF9DA8"/>
    <w:multiLevelType w:val="hybridMultilevel"/>
    <w:lvl w:ilvl="0">
      <w:lvlJc w:val="left"/>
      <w:lvlText w:val="•"/>
      <w:numFmt w:val="bullet"/>
      <w:start w:val="1"/>
    </w:lvl>
  </w:abstractNum>
  <w:abstractNum w:abstractNumId="82">
    <w:nsid w:val="21A2ECCA"/>
    <w:multiLevelType w:val="hybridMultilevel"/>
    <w:lvl w:ilvl="0">
      <w:lvlJc w:val="left"/>
      <w:lvlText w:val="%1"/>
      <w:numFmt w:val="decimal"/>
      <w:start w:val="35"/>
    </w:lvl>
  </w:abstractNum>
  <w:abstractNum w:abstractNumId="83">
    <w:nsid w:val="4D5C4899"/>
    <w:multiLevelType w:val="hybridMultilevel"/>
    <w:lvl w:ilvl="0">
      <w:lvlJc w:val="left"/>
      <w:lvlText w:val="%1"/>
      <w:numFmt w:val="decimal"/>
      <w:start w:val="37"/>
    </w:lvl>
  </w:abstractNum>
  <w:abstractNum w:abstractNumId="84">
    <w:nsid w:val="3C3B72B2"/>
    <w:multiLevelType w:val="hybridMultilevel"/>
    <w:lvl w:ilvl="0">
      <w:lvlJc w:val="left"/>
      <w:lvlText w:val="•"/>
      <w:numFmt w:val="bullet"/>
      <w:start w:val="1"/>
    </w:lvl>
  </w:abstractNum>
  <w:abstractNum w:abstractNumId="85">
    <w:nsid w:val="155EC4C2"/>
    <w:multiLevelType w:val="hybridMultilevel"/>
    <w:lvl w:ilvl="0">
      <w:lvlJc w:val="left"/>
      <w:lvlText w:val="%1"/>
      <w:numFmt w:val="decimal"/>
      <w:start w:val="39"/>
    </w:lvl>
  </w:abstractNum>
  <w:abstractNum w:abstractNumId="86">
    <w:nsid w:val="65D2A137"/>
    <w:multiLevelType w:val="hybridMultilevel"/>
    <w:lvl w:ilvl="0">
      <w:lvlJc w:val="left"/>
      <w:lvlText w:val="%1"/>
      <w:numFmt w:val="decimal"/>
      <w:start w:val="40"/>
    </w:lvl>
  </w:abstractNum>
  <w:abstractNum w:abstractNumId="87">
    <w:nsid w:val="6EBB1F2A"/>
    <w:multiLevelType w:val="hybridMultilevel"/>
    <w:lvl w:ilvl="0">
      <w:lvlJc w:val="left"/>
      <w:lvlText w:val="%1"/>
      <w:numFmt w:val="decimal"/>
      <w:start w:val="41"/>
    </w:lvl>
  </w:abstractNum>
  <w:abstractNum w:abstractNumId="88">
    <w:nsid w:val="6FBF29CB"/>
    <w:multiLevelType w:val="hybridMultilevel"/>
    <w:lvl w:ilvl="0">
      <w:lvlJc w:val="left"/>
      <w:lvlText w:val="%1"/>
      <w:numFmt w:val="decimal"/>
      <w:start w:val="42"/>
    </w:lvl>
  </w:abstractNum>
  <w:abstractNum w:abstractNumId="89">
    <w:nsid w:val="550B8808"/>
    <w:multiLevelType w:val="hybridMultilevel"/>
    <w:lvl w:ilvl="0">
      <w:lvlJc w:val="left"/>
      <w:lvlText w:val="%1"/>
      <w:numFmt w:val="decimal"/>
      <w:start w:val="44"/>
    </w:lvl>
  </w:abstractNum>
  <w:abstractNum w:abstractNumId="90">
    <w:nsid w:val="34CC3ACF"/>
    <w:multiLevelType w:val="hybridMultilevel"/>
    <w:lvl w:ilvl="0">
      <w:lvlJc w:val="left"/>
      <w:lvlText w:val="%1"/>
      <w:numFmt w:val="decimal"/>
      <w:start w:val="45"/>
    </w:lvl>
  </w:abstractNum>
  <w:abstractNum w:abstractNumId="91">
    <w:nsid w:val="4E556261"/>
    <w:multiLevelType w:val="hybridMultilevel"/>
    <w:lvl w:ilvl="0">
      <w:lvlJc w:val="left"/>
      <w:lvlText w:val="%1"/>
      <w:numFmt w:val="decimal"/>
      <w:start w:val="46"/>
    </w:lvl>
  </w:abstractNum>
  <w:abstractNum w:abstractNumId="92">
    <w:nsid w:val="4C672FC9"/>
    <w:multiLevelType w:val="hybridMultilevel"/>
    <w:lvl w:ilvl="0">
      <w:lvlJc w:val="left"/>
      <w:lvlText w:val="•"/>
      <w:numFmt w:val="bullet"/>
      <w:start w:val="1"/>
    </w:lvl>
  </w:abstractNum>
  <w:abstractNum w:abstractNumId="93">
    <w:nsid w:val="52A311C3"/>
    <w:multiLevelType w:val="hybridMultilevel"/>
    <w:lvl w:ilvl="0">
      <w:lvlJc w:val="left"/>
      <w:lvlText w:val="•"/>
      <w:numFmt w:val="bullet"/>
      <w:start w:val="1"/>
    </w:lvl>
  </w:abstractNum>
  <w:abstractNum w:abstractNumId="94">
    <w:nsid w:val="44EF6B80"/>
    <w:multiLevelType w:val="hybridMultilevel"/>
    <w:lvl w:ilvl="0">
      <w:lvlJc w:val="left"/>
      <w:lvlText w:val="(%1)"/>
      <w:numFmt w:val="decimal"/>
      <w:start w:val="1"/>
    </w:lvl>
  </w:abstractNum>
  <w:abstractNum w:abstractNumId="95">
    <w:nsid w:val="12FCDE5E"/>
    <w:multiLevelType w:val="hybridMultilevel"/>
    <w:lvl w:ilvl="0">
      <w:lvlJc w:val="left"/>
      <w:lvlText w:val="•"/>
      <w:numFmt w:val="bullet"/>
      <w:start w:val="1"/>
    </w:lvl>
  </w:abstractNum>
  <w:abstractNum w:abstractNumId="96">
    <w:nsid w:val="4A1D606E"/>
    <w:multiLevelType w:val="hybridMultilevel"/>
    <w:lvl w:ilvl="0">
      <w:lvlJc w:val="left"/>
      <w:lvlText w:val="•"/>
      <w:numFmt w:val="bullet"/>
      <w:start w:val="1"/>
    </w:lvl>
  </w:abstractNum>
  <w:abstractNum w:abstractNumId="97">
    <w:nsid w:val="4382503"/>
    <w:multiLevelType w:val="hybridMultilevel"/>
    <w:lvl w:ilvl="0">
      <w:lvlJc w:val="left"/>
      <w:lvlText w:val="•"/>
      <w:numFmt w:val="bullet"/>
      <w:start w:val="1"/>
    </w:lvl>
  </w:abstractNum>
  <w:abstractNum w:abstractNumId="98">
    <w:nsid w:val="59B76E28"/>
    <w:multiLevelType w:val="hybridMultilevel"/>
    <w:lvl w:ilvl="0">
      <w:lvlJc w:val="left"/>
      <w:lvlText w:val="•"/>
      <w:numFmt w:val="bullet"/>
      <w:start w:val="1"/>
    </w:lvl>
  </w:abstractNum>
  <w:abstractNum w:abstractNumId="99">
    <w:nsid w:val="4252C2DA"/>
    <w:multiLevelType w:val="hybridMultilevel"/>
    <w:lvl w:ilvl="0">
      <w:lvlJc w:val="left"/>
      <w:lvlText w:val="•"/>
      <w:numFmt w:val="bullet"/>
      <w:start w:val="1"/>
    </w:lvl>
  </w:abstractNum>
  <w:abstractNum w:abstractNumId="100">
    <w:nsid w:val="6A92EF4C"/>
    <w:multiLevelType w:val="hybridMultilevel"/>
    <w:lvl w:ilvl="0">
      <w:lvlJc w:val="left"/>
      <w:lvlText w:val="•"/>
      <w:numFmt w:val="bullet"/>
      <w:start w:val="1"/>
    </w:lvl>
  </w:abstractNum>
  <w:abstractNum w:abstractNumId="101">
    <w:nsid w:val="41ED20D7"/>
    <w:multiLevelType w:val="hybridMultilevel"/>
    <w:lvl w:ilvl="0">
      <w:lvlJc w:val="left"/>
      <w:lvlText w:val="(%1)"/>
      <w:numFmt w:val="decimal"/>
      <w:start w:val="1"/>
    </w:lvl>
  </w:abstractNum>
  <w:abstractNum w:abstractNumId="102">
    <w:nsid w:val="E6B3F6A"/>
    <w:multiLevelType w:val="hybridMultilevel"/>
    <w:lvl w:ilvl="0">
      <w:lvlJc w:val="left"/>
      <w:lvlText w:val="•"/>
      <w:numFmt w:val="bullet"/>
      <w:start w:val="1"/>
    </w:lvl>
  </w:abstractNum>
  <w:abstractNum w:abstractNumId="103">
    <w:nsid w:val="3EB21819"/>
    <w:multiLevelType w:val="hybridMultilevel"/>
    <w:lvl w:ilvl="0">
      <w:lvlJc w:val="left"/>
      <w:lvlText w:val="•"/>
      <w:numFmt w:val="bullet"/>
      <w:start w:val="1"/>
    </w:lvl>
  </w:abstractNum>
  <w:abstractNum w:abstractNumId="104">
    <w:nsid w:val="41531DED"/>
    <w:multiLevelType w:val="hybridMultilevel"/>
    <w:lvl w:ilvl="0">
      <w:lvlJc w:val="left"/>
      <w:lvlText w:val="•"/>
      <w:numFmt w:val="bullet"/>
      <w:start w:val="1"/>
    </w:lvl>
  </w:abstractNum>
  <w:abstractNum w:abstractNumId="105">
    <w:nsid w:val="6353CD2"/>
    <w:multiLevelType w:val="hybridMultilevel"/>
    <w:lvl w:ilvl="0">
      <w:lvlJc w:val="left"/>
      <w:lvlText w:val="(%1)"/>
      <w:numFmt w:val="decimal"/>
      <w:start w:val="1"/>
    </w:lvl>
  </w:abstractNum>
  <w:abstractNum w:abstractNumId="106">
    <w:nsid w:val="683CAAD3"/>
    <w:multiLevelType w:val="hybridMultilevel"/>
    <w:lvl w:ilvl="0">
      <w:lvlJc w:val="left"/>
      <w:lvlText w:val="(%1)"/>
      <w:numFmt w:val="decimal"/>
      <w:start w:val="1"/>
    </w:lvl>
  </w:abstractNum>
  <w:abstractNum w:abstractNumId="107">
    <w:nsid w:val="313C7C99"/>
    <w:multiLevelType w:val="hybridMultilevel"/>
    <w:lvl w:ilvl="0">
      <w:lvlJc w:val="left"/>
      <w:lvlText w:val="(%1)"/>
      <w:numFmt w:val="decimal"/>
      <w:start w:val="3"/>
    </w:lvl>
  </w:abstractNum>
  <w:abstractNum w:abstractNumId="108">
    <w:nsid w:val="519EB94C"/>
    <w:multiLevelType w:val="hybridMultilevel"/>
    <w:lvl w:ilvl="0">
      <w:lvlJc w:val="left"/>
      <w:lvlText w:val="•"/>
      <w:numFmt w:val="bullet"/>
      <w:start w:val="1"/>
    </w:lvl>
  </w:abstractNum>
  <w:abstractNum w:abstractNumId="109">
    <w:nsid w:val="39DF2579"/>
    <w:multiLevelType w:val="hybridMultilevel"/>
    <w:lvl w:ilvl="0">
      <w:lvlJc w:val="left"/>
      <w:lvlText w:val="•"/>
      <w:numFmt w:val="bullet"/>
      <w:start w:val="1"/>
    </w:lvl>
  </w:abstractNum>
  <w:abstractNum w:abstractNumId="110">
    <w:nsid w:val="126E008B"/>
    <w:multiLevelType w:val="hybridMultilevel"/>
    <w:lvl w:ilvl="0">
      <w:lvlJc w:val="left"/>
      <w:lvlText w:val="•"/>
      <w:numFmt w:val="bullet"/>
      <w:start w:val="1"/>
    </w:lvl>
  </w:abstractNum>
  <w:abstractNum w:abstractNumId="111">
    <w:nsid w:val="34DFBC00"/>
    <w:multiLevelType w:val="hybridMultilevel"/>
    <w:lvl w:ilvl="0">
      <w:lvlJc w:val="left"/>
      <w:lvlText w:val="•"/>
      <w:numFmt w:val="bullet"/>
      <w:start w:val="1"/>
    </w:lvl>
  </w:abstractNum>
  <w:abstractNum w:abstractNumId="112">
    <w:nsid w:val="1F9EC322"/>
    <w:multiLevelType w:val="hybridMultilevel"/>
    <w:lvl w:ilvl="0">
      <w:lvlJc w:val="left"/>
      <w:lvlText w:val="*"/>
      <w:numFmt w:val="bullet"/>
      <w:start w:val="1"/>
    </w:lvl>
  </w:abstractNum>
  <w:abstractNum w:abstractNumId="113">
    <w:nsid w:val="3410ED56"/>
    <w:multiLevelType w:val="hybridMultilevel"/>
    <w:lvl w:ilvl="0">
      <w:lvlJc w:val="left"/>
      <w:lvlText w:val="(%1)"/>
      <w:numFmt w:val="decimal"/>
      <w:start w:val="1"/>
    </w:lvl>
  </w:abstractNum>
  <w:abstractNum w:abstractNumId="114">
    <w:nsid w:val="23C049A"/>
    <w:multiLevelType w:val="hybridMultilevel"/>
    <w:lvl w:ilvl="0">
      <w:lvlJc w:val="left"/>
      <w:lvlText w:val="(%1)"/>
      <w:numFmt w:val="decimal"/>
      <w:start w:val="11"/>
    </w:lvl>
  </w:abstractNum>
  <w:abstractNum w:abstractNumId="115">
    <w:nsid w:val="5BDA35D4"/>
    <w:multiLevelType w:val="hybridMultilevel"/>
    <w:lvl w:ilvl="0">
      <w:lvlJc w:val="left"/>
      <w:lvlText w:val="(%1)"/>
      <w:numFmt w:val="decimal"/>
      <w:start w:val="18"/>
    </w:lvl>
  </w:abstractNum>
  <w:abstractNum w:abstractNumId="116">
    <w:nsid w:val="496FB218"/>
    <w:multiLevelType w:val="hybridMultilevel"/>
    <w:lvl w:ilvl="0">
      <w:lvlJc w:val="left"/>
      <w:lvlText w:val="(%1)"/>
      <w:numFmt w:val="decimal"/>
      <w:start w:val="30"/>
    </w:lvl>
  </w:abstractNum>
  <w:abstractNum w:abstractNumId="117">
    <w:nsid w:val="680EA5D1"/>
    <w:multiLevelType w:val="hybridMultilevel"/>
    <w:lvl w:ilvl="0">
      <w:lvlJc w:val="left"/>
      <w:lvlText w:val="•"/>
      <w:numFmt w:val="bullet"/>
      <w:start w:val="1"/>
    </w:lvl>
  </w:abstractNum>
  <w:abstractNum w:abstractNumId="118">
    <w:nsid w:val="4A9554FE"/>
    <w:multiLevelType w:val="hybridMultilevel"/>
    <w:lvl w:ilvl="0">
      <w:lvlJc w:val="left"/>
      <w:lvlText w:val="(%1)"/>
      <w:numFmt w:val="lowerRoman"/>
      <w:start w:val="2"/>
    </w:lvl>
  </w:abstractNum>
  <w:abstractNum w:abstractNumId="119">
    <w:nsid w:val="392EDBE4"/>
    <w:multiLevelType w:val="hybridMultilevel"/>
    <w:lvl w:ilvl="0">
      <w:lvlJc w:val="left"/>
      <w:lvlText w:val="•"/>
      <w:numFmt w:val="bullet"/>
      <w:start w:val="1"/>
    </w:lvl>
  </w:abstractNum>
  <w:abstractNum w:abstractNumId="120">
    <w:nsid w:val="3D1A2DD9"/>
    <w:multiLevelType w:val="hybridMultilevel"/>
    <w:lvl w:ilvl="0">
      <w:lvlJc w:val="left"/>
      <w:lvlText w:val="•"/>
      <w:numFmt w:val="bullet"/>
      <w:start w:val="1"/>
    </w:lvl>
  </w:abstractNum>
  <w:abstractNum w:abstractNumId="121">
    <w:nsid w:val="7F618FCD"/>
    <w:multiLevelType w:val="hybridMultilevel"/>
    <w:lvl w:ilvl="0">
      <w:lvlJc w:val="left"/>
      <w:lvlText w:val="•"/>
      <w:numFmt w:val="bullet"/>
      <w:start w:val="1"/>
    </w:lvl>
  </w:abstractNum>
  <w:abstractNum w:abstractNumId="122">
    <w:nsid w:val="7843E45"/>
    <w:multiLevelType w:val="hybridMultilevel"/>
    <w:lvl w:ilvl="0">
      <w:lvlJc w:val="left"/>
      <w:lvlText w:val="•"/>
      <w:numFmt w:val="bullet"/>
      <w:start w:val="1"/>
    </w:lvl>
  </w:abstractNum>
  <w:abstractNum w:abstractNumId="123">
    <w:nsid w:val="9815DA3"/>
    <w:multiLevelType w:val="hybridMultilevel"/>
    <w:lvl w:ilvl="0">
      <w:lvlJc w:val="left"/>
      <w:lvlText w:val="•"/>
      <w:numFmt w:val="bullet"/>
      <w:start w:val="1"/>
    </w:lvl>
  </w:abstractNum>
  <w:abstractNum w:abstractNumId="124">
    <w:nsid w:val="5204A191"/>
    <w:multiLevelType w:val="hybridMultilevel"/>
    <w:lvl w:ilvl="0">
      <w:lvlJc w:val="left"/>
      <w:lvlText w:val="•"/>
      <w:numFmt w:val="bullet"/>
      <w:start w:val="1"/>
    </w:lvl>
  </w:abstractNum>
  <w:abstractNum w:abstractNumId="125">
    <w:nsid w:val="4C73A9C6"/>
    <w:multiLevelType w:val="hybridMultilevel"/>
    <w:lvl w:ilvl="0">
      <w:lvlJc w:val="left"/>
      <w:lvlText w:val="(%1)"/>
      <w:numFmt w:val="lowerRoman"/>
      <w:start w:val="2"/>
    </w:lvl>
  </w:abstractNum>
  <w:abstractNum w:abstractNumId="126">
    <w:nsid w:val="1C7E3C01"/>
    <w:multiLevelType w:val="hybridMultilevel"/>
    <w:lvl w:ilvl="0">
      <w:lvlJc w:val="left"/>
      <w:lvlText w:val="•"/>
      <w:numFmt w:val="bullet"/>
      <w:start w:val="1"/>
    </w:lvl>
  </w:abstractNum>
  <w:abstractNum w:abstractNumId="127">
    <w:nsid w:val="1C2201FF"/>
    <w:multiLevelType w:val="hybridMultilevel"/>
    <w:lvl w:ilvl="0">
      <w:lvlJc w:val="left"/>
      <w:lvlText w:val="•"/>
      <w:numFmt w:val="bullet"/>
      <w:start w:val="1"/>
    </w:lvl>
  </w:abstractNum>
  <w:abstractNum w:abstractNumId="128">
    <w:nsid w:val="50ABCEC9"/>
    <w:multiLevelType w:val="hybridMultilevel"/>
    <w:lvl w:ilvl="0">
      <w:lvlJc w:val="left"/>
      <w:lvlText w:val="(%1)"/>
      <w:numFmt w:val="upperLetter"/>
      <w:start w:val="1"/>
    </w:lvl>
  </w:abstractNum>
  <w:abstractNum w:abstractNumId="129">
    <w:nsid w:val="7635AA2A"/>
    <w:multiLevelType w:val="hybridMultilevel"/>
    <w:lvl w:ilvl="0">
      <w:lvlJc w:val="left"/>
      <w:lvlText w:val="(%1)"/>
      <w:numFmt w:val="lowerRoman"/>
      <w:start w:val="1"/>
    </w:lvl>
  </w:abstractNum>
  <w:abstractNum w:abstractNumId="130">
    <w:nsid w:val="5E74C4D9"/>
    <w:multiLevelType w:val="hybridMultilevel"/>
    <w:lvl w:ilvl="0">
      <w:lvlJc w:val="left"/>
      <w:lvlText w:val="(%1)"/>
      <w:numFmt w:val="lowerRoman"/>
      <w:start w:val="12"/>
    </w:lvl>
  </w:abstractNum>
  <w:abstractNum w:abstractNumId="131">
    <w:nsid w:val="3B3EBE15"/>
    <w:multiLevelType w:val="hybridMultilevel"/>
    <w:lvl w:ilvl="0">
      <w:lvlJc w:val="left"/>
      <w:lvlText w:val="•"/>
      <w:numFmt w:val="bullet"/>
      <w:start w:val="1"/>
    </w:lvl>
  </w:abstractNum>
  <w:abstractNum w:abstractNumId="132">
    <w:nsid w:val="3822CB01"/>
    <w:multiLevelType w:val="hybridMultilevel"/>
    <w:lvl w:ilvl="0">
      <w:lvlJc w:val="left"/>
      <w:lvlText w:val="(%1)"/>
      <w:numFmt w:val="lowerLetter"/>
      <w:start w:val="1"/>
    </w:lvl>
  </w:abstractNum>
  <w:abstractNum w:abstractNumId="133">
    <w:nsid w:val="6CE00443"/>
    <w:multiLevelType w:val="hybridMultilevel"/>
    <w:lvl w:ilvl="0">
      <w:lvlJc w:val="left"/>
      <w:lvlText w:val="(%1)"/>
      <w:numFmt w:val="lowerLetter"/>
      <w:start w:val="1"/>
    </w:lvl>
  </w:abstractNum>
  <w:abstractNum w:abstractNumId="134">
    <w:nsid w:val="79F0D62F"/>
    <w:multiLevelType w:val="hybridMultilevel"/>
    <w:lvl w:ilvl="0">
      <w:lvlJc w:val="left"/>
      <w:lvlText w:val="%1."/>
      <w:numFmt w:val="decimal"/>
      <w:start w:val="1"/>
    </w:lvl>
  </w:abstractNum>
  <w:abstractNum w:abstractNumId="135">
    <w:nsid w:val="7975E8EE"/>
    <w:multiLevelType w:val="hybridMultilevel"/>
    <w:lvl w:ilvl="0">
      <w:lvlJc w:val="left"/>
      <w:lvlText w:val="%1."/>
      <w:numFmt w:val="decimal"/>
      <w:start w:val="2"/>
    </w:lvl>
  </w:abstractNum>
  <w:abstractNum w:abstractNumId="136">
    <w:nsid w:val="73154115"/>
    <w:multiLevelType w:val="hybridMultilevel"/>
    <w:lvl w:ilvl="0">
      <w:lvlJc w:val="left"/>
      <w:lvlText w:val="%1."/>
      <w:numFmt w:val="decimal"/>
      <w:start w:val="3"/>
    </w:lvl>
  </w:abstractNum>
  <w:abstractNum w:abstractNumId="137">
    <w:nsid w:val="622D8102"/>
    <w:multiLevelType w:val="hybridMultilevel"/>
    <w:lvl w:ilvl="0">
      <w:lvlJc w:val="left"/>
      <w:lvlText w:val="•"/>
      <w:numFmt w:val="bullet"/>
      <w:start w:val="1"/>
    </w:lvl>
  </w:abstractNum>
  <w:abstractNum w:abstractNumId="138">
    <w:nsid w:val="2AB26587"/>
    <w:multiLevelType w:val="hybridMultilevel"/>
    <w:lvl w:ilvl="0">
      <w:lvlJc w:val="left"/>
      <w:lvlText w:val="%1."/>
      <w:numFmt w:val="decimal"/>
      <w:start w:val="4"/>
    </w:lvl>
  </w:abstractNum>
  <w:abstractNum w:abstractNumId="139">
    <w:nsid w:val="44B3FA61"/>
    <w:multiLevelType w:val="hybridMultilevel"/>
    <w:lvl w:ilvl="0">
      <w:lvlJc w:val="left"/>
      <w:lvlText w:val="%1."/>
      <w:numFmt w:val="decimal"/>
      <w:start w:val="6"/>
    </w:lvl>
  </w:abstractNum>
  <w:abstractNum w:abstractNumId="140">
    <w:nsid w:val="1C0CA67C"/>
    <w:multiLevelType w:val="hybridMultilevel"/>
    <w:lvl w:ilvl="0">
      <w:lvlJc w:val="left"/>
      <w:lvlText w:val="%1."/>
      <w:numFmt w:val="decimal"/>
      <w:start w:val="7"/>
    </w:lvl>
  </w:abstractNum>
  <w:abstractNum w:abstractNumId="141">
    <w:nsid w:val="3D206613"/>
    <w:multiLevelType w:val="hybridMultilevel"/>
    <w:lvl w:ilvl="0">
      <w:lvlJc w:val="left"/>
      <w:lvlText w:val="%1."/>
      <w:numFmt w:val="decimal"/>
      <w:start w:val="8"/>
    </w:lvl>
  </w:abstractNum>
  <w:abstractNum w:abstractNumId="142">
    <w:nsid w:val="7993B662"/>
    <w:multiLevelType w:val="hybridMultilevel"/>
    <w:lvl w:ilvl="0">
      <w:lvlJc w:val="left"/>
      <w:lvlText w:val="%1."/>
      <w:numFmt w:val="decimal"/>
      <w:start w:val="9"/>
    </w:lvl>
  </w:abstractNum>
  <w:abstractNum w:abstractNumId="143">
    <w:nsid w:val="3BAB699E"/>
    <w:multiLevelType w:val="hybridMultilevel"/>
    <w:lvl w:ilvl="0">
      <w:lvlJc w:val="left"/>
      <w:lvlText w:val="(%1)"/>
      <w:numFmt w:val="decimal"/>
      <w:start w:val="1"/>
    </w:lvl>
  </w:abstractNum>
  <w:abstractNum w:abstractNumId="144">
    <w:nsid w:val="71315369"/>
    <w:multiLevelType w:val="hybridMultilevel"/>
    <w:lvl w:ilvl="0">
      <w:lvlJc w:val="left"/>
      <w:lvlText w:val="%1."/>
      <w:numFmt w:val="decimal"/>
      <w:start w:val="10"/>
    </w:lvl>
  </w:abstractNum>
  <w:abstractNum w:abstractNumId="145">
    <w:nsid w:val="7BCFBAFC"/>
    <w:multiLevelType w:val="hybridMultilevel"/>
    <w:lvl w:ilvl="0">
      <w:lvlJc w:val="left"/>
      <w:lvlText w:val="%1."/>
      <w:numFmt w:val="decimal"/>
      <w:start w:val="11"/>
    </w:lvl>
  </w:abstractNum>
  <w:abstractNum w:abstractNumId="146">
    <w:nsid w:val="17859F72"/>
    <w:multiLevelType w:val="hybridMultilevel"/>
    <w:lvl w:ilvl="0">
      <w:lvlJc w:val="left"/>
      <w:lvlText w:val="%1."/>
      <w:numFmt w:val="decimal"/>
      <w:start w:val="12"/>
    </w:lvl>
  </w:abstractNum>
  <w:abstractNum w:abstractNumId="147">
    <w:nsid w:val="3AA10581"/>
    <w:multiLevelType w:val="hybridMultilevel"/>
    <w:lvl w:ilvl="0">
      <w:lvlJc w:val="left"/>
      <w:lvlText w:val="•"/>
      <w:numFmt w:val="bullet"/>
      <w:start w:val="1"/>
    </w:lvl>
  </w:abstractNum>
  <w:abstractNum w:abstractNumId="148">
    <w:nsid w:val="63DE60CD"/>
    <w:multiLevelType w:val="hybridMultilevel"/>
    <w:lvl w:ilvl="0">
      <w:lvlJc w:val="left"/>
      <w:lvlText w:val="•"/>
      <w:numFmt w:val="bullet"/>
      <w:start w:val="1"/>
    </w:lvl>
  </w:abstractNum>
  <w:abstractNum w:abstractNumId="149">
    <w:nsid w:val="621AF471"/>
    <w:multiLevelType w:val="hybridMultilevel"/>
    <w:lvl w:ilvl="0">
      <w:lvlJc w:val="left"/>
      <w:lvlText w:val="%1."/>
      <w:numFmt w:val="decimal"/>
      <w:start w:val="13"/>
    </w:lvl>
  </w:abstractNum>
  <w:abstractNum w:abstractNumId="150">
    <w:nsid w:val="73CFE165"/>
    <w:multiLevelType w:val="hybridMultilevel"/>
    <w:lvl w:ilvl="0">
      <w:lvlJc w:val="left"/>
      <w:lvlText w:val="%1."/>
      <w:numFmt w:val="decimal"/>
      <w:start w:val="15"/>
    </w:lvl>
  </w:abstractNum>
  <w:abstractNum w:abstractNumId="151">
    <w:nsid w:val="20F88EA6"/>
    <w:multiLevelType w:val="hybridMultilevel"/>
    <w:lvl w:ilvl="0">
      <w:lvlJc w:val="left"/>
      <w:lvlText w:val="%1."/>
      <w:numFmt w:val="decimal"/>
      <w:start w:val="16"/>
    </w:lvl>
  </w:abstractNum>
  <w:abstractNum w:abstractNumId="152">
    <w:nsid w:val="617C843E"/>
    <w:multiLevelType w:val="hybridMultilevel"/>
    <w:lvl w:ilvl="0">
      <w:lvlJc w:val="left"/>
      <w:lvlText w:val="%1."/>
      <w:numFmt w:val="decimal"/>
      <w:start w:val="17"/>
    </w:lvl>
  </w:abstractNum>
  <w:abstractNum w:abstractNumId="153">
    <w:nsid w:val="7B541FAB"/>
    <w:multiLevelType w:val="hybridMultilevel"/>
    <w:lvl w:ilvl="0">
      <w:lvlJc w:val="left"/>
      <w:lvlText w:val="%1."/>
      <w:numFmt w:val="decimal"/>
      <w:start w:val="18"/>
    </w:lvl>
  </w:abstractNum>
  <w:abstractNum w:abstractNumId="154">
    <w:nsid w:val="2A79EC49"/>
    <w:multiLevelType w:val="hybridMultilevel"/>
    <w:lvl w:ilvl="0">
      <w:lvlJc w:val="left"/>
      <w:lvlText w:val="%1."/>
      <w:numFmt w:val="decimal"/>
      <w:start w:val="1"/>
    </w:lvl>
  </w:abstractNum>
  <w:abstractNum w:abstractNumId="155">
    <w:nsid w:val="338125CF"/>
    <w:multiLevelType w:val="hybridMultilevel"/>
    <w:lvl w:ilvl="0">
      <w:lvlJc w:val="left"/>
      <w:lvlText w:val="%1."/>
      <w:numFmt w:val="decimal"/>
      <w:start w:val="2"/>
    </w:lvl>
  </w:abstractNum>
  <w:abstractNum w:abstractNumId="156">
    <w:nsid w:val="47C7C971"/>
    <w:multiLevelType w:val="hybridMultilevel"/>
    <w:lvl w:ilvl="0">
      <w:lvlJc w:val="left"/>
      <w:lvlText w:val="%1."/>
      <w:numFmt w:val="decimal"/>
      <w:start w:val="3"/>
    </w:lvl>
  </w:abstractNum>
  <w:abstractNum w:abstractNumId="157">
    <w:nsid w:val="46F8284B"/>
    <w:multiLevelType w:val="hybridMultilevel"/>
    <w:lvl w:ilvl="0">
      <w:lvlJc w:val="left"/>
      <w:lvlText w:val="•"/>
      <w:numFmt w:val="bullet"/>
      <w:start w:val="1"/>
    </w:lvl>
  </w:abstractNum>
  <w:abstractNum w:abstractNumId="158">
    <w:nsid w:val="4FA327CE"/>
    <w:multiLevelType w:val="hybridMultilevel"/>
    <w:lvl w:ilvl="0">
      <w:lvlJc w:val="left"/>
      <w:lvlText w:val="%1."/>
      <w:numFmt w:val="decimal"/>
      <w:start w:val="4"/>
    </w:lvl>
  </w:abstractNum>
  <w:abstractNum w:abstractNumId="159">
    <w:nsid w:val="1873983A"/>
    <w:multiLevelType w:val="hybridMultilevel"/>
    <w:lvl w:ilvl="0">
      <w:lvlJc w:val="left"/>
      <w:lvlText w:val="%1."/>
      <w:numFmt w:val="decimal"/>
      <w:start w:val="6"/>
    </w:lvl>
  </w:abstractNum>
  <w:abstractNum w:abstractNumId="160">
    <w:nsid w:val="3D2DD275"/>
    <w:multiLevelType w:val="hybridMultilevel"/>
    <w:lvl w:ilvl="0">
      <w:lvlJc w:val="left"/>
      <w:lvlText w:val="%1."/>
      <w:numFmt w:val="decimal"/>
      <w:start w:val="8"/>
    </w:lvl>
  </w:abstractNum>
  <w:abstractNum w:abstractNumId="161">
    <w:nsid w:val="2E17ECA7"/>
    <w:multiLevelType w:val="hybridMultilevel"/>
    <w:lvl w:ilvl="0">
      <w:lvlJc w:val="left"/>
      <w:lvlText w:val="%1."/>
      <w:numFmt w:val="decimal"/>
      <w:start w:val="9"/>
    </w:lvl>
  </w:abstractNum>
  <w:abstractNum w:abstractNumId="162">
    <w:nsid w:val="53B2564F"/>
    <w:multiLevelType w:val="hybridMultilevel"/>
    <w:lvl w:ilvl="0">
      <w:lvlJc w:val="left"/>
      <w:lvlText w:val="(%1)"/>
      <w:numFmt w:val="decimal"/>
      <w:start w:val="1"/>
    </w:lvl>
  </w:abstractNum>
  <w:abstractNum w:abstractNumId="163">
    <w:nsid w:val="75509D76"/>
    <w:multiLevelType w:val="hybridMultilevel"/>
    <w:lvl w:ilvl="0">
      <w:lvlJc w:val="left"/>
      <w:lvlText w:val="%1."/>
      <w:numFmt w:val="decimal"/>
      <w:start w:val="10"/>
    </w:lvl>
  </w:abstractNum>
  <w:abstractNum w:abstractNumId="164">
    <w:nsid w:val="1AF7F0EA"/>
    <w:multiLevelType w:val="hybridMultilevel"/>
    <w:lvl w:ilvl="0">
      <w:lvlJc w:val="left"/>
      <w:lvlText w:val="%1."/>
      <w:numFmt w:val="decimal"/>
      <w:start w:val="11"/>
    </w:lvl>
  </w:abstractNum>
  <w:abstractNum w:abstractNumId="165">
    <w:nsid w:val="4DA32C7E"/>
    <w:multiLevelType w:val="hybridMultilevel"/>
    <w:lvl w:ilvl="0">
      <w:lvlJc w:val="left"/>
      <w:lvlText w:val="%1."/>
      <w:numFmt w:val="decimal"/>
      <w:start w:val="12"/>
    </w:lvl>
  </w:abstractNum>
  <w:abstractNum w:abstractNumId="166">
    <w:nsid w:val="6EC68664"/>
    <w:multiLevelType w:val="hybridMultilevel"/>
    <w:lvl w:ilvl="0">
      <w:lvlJc w:val="left"/>
      <w:lvlText w:val="%1."/>
      <w:numFmt w:val="decimal"/>
      <w:start w:val="13"/>
    </w:lvl>
  </w:abstractNum>
  <w:abstractNum w:abstractNumId="167">
    <w:nsid w:val="E0D31FF"/>
    <w:multiLevelType w:val="hybridMultilevel"/>
    <w:lvl w:ilvl="0">
      <w:lvlJc w:val="left"/>
      <w:lvlText w:val="%1."/>
      <w:numFmt w:val="decimal"/>
      <w:start w:val="15"/>
    </w:lvl>
  </w:abstractNum>
  <w:abstractNum w:abstractNumId="168">
    <w:nsid w:val="2FD0AD81"/>
    <w:multiLevelType w:val="hybridMultilevel"/>
    <w:lvl w:ilvl="0">
      <w:lvlJc w:val="left"/>
      <w:lvlText w:val="•"/>
      <w:numFmt w:val="bullet"/>
      <w:start w:val="1"/>
    </w:lvl>
  </w:abstractNum>
  <w:abstractNum w:abstractNumId="169">
    <w:nsid w:val="1978EBEB"/>
    <w:multiLevelType w:val="hybridMultilevel"/>
    <w:lvl w:ilvl="0">
      <w:lvlJc w:val="left"/>
      <w:lvlText w:val="•"/>
      <w:numFmt w:val="bullet"/>
      <w:start w:val="1"/>
    </w:lvl>
  </w:abstractNum>
  <w:abstractNum w:abstractNumId="170">
    <w:nsid w:val="52C12C61"/>
    <w:multiLevelType w:val="hybridMultilevel"/>
    <w:lvl w:ilvl="0">
      <w:lvlJc w:val="left"/>
      <w:lvlText w:val="•"/>
      <w:numFmt w:val="bullet"/>
      <w:start w:val="1"/>
    </w:lvl>
  </w:abstractNum>
  <w:abstractNum w:abstractNumId="171">
    <w:nsid w:val="4BDD53FD"/>
    <w:multiLevelType w:val="hybridMultilevel"/>
    <w:lvl w:ilvl="0">
      <w:lvlJc w:val="left"/>
      <w:lvlText w:val="•"/>
      <w:numFmt w:val="bullet"/>
      <w:start w:val="1"/>
    </w:lvl>
  </w:abstractNum>
  <w:abstractNum w:abstractNumId="172">
    <w:nsid w:val="569951FE"/>
    <w:multiLevelType w:val="hybridMultilevel"/>
    <w:lvl w:ilvl="0">
      <w:lvlJc w:val="left"/>
      <w:lvlText w:val="%1"/>
      <w:numFmt w:val="decimal"/>
      <w:start w:val="107"/>
    </w:lvl>
  </w:abstractNum>
  <w:abstractNum w:abstractNumId="173">
    <w:nsid w:val="4C54E2C3"/>
    <w:multiLevelType w:val="hybridMultilevel"/>
    <w:lvl w:ilvl="0">
      <w:lvlJc w:val="left"/>
      <w:lvlText w:val="*"/>
      <w:numFmt w:val="bullet"/>
      <w:start w:val="1"/>
    </w:lvl>
  </w:abstractNum>
  <w:abstractNum w:abstractNumId="174">
    <w:nsid w:val="788BD9B"/>
    <w:multiLevelType w:val="hybridMultilevel"/>
    <w:lvl w:ilvl="0">
      <w:lvlJc w:val="left"/>
      <w:lvlText w:val="+"/>
      <w:numFmt w:val="bullet"/>
      <w:start w:val="1"/>
    </w:lvl>
  </w:abstractNum>
  <w:abstractNum w:abstractNumId="175">
    <w:nsid w:val="47CAA567"/>
    <w:multiLevelType w:val="hybridMultilevel"/>
    <w:lvl w:ilvl="0">
      <w:lvlJc w:val="left"/>
      <w:lvlText w:val="†"/>
      <w:numFmt w:val="bullet"/>
      <w:start w:val="1"/>
    </w:lvl>
  </w:abstractNum>
  <w:abstractNum w:abstractNumId="176">
    <w:nsid w:val="48249DBF"/>
    <w:multiLevelType w:val="hybridMultilevel"/>
    <w:lvl w:ilvl="0">
      <w:lvlJc w:val="left"/>
      <w:lvlText w:val="(%1)"/>
      <w:numFmt w:val="lowerLetter"/>
      <w:start w:val="1"/>
    </w:lvl>
  </w:abstractNum>
  <w:abstractNum w:abstractNumId="177">
    <w:nsid w:val="1F0E5D0D"/>
    <w:multiLevelType w:val="hybridMultilevel"/>
    <w:lvl w:ilvl="0">
      <w:lvlJc w:val="left"/>
      <w:lvlText w:val="(%1)"/>
      <w:numFmt w:val="lowerLetter"/>
      <w:start w:val="1"/>
    </w:lvl>
  </w:abstractNum>
  <w:abstractNum w:abstractNumId="178">
    <w:nsid w:val="26BAAE9"/>
    <w:multiLevelType w:val="hybridMultilevel"/>
    <w:lvl w:ilvl="0">
      <w:lvlJc w:val="left"/>
      <w:lvlText w:val="(%1)"/>
      <w:numFmt w:val="lowerLetter"/>
      <w:start w:val="1"/>
    </w:lvl>
  </w:abstractNum>
  <w:abstractNum w:abstractNumId="179">
    <w:nsid w:val="2C02FE8C"/>
    <w:multiLevelType w:val="hybridMultilevel"/>
    <w:lvl w:ilvl="0">
      <w:lvlJc w:val="left"/>
      <w:lvlText w:val="%1."/>
      <w:numFmt w:val="decimal"/>
      <w:start w:val="1"/>
    </w:lvl>
  </w:abstractNum>
  <w:abstractNum w:abstractNumId="180">
    <w:nsid w:val="129517E"/>
    <w:multiLevelType w:val="hybridMultilevel"/>
    <w:lvl w:ilvl="0">
      <w:lvlJc w:val="left"/>
      <w:lvlText w:val="(%1)"/>
      <w:numFmt w:val="lowerRoman"/>
      <w:start w:val="1"/>
    </w:lvl>
  </w:abstractNum>
  <w:abstractNum w:abstractNumId="181">
    <w:nsid w:val="763B8C4E"/>
    <w:multiLevelType w:val="hybridMultilevel"/>
    <w:lvl w:ilvl="0">
      <w:lvlJc w:val="left"/>
      <w:lvlText w:val="(%1)"/>
      <w:numFmt w:val="lowerRoman"/>
      <w:start w:val="4"/>
    </w:lvl>
  </w:abstractNum>
  <w:abstractNum w:abstractNumId="182">
    <w:nsid w:val="4CFB8D32"/>
    <w:multiLevelType w:val="hybridMultilevel"/>
    <w:lvl w:ilvl="0">
      <w:lvlJc w:val="left"/>
      <w:lvlText w:val="(%1)"/>
      <w:numFmt w:val="lowerRoman"/>
      <w:start w:val="7"/>
    </w:lvl>
  </w:abstractNum>
  <w:abstractNum w:abstractNumId="183">
    <w:nsid w:val="62A5D5BD"/>
    <w:multiLevelType w:val="hybridMultilevel"/>
    <w:lvl w:ilvl="0">
      <w:lvlJc w:val="left"/>
      <w:lvlText w:val="(%1)"/>
      <w:numFmt w:val="lowerRoman"/>
      <w:start w:val="10"/>
    </w:lvl>
  </w:abstractNum>
  <w:abstractNum w:abstractNumId="184">
    <w:nsid w:val="718FABF9"/>
    <w:multiLevelType w:val="hybridMultilevel"/>
    <w:lvl w:ilvl="0">
      <w:lvlJc w:val="left"/>
      <w:lvlText w:val="(%1)"/>
      <w:numFmt w:val="lowerRoman"/>
      <w:start w:val="14"/>
    </w:lvl>
  </w:abstractNum>
  <w:abstractNum w:abstractNumId="185">
    <w:nsid w:val="7775797C"/>
    <w:multiLevelType w:val="hybridMultilevel"/>
    <w:lvl w:ilvl="0">
      <w:lvlJc w:val="left"/>
      <w:lvlText w:val="(%1)"/>
      <w:numFmt w:val="lowerRoman"/>
      <w:start w:val="19"/>
    </w:lvl>
  </w:abstractNum>
  <w:abstractNum w:abstractNumId="186">
    <w:nsid w:val="1626FB8C"/>
    <w:multiLevelType w:val="hybridMultilevel"/>
    <w:lvl w:ilvl="0">
      <w:lvlJc w:val="left"/>
      <w:lvlText w:val="(%1)"/>
      <w:numFmt w:val="lowerRoman"/>
      <w:start w:val="24"/>
    </w:lvl>
  </w:abstractNum>
  <w:abstractNum w:abstractNumId="187">
    <w:nsid w:val="3957756A"/>
    <w:multiLevelType w:val="hybridMultilevel"/>
    <w:lvl w:ilvl="0">
      <w:lvlJc w:val="left"/>
      <w:lvlText w:val="(%1)"/>
      <w:numFmt w:val="lowerRoman"/>
      <w:start w:val="27"/>
    </w:lvl>
  </w:abstractNum>
  <w:abstractNum w:abstractNumId="188">
    <w:nsid w:val="3E6DA1C7"/>
    <w:multiLevelType w:val="hybridMultilevel"/>
    <w:lvl w:ilvl="0">
      <w:lvlJc w:val="left"/>
      <w:lvlText w:val="(%1)"/>
      <w:numFmt w:val="lowerRoman"/>
      <w:start w:val="31"/>
    </w:lvl>
  </w:abstractNum>
  <w:abstractNum w:abstractNumId="189">
    <w:nsid w:val="65CA235B"/>
    <w:multiLevelType w:val="hybridMultilevel"/>
    <w:lvl w:ilvl="0">
      <w:lvlJc w:val="left"/>
      <w:lvlText w:val="(%1)"/>
      <w:numFmt w:val="lowerRoman"/>
      <w:start w:val="33"/>
    </w:lvl>
  </w:abstractNum>
  <w:abstractNum w:abstractNumId="190">
    <w:nsid w:val="51CB0DA4"/>
    <w:multiLevelType w:val="hybridMultilevel"/>
    <w:lvl w:ilvl="0">
      <w:lvlJc w:val="left"/>
      <w:lvlText w:val="(%1)"/>
      <w:numFmt w:val="lowerRoman"/>
      <w:start w:val="37"/>
    </w:lvl>
    <w:lvl w:ilvl="1">
      <w:lvlJc w:val="left"/>
      <w:lvlText w:val="(%2)"/>
      <w:numFmt w:val="lowerRoman"/>
      <w:start w:val="39"/>
    </w:lvl>
  </w:abstractNum>
  <w:abstractNum w:abstractNumId="191">
    <w:nsid w:val="7B9B743C"/>
    <w:multiLevelType w:val="hybridMultilevel"/>
    <w:lvl w:ilvl="0">
      <w:lvlJc w:val="left"/>
      <w:lvlText w:val="(%1)"/>
      <w:numFmt w:val="lowerRoman"/>
      <w:start w:val="3"/>
    </w:lvl>
  </w:abstractNum>
  <w:abstractNum w:abstractNumId="192">
    <w:nsid w:val="13E21002"/>
    <w:multiLevelType w:val="hybridMultilevel"/>
    <w:lvl w:ilvl="0">
      <w:lvlJc w:val="left"/>
      <w:lvlText w:val="(%1)"/>
      <w:numFmt w:val="lowerLetter"/>
      <w:start w:val="12"/>
    </w:lvl>
  </w:abstractNum>
  <w:abstractNum w:abstractNumId="193">
    <w:nsid w:val="257D63F4"/>
    <w:multiLevelType w:val="hybridMultilevel"/>
    <w:lvl w:ilvl="0">
      <w:lvlJc w:val="left"/>
      <w:lvlText w:val="(%1)"/>
      <w:numFmt w:val="lowerLetter"/>
      <w:start w:val="2"/>
    </w:lvl>
    <w:lvl w:ilvl="1">
      <w:lvlJc w:val="left"/>
      <w:lvlText w:val="(%2)"/>
      <w:numFmt w:val="lowerLetter"/>
      <w:start w:val="9"/>
    </w:lvl>
  </w:abstractNum>
  <w:abstractNum w:abstractNumId="194">
    <w:nsid w:val="70EC11B2"/>
    <w:multiLevelType w:val="hybridMultilevel"/>
    <w:lvl w:ilvl="0">
      <w:lvlJc w:val="left"/>
      <w:lvlText w:val="(%1)"/>
      <w:numFmt w:val="lowerRoman"/>
      <w:start w:val="2"/>
    </w:lvl>
  </w:abstractNum>
  <w:abstractNum w:abstractNumId="195">
    <w:nsid w:val="2EDA00ED"/>
    <w:multiLevelType w:val="hybridMultilevel"/>
    <w:lvl w:ilvl="0">
      <w:lvlJc w:val="left"/>
      <w:lvlText w:val="(%1)"/>
      <w:numFmt w:val="lowerRoman"/>
      <w:start w:val="6"/>
    </w:lvl>
  </w:abstractNum>
  <w:abstractNum w:abstractNumId="196">
    <w:nsid w:val="73209072"/>
    <w:multiLevelType w:val="hybridMultilevel"/>
    <w:lvl w:ilvl="0">
      <w:lvlJc w:val="left"/>
      <w:lvlText w:val="(%1)"/>
      <w:numFmt w:val="lowerRoman"/>
      <w:start w:val="10"/>
    </w:lvl>
  </w:abstractNum>
  <w:abstractNum w:abstractNumId="197">
    <w:nsid w:val="5FB29816"/>
    <w:multiLevelType w:val="hybridMultilevel"/>
    <w:lvl w:ilvl="0">
      <w:lvlJc w:val="left"/>
      <w:lvlText w:val="%1."/>
      <w:numFmt w:val="decimal"/>
      <w:start w:val="2"/>
    </w:lvl>
  </w:abstractNum>
  <w:abstractNum w:abstractNumId="198">
    <w:nsid w:val="3CE732EC"/>
    <w:multiLevelType w:val="hybridMultilevel"/>
    <w:lvl w:ilvl="0">
      <w:lvlJc w:val="left"/>
      <w:lvlText w:val="%1."/>
      <w:numFmt w:val="decimal"/>
      <w:start w:val="3"/>
    </w:lvl>
  </w:abstractNum>
  <w:abstractNum w:abstractNumId="199">
    <w:nsid w:val="22F13DF3"/>
    <w:multiLevelType w:val="hybridMultilevel"/>
    <w:lvl w:ilvl="0">
      <w:lvlJc w:val="left"/>
      <w:lvlText w:val="(%1)"/>
      <w:numFmt w:val="lowerLetter"/>
      <w:start w:val="2"/>
    </w:lvl>
  </w:abstractNum>
  <w:abstractNum w:abstractNumId="200">
    <w:nsid w:val="792B8401"/>
    <w:multiLevelType w:val="hybridMultilevel"/>
    <w:lvl w:ilvl="0">
      <w:lvlJc w:val="left"/>
      <w:lvlText w:val="%1."/>
      <w:numFmt w:val="decimal"/>
      <w:start w:val="5"/>
    </w:lvl>
  </w:abstractNum>
  <w:abstractNum w:abstractNumId="201">
    <w:nsid w:val="FA85F4D"/>
    <w:multiLevelType w:val="hybridMultilevel"/>
    <w:lvl w:ilvl="0">
      <w:lvlJc w:val="left"/>
      <w:lvlText w:val="(%1)"/>
      <w:numFmt w:val="lowerLetter"/>
      <w:start w:val="1"/>
    </w:lvl>
  </w:abstractNum>
  <w:abstractNum w:abstractNumId="202">
    <w:nsid w:val="6ECE91F0"/>
    <w:multiLevelType w:val="hybridMultilevel"/>
    <w:lvl w:ilvl="0">
      <w:lvlJc w:val="left"/>
      <w:lvlText w:val="(%1)"/>
      <w:numFmt w:val="lowerLetter"/>
      <w:start w:val="4"/>
    </w:lvl>
  </w:abstractNum>
  <w:abstractNum w:abstractNumId="203">
    <w:nsid w:val="4FC4D600"/>
    <w:multiLevelType w:val="hybridMultilevel"/>
    <w:lvl w:ilvl="0">
      <w:lvlJc w:val="left"/>
      <w:lvlText w:val="(%1)"/>
      <w:numFmt w:val="decimal"/>
      <w:start w:val="2"/>
    </w:lvl>
  </w:abstractNum>
  <w:abstractNum w:abstractNumId="204">
    <w:nsid w:val="5BFD4210"/>
    <w:multiLevelType w:val="hybridMultilevel"/>
    <w:lvl w:ilvl="0">
      <w:lvlJc w:val="left"/>
      <w:lvlText w:val="(%1)"/>
      <w:numFmt w:val="lowerLetter"/>
      <w:start w:val="7"/>
    </w:lvl>
  </w:abstractNum>
  <w:abstractNum w:abstractNumId="205">
    <w:nsid w:val="76574F8B"/>
    <w:multiLevelType w:val="hybridMultilevel"/>
    <w:lvl w:ilvl="0">
      <w:lvlJc w:val="left"/>
      <w:lvlText w:val="(%1)"/>
      <w:numFmt w:val="lowerLetter"/>
      <w:start w:val="14"/>
    </w:lvl>
  </w:abstractNum>
  <w:abstractNum w:abstractNumId="206">
    <w:nsid w:val="178F7B67"/>
    <w:multiLevelType w:val="hybridMultilevel"/>
    <w:lvl w:ilvl="0">
      <w:lvlJc w:val="left"/>
      <w:lvlText w:val="%1."/>
      <w:numFmt w:val="decimal"/>
      <w:start w:val="6"/>
    </w:lvl>
  </w:abstractNum>
  <w:abstractNum w:abstractNumId="207">
    <w:nsid w:val="2421DFCF"/>
    <w:multiLevelType w:val="hybridMultilevel"/>
    <w:lvl w:ilvl="0">
      <w:lvlJc w:val="left"/>
      <w:lvlText w:val="(%1)"/>
      <w:numFmt w:val="lowerLetter"/>
      <w:start w:val="2"/>
    </w:lvl>
  </w:abstractNum>
  <w:abstractNum w:abstractNumId="208">
    <w:nsid w:val="1565AC99"/>
    <w:multiLevelType w:val="hybridMultilevel"/>
    <w:lvl w:ilvl="0">
      <w:lvlJc w:val="left"/>
      <w:lvlText w:val="(%1)"/>
      <w:numFmt w:val="lowerLetter"/>
      <w:start w:val="5"/>
    </w:lvl>
  </w:abstractNum>
  <w:abstractNum w:abstractNumId="209">
    <w:nsid w:val="19FB2650"/>
    <w:multiLevelType w:val="hybridMultilevel"/>
    <w:lvl w:ilvl="0">
      <w:lvlJc w:val="left"/>
      <w:lvlText w:val="%1"/>
      <w:numFmt w:val="lowerRoman"/>
      <w:start w:val="1"/>
    </w:lvl>
    <w:lvl w:ilvl="1">
      <w:lvlJc w:val="left"/>
      <w:lvlText w:val="%2."/>
      <w:numFmt w:val="decimal"/>
      <w:start w:val="7"/>
    </w:lvl>
  </w:abstractNum>
  <w:abstractNum w:abstractNumId="210">
    <w:nsid w:val="5024DE5B"/>
    <w:multiLevelType w:val="hybridMultilevel"/>
    <w:lvl w:ilvl="0">
      <w:lvlJc w:val="left"/>
      <w:lvlText w:val="(%1)"/>
      <w:numFmt w:val="lowerRoman"/>
      <w:start w:val="7"/>
    </w:lvl>
    <w:lvl w:ilvl="1">
      <w:lvlJc w:val="left"/>
      <w:lvlText w:val="%2."/>
      <w:numFmt w:val="decimal"/>
      <w:start w:val="8"/>
    </w:lvl>
  </w:abstractNum>
  <w:abstractNum w:abstractNumId="211">
    <w:nsid w:val="168EFE17"/>
    <w:multiLevelType w:val="hybridMultilevel"/>
    <w:lvl w:ilvl="0">
      <w:lvlJc w:val="left"/>
      <w:lvlText w:val="(%1)"/>
      <w:numFmt w:val="lowerLetter"/>
      <w:start w:val="1"/>
    </w:lvl>
  </w:abstractNum>
  <w:abstractNum w:abstractNumId="212">
    <w:nsid w:val="1036B29F"/>
    <w:multiLevelType w:val="hybridMultilevel"/>
    <w:lvl w:ilvl="0">
      <w:lvlJc w:val="left"/>
      <w:lvlText w:val="%1"/>
      <w:numFmt w:val="decimal"/>
      <w:start w:val="1"/>
    </w:lvl>
    <w:lvl w:ilvl="1">
      <w:lvlJc w:val="left"/>
      <w:lvlText w:val="(%2)"/>
      <w:numFmt w:val="lowerLetter"/>
      <w:start w:val="8"/>
    </w:lvl>
  </w:abstractNum>
  <w:abstractNum w:abstractNumId="213">
    <w:nsid w:val="1D206B8E"/>
    <w:multiLevelType w:val="hybridMultilevel"/>
    <w:lvl w:ilvl="0">
      <w:lvlJc w:val="left"/>
      <w:lvlText w:val="(%1)"/>
      <w:numFmt w:val="decimal"/>
      <w:start w:val="62"/>
    </w:lvl>
    <w:lvl w:ilvl="1">
      <w:lvlJc w:val="left"/>
      <w:lvlText w:val="(%2)"/>
      <w:numFmt w:val="lowerLetter"/>
      <w:start w:val="11"/>
    </w:lvl>
  </w:abstractNum>
  <w:abstractNum w:abstractNumId="214">
    <w:nsid w:val="7934D3D4"/>
    <w:multiLevelType w:val="hybridMultilevel"/>
    <w:lvl w:ilvl="0">
      <w:lvlJc w:val="left"/>
      <w:lvlText w:val="(%1)"/>
      <w:numFmt w:val="lowerLetter"/>
      <w:start w:val="12"/>
    </w:lvl>
  </w:abstractNum>
  <w:abstractNum w:abstractNumId="215">
    <w:nsid w:val="1C65E98"/>
    <w:multiLevelType w:val="hybridMultilevel"/>
    <w:lvl w:ilvl="0">
      <w:lvlJc w:val="left"/>
      <w:lvlText w:val="%1."/>
      <w:numFmt w:val="decimal"/>
      <w:start w:val="9"/>
    </w:lvl>
  </w:abstractNum>
  <w:abstractNum w:abstractNumId="216">
    <w:nsid w:val="1495E50A"/>
    <w:multiLevelType w:val="hybridMultilevel"/>
    <w:lvl w:ilvl="0">
      <w:lvlJc w:val="left"/>
      <w:lvlText w:val="(%1)"/>
      <w:numFmt w:val="lowerLetter"/>
      <w:start w:val="2"/>
    </w:lvl>
  </w:abstractNum>
  <w:abstractNum w:abstractNumId="217">
    <w:nsid w:val="F5BCF61"/>
    <w:multiLevelType w:val="hybridMultilevel"/>
    <w:lvl w:ilvl="0">
      <w:lvlJc w:val="left"/>
      <w:lvlText w:val="(%1)"/>
      <w:numFmt w:val="lowerLetter"/>
      <w:start w:val="4"/>
    </w:lvl>
  </w:abstractNum>
  <w:abstractNum w:abstractNumId="218">
    <w:nsid w:val="3B1DD403"/>
    <w:multiLevelType w:val="hybridMultilevel"/>
    <w:lvl w:ilvl="0">
      <w:lvlJc w:val="left"/>
      <w:lvlText w:val="(%1)"/>
      <w:numFmt w:val="lowerLetter"/>
      <w:start w:val="5"/>
    </w:lvl>
  </w:abstractNum>
  <w:abstractNum w:abstractNumId="219">
    <w:nsid w:val="530386D1"/>
    <w:multiLevelType w:val="hybridMultilevel"/>
    <w:lvl w:ilvl="0">
      <w:lvlJc w:val="left"/>
      <w:lvlText w:val="(%1)"/>
      <w:numFmt w:val="lowerLetter"/>
      <w:start w:val="6"/>
    </w:lvl>
  </w:abstractNum>
  <w:abstractNum w:abstractNumId="220">
    <w:nsid w:val="7525F2BC"/>
    <w:multiLevelType w:val="hybridMultilevel"/>
    <w:lvl w:ilvl="0">
      <w:lvlJc w:val="left"/>
      <w:lvlText w:val="%1."/>
      <w:numFmt w:val="decimal"/>
      <w:start w:val="10"/>
    </w:lvl>
  </w:abstractNum>
  <w:abstractNum w:abstractNumId="221">
    <w:nsid w:val="CE8E1A7"/>
    <w:multiLevelType w:val="hybridMultilevel"/>
    <w:lvl w:ilvl="0">
      <w:lvlJc w:val="left"/>
      <w:lvlText w:val="(%1)"/>
      <w:numFmt w:val="lowerLetter"/>
      <w:start w:val="2"/>
    </w:lvl>
  </w:abstractNum>
  <w:abstractNum w:abstractNumId="222">
    <w:nsid w:val="4E9EFB0D"/>
    <w:multiLevelType w:val="hybridMultilevel"/>
    <w:lvl w:ilvl="0">
      <w:lvlJc w:val="left"/>
      <w:lvlText w:val="(%1)"/>
      <w:numFmt w:val="lowerLetter"/>
      <w:start w:val="3"/>
    </w:lvl>
  </w:abstractNum>
  <w:abstractNum w:abstractNumId="223">
    <w:nsid w:val="90802BE"/>
    <w:multiLevelType w:val="hybridMultilevel"/>
    <w:lvl w:ilvl="0">
      <w:lvlJc w:val="left"/>
      <w:lvlText w:val="%1."/>
      <w:numFmt w:val="decimal"/>
      <w:start w:val="11"/>
    </w:lvl>
  </w:abstractNum>
  <w:abstractNum w:abstractNumId="224">
    <w:nsid w:val="3266459B"/>
    <w:multiLevelType w:val="hybridMultilevel"/>
    <w:lvl w:ilvl="0">
      <w:lvlJc w:val="left"/>
      <w:lvlText w:val="%1."/>
      <w:numFmt w:val="decimal"/>
      <w:start w:val="14"/>
    </w:lvl>
  </w:abstractNum>
  <w:abstractNum w:abstractNumId="225">
    <w:nsid w:val="3F8B0CBF"/>
    <w:multiLevelType w:val="hybridMultilevel"/>
    <w:lvl w:ilvl="0">
      <w:lvlJc w:val="left"/>
      <w:lvlText w:val="%1"/>
      <w:numFmt w:val="lowerRoman"/>
      <w:start w:val="1"/>
    </w:lvl>
    <w:lvl w:ilvl="1">
      <w:lvlJc w:val="left"/>
      <w:lvlText w:val="%2."/>
      <w:numFmt w:val="decimal"/>
      <w:start w:val="15"/>
    </w:lvl>
  </w:abstractNum>
  <w:abstractNum w:abstractNumId="226">
    <w:nsid w:val="37E203AB"/>
    <w:multiLevelType w:val="hybridMultilevel"/>
    <w:lvl w:ilvl="0">
      <w:lvlJc w:val="left"/>
      <w:lvlText w:val="(%1)"/>
      <w:numFmt w:val="lowerRoman"/>
      <w:start w:val="4"/>
    </w:lvl>
    <w:lvl w:ilvl="1">
      <w:lvlJc w:val="left"/>
      <w:lvlText w:val="%2."/>
      <w:numFmt w:val="decimal"/>
      <w:start w:val="17"/>
    </w:lvl>
  </w:abstractNum>
  <w:abstractNum w:abstractNumId="227">
    <w:nsid w:val="2586D60E"/>
    <w:multiLevelType w:val="hybridMultilevel"/>
    <w:lvl w:ilvl="0">
      <w:lvlJc w:val="left"/>
      <w:lvlText w:val="%1."/>
      <w:numFmt w:val="decimal"/>
      <w:start w:val="21"/>
    </w:lvl>
  </w:abstractNum>
  <w:abstractNum w:abstractNumId="228">
    <w:nsid w:val="1F3DA4D5"/>
    <w:multiLevelType w:val="hybridMultilevel"/>
    <w:lvl w:ilvl="0">
      <w:lvlJc w:val="left"/>
      <w:lvlText w:val="(%1)"/>
      <w:numFmt w:val="lowerLetter"/>
      <w:start w:val="1"/>
    </w:lvl>
  </w:abstractNum>
  <w:abstractNum w:abstractNumId="229">
    <w:nsid w:val="74C93698"/>
    <w:multiLevelType w:val="hybridMultilevel"/>
    <w:lvl w:ilvl="0">
      <w:lvlJc w:val="left"/>
      <w:lvlText w:val="(%1)"/>
      <w:numFmt w:val="lowerRoman"/>
      <w:start w:val="1"/>
    </w:lvl>
  </w:abstractNum>
  <w:abstractNum w:abstractNumId="230">
    <w:nsid w:val="48781401"/>
    <w:multiLevelType w:val="hybridMultilevel"/>
    <w:lvl w:ilvl="0">
      <w:lvlJc w:val="left"/>
      <w:lvlText w:val="(%1)"/>
      <w:numFmt w:val="lowerLetter"/>
      <w:start w:val="1"/>
    </w:lvl>
  </w:abstractNum>
  <w:abstractNum w:abstractNumId="231">
    <w:nsid w:val="186928D6"/>
    <w:multiLevelType w:val="hybridMultilevel"/>
    <w:lvl w:ilvl="0">
      <w:lvlJc w:val="left"/>
      <w:lvlText w:val="(%1)"/>
      <w:numFmt w:val="lowerLetter"/>
      <w:start w:val="1"/>
    </w:lvl>
  </w:abstractNum>
  <w:abstractNum w:abstractNumId="232">
    <w:nsid w:val="47195E5"/>
    <w:multiLevelType w:val="hybridMultilevel"/>
    <w:lvl w:ilvl="0">
      <w:lvlJc w:val="left"/>
      <w:lvlText w:val="(%1)"/>
      <w:numFmt w:val="lowerLetter"/>
      <w:start w:val="3"/>
    </w:lvl>
  </w:abstractNum>
  <w:abstractNum w:abstractNumId="233">
    <w:nsid w:val="3746A5F2"/>
    <w:multiLevelType w:val="hybridMultilevel"/>
    <w:lvl w:ilvl="0">
      <w:lvlJc w:val="left"/>
      <w:lvlText w:val="(%1)"/>
      <w:numFmt w:val="lowerLetter"/>
      <w:start w:val="1"/>
    </w:lvl>
    <w:lvl w:ilvl="1">
      <w:lvlJc w:val="left"/>
      <w:lvlText w:val="(%2)"/>
      <w:numFmt w:val="lowerRoman"/>
      <w:start w:val="1"/>
    </w:lvl>
  </w:abstractNum>
  <w:abstractNum w:abstractNumId="234">
    <w:nsid w:val="682DFED6"/>
    <w:multiLevelType w:val="hybridMultilevel"/>
    <w:lvl w:ilvl="0">
      <w:lvlJc w:val="left"/>
      <w:lvlText w:val="(%1)"/>
      <w:numFmt w:val="lowerRoman"/>
      <w:start w:val="7"/>
    </w:lvl>
  </w:abstractNum>
  <w:abstractNum w:abstractNumId="235">
    <w:nsid w:val="606ED7F6"/>
    <w:multiLevelType w:val="hybridMultilevel"/>
    <w:lvl w:ilvl="0">
      <w:lvlJc w:val="left"/>
      <w:lvlText w:val="(%1)"/>
      <w:numFmt w:val="lowerRoman"/>
      <w:start w:val="13"/>
    </w:lvl>
  </w:abstractNum>
  <w:abstractNum w:abstractNumId="236">
    <w:nsid w:val="2D9DF57D"/>
    <w:multiLevelType w:val="hybridMultilevel"/>
    <w:lvl w:ilvl="0">
      <w:lvlJc w:val="left"/>
      <w:lvlText w:val="%1"/>
      <w:numFmt w:val="lowerLetter"/>
      <w:start w:val="1"/>
    </w:lvl>
    <w:lvl w:ilvl="1">
      <w:lvlJc w:val="left"/>
      <w:lvlText w:val="(%2)"/>
      <w:numFmt w:val="upperLetter"/>
      <w:start w:val="1"/>
    </w:lvl>
  </w:abstractNum>
  <w:abstractNum w:abstractNumId="237">
    <w:nsid w:val="7FBD7A3E"/>
    <w:multiLevelType w:val="hybridMultilevel"/>
    <w:lvl w:ilvl="0">
      <w:lvlJc w:val="left"/>
      <w:lvlText w:val="(%1)"/>
      <w:numFmt w:val="lowerLetter"/>
      <w:start w:val="2"/>
    </w:lvl>
    <w:lvl w:ilvl="1">
      <w:lvlJc w:val="left"/>
      <w:lvlText w:val="%2"/>
      <w:numFmt w:val="upperLetter"/>
      <w:start w:val="1"/>
    </w:lvl>
  </w:abstractNum>
  <w:abstractNum w:abstractNumId="238">
    <w:nsid w:val="490B7C5"/>
    <w:multiLevelType w:val="hybridMultilevel"/>
    <w:lvl w:ilvl="0">
      <w:lvlJc w:val="left"/>
      <w:lvlText w:val="(%1)"/>
      <w:numFmt w:val="lowerLetter"/>
      <w:start w:val="3"/>
    </w:lvl>
  </w:abstractNum>
  <w:abstractNum w:abstractNumId="239">
    <w:nsid w:val="4303A216"/>
    <w:multiLevelType w:val="hybridMultilevel"/>
    <w:lvl w:ilvl="0">
      <w:lvlJc w:val="left"/>
      <w:lvlText w:val="•"/>
      <w:numFmt w:val="bullet"/>
      <w:start w:val="1"/>
    </w:lvl>
  </w:abstractNum>
  <w:abstractNum w:abstractNumId="240">
    <w:nsid w:val="19B8A08E"/>
    <w:multiLevelType w:val="hybridMultilevel"/>
    <w:lvl w:ilvl="0">
      <w:lvlJc w:val="left"/>
      <w:lvlText w:val="•"/>
      <w:numFmt w:val="bullet"/>
      <w:start w:val="1"/>
    </w:lvl>
    <w:lvl w:ilvl="1">
      <w:lvlJc w:val="left"/>
      <w:lvlText w:val="◦"/>
      <w:numFmt w:val="bullet"/>
      <w:start w:val="1"/>
    </w:lvl>
  </w:abstractNum>
  <w:abstractNum w:abstractNumId="241">
    <w:nsid w:val="54B59621"/>
    <w:multiLevelType w:val="hybridMultilevel"/>
    <w:lvl w:ilvl="0">
      <w:lvlJc w:val="left"/>
      <w:lvlText w:val="(%1)"/>
      <w:numFmt w:val="lowerLetter"/>
      <w:start w:val="1"/>
    </w:lvl>
  </w:abstractNum>
  <w:abstractNum w:abstractNumId="242">
    <w:nsid w:val="5992A02E"/>
    <w:multiLevelType w:val="hybridMultilevel"/>
    <w:lvl w:ilvl="0">
      <w:lvlJc w:val="left"/>
      <w:lvlText w:val="(%1)"/>
      <w:numFmt w:val="lowerLetter"/>
      <w:start w:val="2"/>
    </w:lvl>
  </w:abstractNum>
  <w:abstractNum w:abstractNumId="243">
    <w:nsid w:val="29EF532D"/>
    <w:multiLevelType w:val="hybridMultilevel"/>
    <w:lvl w:ilvl="0">
      <w:lvlJc w:val="left"/>
      <w:lvlText w:val="(%1)"/>
      <w:numFmt w:val="lowerLetter"/>
      <w:start w:val="1"/>
    </w:lvl>
  </w:abstractNum>
  <w:abstractNum w:abstractNumId="244">
    <w:nsid w:val="71D601AF"/>
    <w:multiLevelType w:val="hybridMultilevel"/>
    <w:lvl w:ilvl="0">
      <w:lvlJc w:val="left"/>
      <w:lvlText w:val="(%1)"/>
      <w:numFmt w:val="lowerLetter"/>
      <w:start w:val="2"/>
    </w:lvl>
  </w:abstractNum>
  <w:abstractNum w:abstractNumId="245">
    <w:nsid w:val="52C77402"/>
    <w:multiLevelType w:val="hybridMultilevel"/>
    <w:lvl w:ilvl="0">
      <w:lvlJc w:val="left"/>
      <w:lvlText w:val="(%1)"/>
      <w:numFmt w:val="lowerLetter"/>
      <w:start w:val="1"/>
    </w:lvl>
  </w:abstractNum>
  <w:abstractNum w:abstractNumId="246">
    <w:nsid w:val="2BB5B1C6"/>
    <w:multiLevelType w:val="hybridMultilevel"/>
    <w:lvl w:ilvl="0">
      <w:lvlJc w:val="left"/>
      <w:lvlText w:val="(%1)"/>
      <w:numFmt w:val="lowerLetter"/>
      <w:start w:val="3"/>
    </w:lvl>
  </w:abstractNum>
  <w:abstractNum w:abstractNumId="247">
    <w:nsid w:val="66BE6B9"/>
    <w:multiLevelType w:val="hybridMultilevel"/>
    <w:lvl w:ilvl="0">
      <w:lvlJc w:val="left"/>
      <w:lvlText w:val="(%1)"/>
      <w:numFmt w:val="lowerLetter"/>
      <w:start w:val="1"/>
    </w:lvl>
    <w:lvl w:ilvl="1">
      <w:lvlJc w:val="left"/>
      <w:lvlText w:val="(%2)"/>
      <w:numFmt w:val="lowerRoman"/>
      <w:start w:val="1"/>
    </w:lvl>
  </w:abstractNum>
  <w:abstractNum w:abstractNumId="248">
    <w:nsid w:val="62234363"/>
    <w:multiLevelType w:val="hybridMultilevel"/>
    <w:lvl w:ilvl="0">
      <w:lvlJc w:val="left"/>
      <w:lvlText w:val="(%1)"/>
      <w:numFmt w:val="lowerRoman"/>
      <w:start w:val="1"/>
    </w:lvl>
  </w:abstractNum>
  <w:abstractNum w:abstractNumId="249">
    <w:nsid w:val="66D385C9"/>
    <w:multiLevelType w:val="hybridMultilevel"/>
    <w:lvl w:ilvl="0">
      <w:lvlJc w:val="left"/>
      <w:lvlText w:val="(%1)"/>
      <w:numFmt w:val="lowerLetter"/>
      <w:start w:val="3"/>
    </w:lvl>
    <w:lvl w:ilvl="1">
      <w:lvlJc w:val="left"/>
      <w:lvlText w:val="(%2)"/>
      <w:numFmt w:val="lowerRoman"/>
      <w:start w:val="1"/>
    </w:lvl>
  </w:abstractNum>
  <w:abstractNum w:abstractNumId="250">
    <w:nsid w:val="596F6D8A"/>
    <w:multiLevelType w:val="hybridMultilevel"/>
    <w:lvl w:ilvl="0">
      <w:lvlJc w:val="left"/>
      <w:lvlText w:val="(%1)"/>
      <w:numFmt w:val="lowerLetter"/>
      <w:start w:val="1"/>
    </w:lvl>
  </w:abstractNum>
  <w:abstractNum w:abstractNumId="251">
    <w:nsid w:val="5749361F"/>
    <w:multiLevelType w:val="hybridMultilevel"/>
    <w:lvl w:ilvl="0">
      <w:lvlJc w:val="left"/>
      <w:lvlText w:val="(%1)"/>
      <w:numFmt w:val="lowerLetter"/>
      <w:start w:val="4"/>
    </w:lvl>
  </w:abstractNum>
  <w:abstractNum w:abstractNumId="252">
    <w:nsid w:val="73BC6770"/>
    <w:multiLevelType w:val="hybridMultilevel"/>
    <w:lvl w:ilvl="0">
      <w:lvlJc w:val="left"/>
      <w:lvlText w:val="(%1)"/>
      <w:numFmt w:val="lowerRoman"/>
      <w:start w:val="2"/>
    </w:lvl>
  </w:abstractNum>
  <w:abstractNum w:abstractNumId="253">
    <w:nsid w:val="280E6897"/>
    <w:multiLevelType w:val="hybridMultilevel"/>
    <w:lvl w:ilvl="0">
      <w:lvlJc w:val="left"/>
      <w:lvlText w:val="(%1)"/>
      <w:numFmt w:val="lowerLetter"/>
      <w:start w:val="1"/>
    </w:lvl>
  </w:abstractNum>
  <w:abstractNum w:abstractNumId="254">
    <w:nsid w:val="605138DE"/>
    <w:multiLevelType w:val="hybridMultilevel"/>
    <w:lvl w:ilvl="0">
      <w:lvlJc w:val="left"/>
      <w:lvlText w:val="(%1)"/>
      <w:numFmt w:val="lowerLetter"/>
      <w:start w:val="1"/>
    </w:lvl>
  </w:abstractNum>
  <w:abstractNum w:abstractNumId="255">
    <w:nsid w:val="2622AD0C"/>
    <w:multiLevelType w:val="hybridMultilevel"/>
    <w:lvl w:ilvl="0">
      <w:lvlJc w:val="left"/>
      <w:lvlText w:val="(%1)"/>
      <w:numFmt w:val="lowerLetter"/>
      <w:start w:val="1"/>
    </w:lvl>
  </w:abstractNum>
  <w:abstractNum w:abstractNumId="256">
    <w:nsid w:val="67997556"/>
    <w:multiLevelType w:val="hybridMultilevel"/>
    <w:lvl w:ilvl="0">
      <w:lvlJc w:val="left"/>
      <w:lvlText w:val="(%1)"/>
      <w:numFmt w:val="lowerLetter"/>
      <w:start w:val="8"/>
    </w:lvl>
  </w:abstractNum>
  <w:abstractNum w:abstractNumId="257">
    <w:nsid w:val="18333C89"/>
    <w:multiLevelType w:val="hybridMultilevel"/>
    <w:lvl w:ilvl="0">
      <w:lvlJc w:val="left"/>
      <w:lvlText w:val="(%1)"/>
      <w:numFmt w:val="lowerLetter"/>
      <w:start w:val="1"/>
    </w:lvl>
  </w:abstractNum>
  <w:abstractNum w:abstractNumId="258">
    <w:nsid w:val="4BA9831A"/>
    <w:multiLevelType w:val="hybridMultilevel"/>
    <w:lvl w:ilvl="0">
      <w:lvlJc w:val="left"/>
      <w:lvlText w:val="(%1)"/>
      <w:numFmt w:val="lowerLetter"/>
      <w:start w:val="2"/>
    </w:lvl>
  </w:abstractNum>
  <w:abstractNum w:abstractNumId="259">
    <w:nsid w:val="6D71A2B"/>
    <w:multiLevelType w:val="hybridMultilevel"/>
    <w:lvl w:ilvl="0">
      <w:lvlJc w:val="left"/>
      <w:lvlText w:val="(%1)"/>
      <w:numFmt w:val="lowerLetter"/>
      <w:start w:val="5"/>
    </w:lvl>
  </w:abstractNum>
  <w:abstractNum w:abstractNumId="260">
    <w:nsid w:val="CFC7321"/>
    <w:multiLevelType w:val="hybridMultilevel"/>
    <w:lvl w:ilvl="0">
      <w:lvlJc w:val="left"/>
      <w:lvlText w:val="%1"/>
      <w:numFmt w:val="lowerLetter"/>
      <w:start w:val="1"/>
    </w:lvl>
    <w:lvl w:ilvl="1">
      <w:lvlJc w:val="left"/>
      <w:lvlText w:val="(%2)"/>
      <w:numFmt w:val="lowerLetter"/>
      <w:start w:val="1"/>
    </w:lvl>
  </w:abstractNum>
  <w:abstractNum w:abstractNumId="261">
    <w:nsid w:val="1421971B"/>
    <w:multiLevelType w:val="hybridMultilevel"/>
    <w:lvl w:ilvl="0">
      <w:lvlJc w:val="left"/>
      <w:lvlText w:val="(%1)"/>
      <w:numFmt w:val="lowerLetter"/>
      <w:start w:val="9"/>
    </w:lvl>
    <w:lvl w:ilvl="1">
      <w:lvlJc w:val="left"/>
      <w:lvlText w:val="%2"/>
      <w:numFmt w:val="lowerLetter"/>
      <w:start w:val="1"/>
    </w:lvl>
  </w:abstractNum>
  <w:abstractNum w:abstractNumId="262">
    <w:nsid w:val="1F404301"/>
    <w:multiLevelType w:val="hybridMultilevel"/>
    <w:lvl w:ilvl="0">
      <w:lvlJc w:val="left"/>
      <w:lvlText w:val="(%1)"/>
      <w:numFmt w:val="lowerLetter"/>
      <w:start w:val="1"/>
    </w:lvl>
    <w:lvl w:ilvl="1">
      <w:lvlJc w:val="left"/>
      <w:lvlText w:val="(%2)"/>
      <w:numFmt w:val="lowerRoman"/>
      <w:start w:val="1"/>
    </w:lvl>
  </w:abstractNum>
  <w:abstractNum w:abstractNumId="263">
    <w:nsid w:val="116E0907"/>
    <w:multiLevelType w:val="hybridMultilevel"/>
    <w:lvl w:ilvl="0">
      <w:lvlJc w:val="left"/>
      <w:lvlText w:val="(%1)"/>
      <w:numFmt w:val="lowerRoman"/>
      <w:start w:val="3"/>
    </w:lvl>
  </w:abstractNum>
  <w:abstractNum w:abstractNumId="264">
    <w:nsid w:val="4B683D0D"/>
    <w:multiLevelType w:val="hybridMultilevel"/>
    <w:lvl w:ilvl="0">
      <w:lvlJc w:val="left"/>
      <w:lvlText w:val="(%1)"/>
      <w:numFmt w:val="lowerLetter"/>
      <w:start w:val="3"/>
    </w:lvl>
  </w:abstractNum>
  <w:abstractNum w:abstractNumId="265">
    <w:nsid w:val="76E41D8"/>
    <w:multiLevelType w:val="hybridMultilevel"/>
    <w:lvl w:ilvl="0">
      <w:lvlJc w:val="left"/>
      <w:lvlText w:val="%1"/>
      <w:numFmt w:val="upperLetter"/>
      <w:start w:val="1"/>
    </w:lvl>
    <w:lvl w:ilvl="1">
      <w:lvlJc w:val="left"/>
      <w:lvlText w:val="(%2)"/>
      <w:numFmt w:val="lowerLetter"/>
      <w:start w:val="1"/>
    </w:lvl>
  </w:abstractNum>
  <w:abstractNum w:abstractNumId="266">
    <w:nsid w:val="71DCE0FD"/>
    <w:multiLevelType w:val="hybridMultilevel"/>
    <w:lvl w:ilvl="0">
      <w:lvlJc w:val="left"/>
      <w:lvlText w:val="(%1)"/>
      <w:numFmt w:val="upperLetter"/>
      <w:start w:val="2"/>
    </w:lvl>
    <w:lvl w:ilvl="1">
      <w:lvlJc w:val="left"/>
      <w:lvlText w:val="(%2)"/>
      <w:numFmt w:val="lowerLetter"/>
      <w:start w:val="2"/>
    </w:lvl>
  </w:abstractNum>
  <w:abstractNum w:abstractNumId="267">
    <w:nsid w:val="7906328B"/>
    <w:multiLevelType w:val="hybridMultilevel"/>
    <w:lvl w:ilvl="0">
      <w:lvlJc w:val="left"/>
      <w:lvlText w:val="(%1)"/>
      <w:numFmt w:val="lowerLetter"/>
      <w:start w:val="1"/>
    </w:lvl>
  </w:abstractNum>
  <w:abstractNum w:abstractNumId="268">
    <w:nsid w:val="72BBC16"/>
    <w:multiLevelType w:val="hybridMultilevel"/>
    <w:lvl w:ilvl="0">
      <w:lvlJc w:val="left"/>
      <w:lvlText w:val="(%1)"/>
      <w:numFmt w:val="lowerLetter"/>
      <w:start w:val="4"/>
    </w:lvl>
  </w:abstractNum>
  <w:abstractNum w:abstractNumId="269">
    <w:nsid w:val="766D98C2"/>
    <w:multiLevelType w:val="hybridMultilevel"/>
    <w:lvl w:ilvl="0">
      <w:lvlJc w:val="left"/>
      <w:lvlText w:val="(%1)"/>
      <w:numFmt w:val="lowerLetter"/>
      <w:start w:val="1"/>
    </w:lvl>
  </w:abstractNum>
  <w:abstractNum w:abstractNumId="270">
    <w:nsid w:val="3C09D4A1"/>
    <w:multiLevelType w:val="hybridMultilevel"/>
    <w:lvl w:ilvl="0">
      <w:lvlJc w:val="left"/>
      <w:lvlText w:val="(%1)"/>
      <w:numFmt w:val="lowerLetter"/>
      <w:start w:val="1"/>
    </w:lvl>
  </w:abstractNum>
  <w:abstractNum w:abstractNumId="271">
    <w:nsid w:val="20E45CA4"/>
    <w:multiLevelType w:val="hybridMultilevel"/>
    <w:lvl w:ilvl="0">
      <w:lvlJc w:val="left"/>
      <w:lvlText w:val="(%1)"/>
      <w:numFmt w:val="lowerLetter"/>
      <w:start w:val="3"/>
    </w:lvl>
  </w:abstractNum>
  <w:abstractNum w:abstractNumId="272">
    <w:nsid w:val="4B232EE3"/>
    <w:multiLevelType w:val="hybridMultilevel"/>
    <w:lvl w:ilvl="0">
      <w:lvlJc w:val="left"/>
      <w:lvlText w:val="(%1)"/>
      <w:numFmt w:val="lowerLetter"/>
      <w:start w:val="1"/>
    </w:lvl>
  </w:abstractNum>
  <w:abstractNum w:abstractNumId="273">
    <w:nsid w:val="159C74CF"/>
    <w:multiLevelType w:val="hybridMultilevel"/>
    <w:lvl w:ilvl="0">
      <w:lvlJc w:val="left"/>
      <w:lvlText w:val="(%1)"/>
      <w:numFmt w:val="lowerLetter"/>
      <w:start w:val="2"/>
    </w:lvl>
  </w:abstractNum>
  <w:abstractNum w:abstractNumId="274">
    <w:nsid w:val="4AD3AFD2"/>
    <w:multiLevelType w:val="hybridMultilevel"/>
    <w:lvl w:ilvl="0">
      <w:lvlJc w:val="left"/>
      <w:lvlText w:val="(%1)"/>
      <w:numFmt w:val="lowerLetter"/>
      <w:start w:val="1"/>
    </w:lvl>
  </w:abstractNum>
  <w:abstractNum w:abstractNumId="275">
    <w:nsid w:val="3CF93092"/>
    <w:multiLevelType w:val="hybridMultilevel"/>
    <w:lvl w:ilvl="0">
      <w:lvlJc w:val="left"/>
      <w:lvlText w:val="(%1)"/>
      <w:numFmt w:val="lowerLetter"/>
      <w:start w:val="1"/>
    </w:lvl>
  </w:abstractNum>
  <w:abstractNum w:abstractNumId="276">
    <w:nsid w:val="6863E8D2"/>
    <w:multiLevelType w:val="hybridMultilevel"/>
    <w:lvl w:ilvl="0">
      <w:lvlJc w:val="left"/>
      <w:lvlText w:val="%1"/>
      <w:numFmt w:val="lowerLetter"/>
      <w:start w:val="1"/>
    </w:lvl>
    <w:lvl w:ilvl="1">
      <w:lvlJc w:val="left"/>
      <w:lvlText w:val="(%2)"/>
      <w:numFmt w:val="lowerLetter"/>
      <w:start w:val="3"/>
    </w:lvl>
  </w:abstractNum>
  <w:abstractNum w:abstractNumId="277">
    <w:nsid w:val="76896198"/>
    <w:multiLevelType w:val="hybridMultilevel"/>
    <w:lvl w:ilvl="0">
      <w:lvlJc w:val="left"/>
      <w:lvlText w:val="(%1)"/>
      <w:numFmt w:val="lowerLetter"/>
      <w:start w:val="61"/>
    </w:lvl>
    <w:lvl w:ilvl="1">
      <w:lvlJc w:val="left"/>
      <w:lvlText w:val="(%2)"/>
      <w:numFmt w:val="lowerLetter"/>
      <w:start w:val="5"/>
    </w:lvl>
  </w:abstractNum>
  <w:abstractNum w:abstractNumId="278">
    <w:nsid w:val="4365174B"/>
    <w:multiLevelType w:val="hybridMultilevel"/>
    <w:lvl w:ilvl="0">
      <w:lvlJc w:val="left"/>
      <w:lvlText w:val="(%1)"/>
      <w:numFmt w:val="lowerLetter"/>
      <w:start w:val="1"/>
    </w:lvl>
    <w:lvl w:ilvl="1">
      <w:lvlJc w:val="left"/>
      <w:lvlText w:val="(%2)"/>
      <w:numFmt w:val="lowerRoman"/>
      <w:start w:val="1"/>
    </w:lvl>
  </w:abstractNum>
  <w:abstractNum w:abstractNumId="279">
    <w:nsid w:val="4A872C35"/>
    <w:multiLevelType w:val="hybridMultilevel"/>
    <w:lvl w:ilvl="0">
      <w:lvlJc w:val="left"/>
      <w:lvlText w:val="%1"/>
      <w:numFmt w:val="lowerLetter"/>
      <w:start w:val="1"/>
    </w:lvl>
    <w:lvl w:ilvl="1">
      <w:lvlJc w:val="left"/>
      <w:lvlText w:val="(%2)"/>
      <w:numFmt w:val="lowerRoman"/>
      <w:start w:val="4"/>
    </w:lvl>
  </w:abstractNum>
  <w:abstractNum w:abstractNumId="280">
    <w:nsid w:val="5D5CE761"/>
    <w:multiLevelType w:val="hybridMultilevel"/>
    <w:lvl w:ilvl="0">
      <w:lvlJc w:val="left"/>
      <w:lvlText w:val="(%1)"/>
      <w:numFmt w:val="lowerLetter"/>
      <w:start w:val="2"/>
    </w:lvl>
    <w:lvl w:ilvl="1">
      <w:lvlJc w:val="left"/>
      <w:lvlText w:val="%2"/>
      <w:numFmt w:val="lowerRoman"/>
      <w:start w:val="1"/>
    </w:lvl>
  </w:abstractNum>
  <w:abstractNum w:abstractNumId="281">
    <w:nsid w:val="1CD484D5"/>
    <w:multiLevelType w:val="hybridMultilevel"/>
    <w:lvl w:ilvl="0">
      <w:lvlJc w:val="left"/>
      <w:lvlText w:val="(%1)"/>
      <w:numFmt w:val="lowerLetter"/>
      <w:start w:val="4"/>
    </w:lvl>
  </w:abstractNum>
  <w:abstractNum w:abstractNumId="282">
    <w:nsid w:val="21D06255"/>
    <w:multiLevelType w:val="hybridMultilevel"/>
    <w:lvl w:ilvl="0">
      <w:lvlJc w:val="left"/>
      <w:lvlText w:val="(%1)"/>
      <w:numFmt w:val="lowerLetter"/>
      <w:start w:val="1"/>
    </w:lvl>
  </w:abstractNum>
  <w:abstractNum w:abstractNumId="283">
    <w:nsid w:val="51194ED1"/>
    <w:multiLevelType w:val="hybridMultilevel"/>
    <w:lvl w:ilvl="0">
      <w:lvlJc w:val="left"/>
      <w:lvlText w:val="(%1)"/>
      <w:numFmt w:val="lowerLetter"/>
      <w:start w:val="2"/>
    </w:lvl>
  </w:abstractNum>
  <w:abstractNum w:abstractNumId="284">
    <w:nsid w:val="44E2ED6C"/>
    <w:multiLevelType w:val="hybridMultilevel"/>
    <w:lvl w:ilvl="0">
      <w:lvlJc w:val="left"/>
      <w:lvlText w:val="%1"/>
      <w:numFmt w:val="lowerLetter"/>
      <w:start w:val="1"/>
    </w:lvl>
    <w:lvl w:ilvl="1">
      <w:lvlJc w:val="left"/>
      <w:lvlText w:val="(%2)"/>
      <w:numFmt w:val="lowerLetter"/>
      <w:start w:val="1"/>
    </w:lvl>
  </w:abstractNum>
  <w:abstractNum w:abstractNumId="285">
    <w:nsid w:val="2219B33"/>
    <w:multiLevelType w:val="hybridMultilevel"/>
    <w:lvl w:ilvl="0">
      <w:lvlJc w:val="left"/>
      <w:lvlText w:val="(%1)"/>
      <w:numFmt w:val="lowerLetter"/>
      <w:start w:val="9"/>
    </w:lvl>
    <w:lvl w:ilvl="1">
      <w:lvlJc w:val="left"/>
      <w:lvlText w:val="%2"/>
      <w:numFmt w:val="lowerLetter"/>
      <w:start w:val="1"/>
    </w:lvl>
  </w:abstractNum>
  <w:abstractNum w:abstractNumId="286">
    <w:nsid w:val="773BFBDD"/>
    <w:multiLevelType w:val="hybridMultilevel"/>
    <w:lvl w:ilvl="0">
      <w:lvlJc w:val="left"/>
      <w:lvlText w:val="(%1)"/>
      <w:numFmt w:val="lowerLetter"/>
      <w:start w:val="3"/>
    </w:lvl>
  </w:abstractNum>
  <w:abstractNum w:abstractNumId="287">
    <w:nsid w:val="2C7C62C2"/>
    <w:multiLevelType w:val="hybridMultilevel"/>
    <w:lvl w:ilvl="0">
      <w:lvlJc w:val="left"/>
      <w:lvlText w:val="(%1)"/>
      <w:numFmt w:val="lowerLetter"/>
      <w:start w:val="1"/>
    </w:lvl>
  </w:abstractNum>
  <w:abstractNum w:abstractNumId="288">
    <w:nsid w:val="1A54D7BC"/>
    <w:multiLevelType w:val="hybridMultilevel"/>
    <w:lvl w:ilvl="0">
      <w:lvlJc w:val="left"/>
      <w:lvlText w:val="(%1)"/>
      <w:numFmt w:val="lowerLetter"/>
      <w:start w:val="1"/>
    </w:lvl>
  </w:abstractNum>
  <w:abstractNum w:abstractNumId="289">
    <w:nsid w:val="42E57EF7"/>
    <w:multiLevelType w:val="hybridMultilevel"/>
    <w:lvl w:ilvl="0">
      <w:lvlJc w:val="left"/>
      <w:lvlText w:val="(%1)"/>
      <w:numFmt w:val="lowerRoman"/>
      <w:start w:val="1"/>
    </w:lvl>
  </w:abstractNum>
  <w:abstractNum w:abstractNumId="290">
    <w:nsid w:val="33537CED"/>
    <w:multiLevelType w:val="hybridMultilevel"/>
    <w:lvl w:ilvl="0">
      <w:lvlJc w:val="left"/>
      <w:lvlText w:val="%1"/>
      <w:numFmt w:val="upperLetter"/>
      <w:start w:val="1"/>
    </w:lvl>
    <w:lvl w:ilvl="1">
      <w:lvlJc w:val="left"/>
      <w:lvlText w:val="(%2)"/>
      <w:numFmt w:val="lowerLetter"/>
      <w:start w:val="1"/>
    </w:lvl>
  </w:abstractNum>
  <w:abstractNum w:abstractNumId="291">
    <w:nsid w:val="27514ADE"/>
    <w:multiLevelType w:val="hybridMultilevel"/>
    <w:lvl w:ilvl="0">
      <w:lvlJc w:val="left"/>
      <w:lvlText w:val="(%1)"/>
      <w:numFmt w:val="upperLetter"/>
      <w:start w:val="2"/>
    </w:lvl>
    <w:lvl w:ilvl="1">
      <w:lvlJc w:val="left"/>
      <w:lvlText w:val="(%2)"/>
      <w:numFmt w:val="lowerLetter"/>
      <w:start w:val="2"/>
    </w:lvl>
  </w:abstractNum>
  <w:abstractNum w:abstractNumId="292">
    <w:nsid w:val="57071613"/>
    <w:multiLevelType w:val="hybridMultilevel"/>
    <w:lvl w:ilvl="0">
      <w:lvlJc w:val="left"/>
      <w:lvlText w:val="(%1)"/>
      <w:numFmt w:val="lowerLetter"/>
      <w:start w:val="3"/>
    </w:lvl>
  </w:abstractNum>
  <w:abstractNum w:abstractNumId="293">
    <w:nsid w:val="5293BFEF"/>
    <w:multiLevelType w:val="hybridMultilevel"/>
    <w:lvl w:ilvl="0">
      <w:lvlJc w:val="left"/>
      <w:lvlText w:val="(%1)"/>
      <w:numFmt w:val="lowerLetter"/>
      <w:start w:val="1"/>
    </w:lvl>
  </w:abstractNum>
  <w:abstractNum w:abstractNumId="294">
    <w:nsid w:val="38BF53E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95">
    <w:nsid w:val="226F5320"/>
    <w:multiLevelType w:val="hybridMultilevel"/>
    <w:lvl w:ilvl="0">
      <w:lvlJc w:val="left"/>
      <w:lvlText w:val="%1"/>
      <w:numFmt w:val="upperLetter"/>
      <w:start w:val="1"/>
    </w:lvl>
    <w:lvl w:ilvl="1">
      <w:lvlJc w:val="left"/>
      <w:lvlText w:val="(%2)"/>
      <w:numFmt w:val="lowerRoman"/>
      <w:start w:val="4"/>
    </w:lvl>
  </w:abstractNum>
  <w:abstractNum w:abstractNumId="296">
    <w:nsid w:val="5A0201C7"/>
    <w:multiLevelType w:val="hybridMultilevel"/>
    <w:lvl w:ilvl="0">
      <w:lvlJc w:val="left"/>
      <w:lvlText w:val="(%1)"/>
      <w:numFmt w:val="upperLetter"/>
      <w:start w:val="2"/>
    </w:lvl>
    <w:lvl w:ilvl="1">
      <w:lvlJc w:val="left"/>
      <w:lvlText w:val="(%2)"/>
      <w:numFmt w:val="lowerRoman"/>
      <w:start w:val="5"/>
    </w:lvl>
  </w:abstractNum>
  <w:abstractNum w:abstractNumId="297">
    <w:nsid w:val="2A9C34E2"/>
    <w:multiLevelType w:val="hybridMultilevel"/>
    <w:lvl w:ilvl="0">
      <w:lvlJc w:val="left"/>
      <w:lvlText w:val="(%1)"/>
      <w:numFmt w:val="lowerLetter"/>
      <w:start w:val="4"/>
    </w:lvl>
  </w:abstractNum>
  <w:abstractNum w:abstractNumId="298">
    <w:nsid w:val="1B7585AB"/>
    <w:multiLevelType w:val="hybridMultilevel"/>
    <w:lvl w:ilvl="0">
      <w:lvlJc w:val="left"/>
      <w:lvlText w:val="(%1)"/>
      <w:numFmt w:val="lowerLetter"/>
      <w:start w:val="1"/>
    </w:lvl>
    <w:lvl w:ilvl="1">
      <w:lvlJc w:val="left"/>
      <w:lvlText w:val="(%2)"/>
      <w:numFmt w:val="lowerRoman"/>
      <w:start w:val="1"/>
    </w:lvl>
  </w:abstractNum>
  <w:abstractNum w:abstractNumId="299">
    <w:nsid w:val="612DBDDD"/>
    <w:multiLevelType w:val="hybridMultilevel"/>
    <w:lvl w:ilvl="0">
      <w:lvlJc w:val="left"/>
      <w:lvlText w:val="%1"/>
      <w:numFmt w:val="lowerLetter"/>
      <w:start w:val="1"/>
    </w:lvl>
    <w:lvl w:ilvl="1">
      <w:lvlJc w:val="left"/>
      <w:lvlText w:val="(%2)"/>
      <w:numFmt w:val="lowerLetter"/>
      <w:start w:val="2"/>
    </w:lvl>
  </w:abstractNum>
  <w:abstractNum w:abstractNumId="300">
    <w:nsid w:val="2109CDA4"/>
    <w:multiLevelType w:val="hybridMultilevel"/>
    <w:lvl w:ilvl="0">
      <w:lvlJc w:val="left"/>
      <w:lvlText w:val="(%1)"/>
      <w:numFmt w:val="lowerLetter"/>
      <w:start w:val="2"/>
    </w:lvl>
    <w:lvl w:ilvl="1">
      <w:lvlJc w:val="left"/>
      <w:lvlText w:val="(%2)"/>
      <w:numFmt w:val="lowerLetter"/>
      <w:start w:val="4"/>
    </w:lvl>
  </w:abstractNum>
  <w:abstractNum w:abstractNumId="301">
    <w:nsid w:val="577F5A4D"/>
    <w:multiLevelType w:val="hybridMultilevel"/>
    <w:lvl w:ilvl="0">
      <w:lvlJc w:val="left"/>
      <w:lvlText w:val="(%1)"/>
      <w:numFmt w:val="lowerLetter"/>
      <w:start w:val="5"/>
    </w:lvl>
  </w:abstractNum>
  <w:abstractNum w:abstractNumId="302">
    <w:nsid w:val="2121A81"/>
    <w:multiLevelType w:val="hybridMultilevel"/>
    <w:lvl w:ilvl="0">
      <w:lvlJc w:val="left"/>
      <w:lvlText w:val="(%1)"/>
      <w:numFmt w:val="lowerLetter"/>
      <w:start w:val="1"/>
    </w:lvl>
  </w:abstractNum>
  <w:abstractNum w:abstractNumId="303">
    <w:nsid w:val="6C2CFC8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04">
    <w:nsid w:val="6D1BCF1C"/>
    <w:multiLevelType w:val="hybridMultilevel"/>
    <w:lvl w:ilvl="0">
      <w:lvlJc w:val="left"/>
      <w:lvlText w:val="%1"/>
      <w:numFmt w:val="upperLetter"/>
      <w:start w:val="1"/>
    </w:lvl>
    <w:lvl w:ilvl="1">
      <w:lvlJc w:val="left"/>
      <w:lvlText w:val="(%2)"/>
      <w:numFmt w:val="decimal"/>
      <w:start w:val="1"/>
    </w:lvl>
  </w:abstractNum>
  <w:abstractNum w:abstractNumId="305">
    <w:nsid w:val="4CE5CA53"/>
    <w:multiLevelType w:val="hybridMultilevel"/>
    <w:lvl w:ilvl="0">
      <w:lvlJc w:val="left"/>
      <w:lvlText w:val="(%1)"/>
      <w:numFmt w:val="upperLetter"/>
      <w:start w:val="3"/>
    </w:lvl>
    <w:lvl w:ilvl="1">
      <w:lvlJc w:val="left"/>
      <w:lvlText w:val="%2"/>
      <w:numFmt w:val="decimal"/>
      <w:start w:val="1"/>
    </w:lvl>
  </w:abstractNum>
  <w:abstractNum w:abstractNumId="306">
    <w:nsid w:val="29262D1A"/>
    <w:multiLevelType w:val="hybridMultilevel"/>
    <w:lvl w:ilvl="0">
      <w:lvlJc w:val="left"/>
      <w:lvlText w:val="(%1)"/>
      <w:numFmt w:val="upperLetter"/>
      <w:start w:val="4"/>
    </w:lvl>
  </w:abstractNum>
  <w:abstractNum w:abstractNumId="307">
    <w:nsid w:val="557FB7EE"/>
    <w:multiLevelType w:val="hybridMultilevel"/>
    <w:lvl w:ilvl="0">
      <w:lvlJc w:val="left"/>
      <w:lvlText w:val="(%1)"/>
      <w:numFmt w:val="lowerLetter"/>
      <w:start w:val="8"/>
    </w:lvl>
  </w:abstractNum>
  <w:abstractNum w:abstractNumId="308">
    <w:nsid w:val="436F2BEB"/>
    <w:multiLevelType w:val="hybridMultilevel"/>
    <w:lvl w:ilvl="0">
      <w:lvlJc w:val="left"/>
      <w:lvlText w:val="(%1)"/>
      <w:numFmt w:val="lowerLetter"/>
      <w:start w:val="1"/>
    </w:lvl>
    <w:lvl w:ilvl="1">
      <w:lvlJc w:val="left"/>
      <w:lvlText w:val="(%2)"/>
      <w:numFmt w:val="lowerRoman"/>
      <w:start w:val="1"/>
    </w:lvl>
  </w:abstractNum>
  <w:abstractNum w:abstractNumId="309">
    <w:nsid w:val="6C8B4466"/>
    <w:multiLevelType w:val="hybridMultilevel"/>
    <w:lvl w:ilvl="0">
      <w:lvlJc w:val="left"/>
      <w:lvlText w:val="(%1)"/>
      <w:numFmt w:val="lowerLetter"/>
      <w:start w:val="3"/>
    </w:lvl>
  </w:abstractNum>
  <w:abstractNum w:abstractNumId="310">
    <w:nsid w:val="2006E424"/>
    <w:multiLevelType w:val="hybridMultilevel"/>
    <w:lvl w:ilvl="0">
      <w:lvlJc w:val="left"/>
      <w:lvlText w:val="(%1)"/>
      <w:numFmt w:val="lowerLetter"/>
      <w:start w:val="1"/>
    </w:lvl>
  </w:abstractNum>
  <w:abstractNum w:abstractNumId="311">
    <w:nsid w:val="20CC134C"/>
    <w:multiLevelType w:val="hybridMultilevel"/>
    <w:lvl w:ilvl="0">
      <w:lvlJc w:val="left"/>
      <w:lvlText w:val="(%1)"/>
      <w:numFmt w:val="lowerLetter"/>
      <w:start w:val="3"/>
    </w:lvl>
    <w:lvl w:ilvl="1">
      <w:lvlJc w:val="left"/>
      <w:lvlText w:val="(%2)"/>
      <w:numFmt w:val="lowerRoman"/>
      <w:start w:val="1"/>
    </w:lvl>
  </w:abstractNum>
  <w:abstractNum w:abstractNumId="312">
    <w:nsid w:val="95FC93B"/>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313">
    <w:nsid w:val="41D74679"/>
    <w:multiLevelType w:val="hybridMultilevel"/>
    <w:lvl w:ilvl="0">
      <w:lvlJc w:val="left"/>
      <w:lvlText w:val="(%1)"/>
      <w:numFmt w:val="lowerLetter"/>
      <w:start w:val="1"/>
    </w:lvl>
  </w:abstractNum>
  <w:abstractNum w:abstractNumId="314">
    <w:nsid w:val="71E5621E"/>
    <w:multiLevelType w:val="hybridMultilevel"/>
    <w:lvl w:ilvl="0">
      <w:lvlJc w:val="left"/>
      <w:lvlText w:val="(%1)"/>
      <w:numFmt w:val="lowerLetter"/>
      <w:start w:val="1"/>
    </w:lvl>
    <w:lvl w:ilvl="1">
      <w:lvlJc w:val="left"/>
      <w:lvlText w:val="(%2)"/>
      <w:numFmt w:val="lowerLetter"/>
      <w:start w:val="9"/>
    </w:lvl>
  </w:abstractNum>
  <w:abstractNum w:abstractNumId="315">
    <w:nsid w:val="4E42B6A8"/>
    <w:multiLevelType w:val="hybridMultilevel"/>
    <w:lvl w:ilvl="0">
      <w:lvlJc w:val="left"/>
      <w:lvlText w:val="(%1)"/>
      <w:numFmt w:val="lowerRoman"/>
      <w:start w:val="2"/>
    </w:lvl>
  </w:abstractNum>
  <w:abstractNum w:abstractNumId="316">
    <w:nsid w:val="43F8E1AC"/>
    <w:multiLevelType w:val="hybridMultilevel"/>
    <w:lvl w:ilvl="0">
      <w:lvlJc w:val="left"/>
      <w:lvlText w:val="%1"/>
      <w:numFmt w:val="upperLetter"/>
      <w:start w:val="1"/>
    </w:lvl>
    <w:lvl w:ilvl="1">
      <w:lvlJc w:val="left"/>
      <w:lvlText w:val="(%2)"/>
      <w:numFmt w:val="upperLetter"/>
      <w:start w:val="1"/>
    </w:lvl>
  </w:abstractNum>
  <w:abstractNum w:abstractNumId="317">
    <w:nsid w:val="69215DFB"/>
    <w:multiLevelType w:val="hybridMultilevel"/>
    <w:lvl w:ilvl="0">
      <w:lvlJc w:val="left"/>
      <w:lvlText w:val="(%1)"/>
      <w:numFmt w:val="upperLetter"/>
      <w:start w:val="1"/>
    </w:lvl>
    <w:lvl w:ilvl="1">
      <w:lvlJc w:val="left"/>
      <w:lvlText w:val="%2"/>
      <w:numFmt w:val="upperLetter"/>
      <w:start w:val="1"/>
    </w:lvl>
  </w:abstractNum>
  <w:abstractNum w:abstractNumId="318">
    <w:nsid w:val="7ABF196A"/>
    <w:multiLevelType w:val="hybridMultilevel"/>
    <w:lvl w:ilvl="0">
      <w:lvlJc w:val="left"/>
      <w:lvlText w:val="%1"/>
      <w:numFmt w:val="lowerLetter"/>
      <w:start w:val="1"/>
    </w:lvl>
    <w:lvl w:ilvl="1">
      <w:lvlJc w:val="left"/>
      <w:lvlText w:val="(%2)"/>
      <w:numFmt w:val="lowerRoman"/>
      <w:start w:val="4"/>
    </w:lvl>
  </w:abstractNum>
  <w:abstractNum w:abstractNumId="319">
    <w:nsid w:val="5E4DB968"/>
    <w:multiLevelType w:val="hybridMultilevel"/>
    <w:lvl w:ilvl="0">
      <w:lvlJc w:val="left"/>
      <w:lvlText w:val="(%1)"/>
      <w:numFmt w:val="lowerLetter"/>
      <w:start w:val="2"/>
    </w:lvl>
    <w:lvl w:ilvl="1">
      <w:lvlJc w:val="left"/>
      <w:lvlText w:val="%2"/>
      <w:numFmt w:val="lowerRoman"/>
      <w:start w:val="1"/>
    </w:lvl>
  </w:abstractNum>
  <w:abstractNum w:abstractNumId="320">
    <w:nsid w:val="2C06DCF3"/>
    <w:multiLevelType w:val="hybridMultilevel"/>
    <w:lvl w:ilvl="0">
      <w:lvlJc w:val="left"/>
      <w:lvlText w:val="(%1)"/>
      <w:numFmt w:val="lowerLetter"/>
      <w:start w:val="1"/>
    </w:lvl>
    <w:lvl w:ilvl="1">
      <w:lvlJc w:val="left"/>
      <w:lvlText w:val="(%2)"/>
      <w:numFmt w:val="lowerRoman"/>
      <w:start w:val="1"/>
    </w:lvl>
  </w:abstractNum>
  <w:abstractNum w:abstractNumId="321">
    <w:nsid w:val="2E129658"/>
    <w:multiLevelType w:val="hybridMultilevel"/>
    <w:lvl w:ilvl="0">
      <w:lvlJc w:val="left"/>
      <w:lvlText w:val="%1"/>
      <w:numFmt w:val="lowerLetter"/>
      <w:start w:val="1"/>
    </w:lvl>
    <w:lvl w:ilvl="1">
      <w:lvlJc w:val="left"/>
      <w:lvlText w:val="(%2)"/>
      <w:numFmt w:val="lowerRoman"/>
      <w:start w:val="3"/>
    </w:lvl>
  </w:abstractNum>
  <w:abstractNum w:abstractNumId="322">
    <w:nsid w:val="59F0446"/>
    <w:multiLevelType w:val="hybridMultilevel"/>
    <w:lvl w:ilvl="0">
      <w:lvlJc w:val="left"/>
      <w:lvlText w:val="(%1)"/>
      <w:numFmt w:val="lowerLetter"/>
      <w:start w:val="3"/>
    </w:lvl>
    <w:lvl w:ilvl="1">
      <w:lvlJc w:val="left"/>
      <w:lvlText w:val="(%2)"/>
      <w:numFmt w:val="lowerRoman"/>
      <w:start w:val="1"/>
    </w:lvl>
  </w:abstractNum>
  <w:abstractNum w:abstractNumId="323">
    <w:nsid w:val="30DF306"/>
    <w:multiLevelType w:val="hybridMultilevel"/>
    <w:lvl w:ilvl="0">
      <w:lvlJc w:val="left"/>
      <w:lvlText w:val="%1"/>
      <w:numFmt w:val="lowerLetter"/>
      <w:start w:val="1"/>
    </w:lvl>
    <w:lvl w:ilvl="1">
      <w:lvlJc w:val="left"/>
      <w:lvlText w:val="(%2)"/>
      <w:numFmt w:val="lowerRoman"/>
      <w:start w:val="1"/>
    </w:lvl>
  </w:abstractNum>
  <w:abstractNum w:abstractNumId="324">
    <w:nsid w:val="A65647"/>
    <w:multiLevelType w:val="hybridMultilevel"/>
    <w:lvl w:ilvl="0">
      <w:lvlJc w:val="left"/>
      <w:lvlText w:val="(%1)"/>
      <w:numFmt w:val="lowerLetter"/>
      <w:start w:val="5"/>
    </w:lvl>
    <w:lvl w:ilvl="1">
      <w:lvlJc w:val="left"/>
      <w:lvlText w:val="(%2)"/>
      <w:numFmt w:val="lowerRoman"/>
      <w:start w:val="1"/>
    </w:lvl>
  </w:abstractNum>
  <w:abstractNum w:abstractNumId="325">
    <w:nsid w:val="3E5E582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26">
    <w:nsid w:val="257D4626"/>
    <w:multiLevelType w:val="hybridMultilevel"/>
    <w:lvl w:ilvl="0">
      <w:lvlJc w:val="left"/>
      <w:lvlText w:val="(%1)"/>
      <w:numFmt w:val="lowerLetter"/>
      <w:start w:val="1"/>
    </w:lvl>
  </w:abstractNum>
  <w:abstractNum w:abstractNumId="327">
    <w:nsid w:val="5AA8580E"/>
    <w:multiLevelType w:val="hybridMultilevel"/>
    <w:lvl w:ilvl="0">
      <w:lvlJc w:val="left"/>
      <w:lvlText w:val="(%1)"/>
      <w:numFmt w:val="lowerLetter"/>
      <w:start w:val="1"/>
    </w:lvl>
  </w:abstractNum>
  <w:abstractNum w:abstractNumId="328">
    <w:nsid w:val="68FA8D0D"/>
    <w:multiLevelType w:val="hybridMultilevel"/>
    <w:lvl w:ilvl="0">
      <w:lvlJc w:val="left"/>
      <w:lvlText w:val="(%1)"/>
      <w:numFmt w:val="lowerLetter"/>
      <w:start w:val="1"/>
    </w:lvl>
  </w:abstractNum>
  <w:abstractNum w:abstractNumId="329">
    <w:nsid w:val="40F2CBD2"/>
    <w:multiLevelType w:val="hybridMultilevel"/>
    <w:lvl w:ilvl="0">
      <w:lvlJc w:val="left"/>
      <w:lvlText w:val="(%1)"/>
      <w:numFmt w:val="lowerLetter"/>
      <w:start w:val="7"/>
    </w:lvl>
  </w:abstractNum>
  <w:abstractNum w:abstractNumId="330">
    <w:nsid w:val="3BD615EB"/>
    <w:multiLevelType w:val="hybridMultilevel"/>
    <w:lvl w:ilvl="0">
      <w:lvlJc w:val="left"/>
      <w:lvlText w:val="(%1)"/>
      <w:numFmt w:val="lowerLetter"/>
      <w:start w:val="1"/>
    </w:lvl>
  </w:abstractNum>
  <w:abstractNum w:abstractNumId="331">
    <w:nsid w:val="A045AB2"/>
    <w:multiLevelType w:val="hybridMultilevel"/>
    <w:lvl w:ilvl="0">
      <w:lvlJc w:val="left"/>
      <w:lvlText w:val="(%1)"/>
      <w:numFmt w:val="lowerLetter"/>
      <w:start w:val="2"/>
    </w:lvl>
  </w:abstractNum>
  <w:abstractNum w:abstractNumId="332">
    <w:nsid w:val="1872261F"/>
    <w:multiLevelType w:val="hybridMultilevel"/>
    <w:lvl w:ilvl="0">
      <w:lvlJc w:val="left"/>
      <w:lvlText w:val="(%1)"/>
      <w:numFmt w:val="lowerLetter"/>
      <w:start w:val="1"/>
    </w:lvl>
  </w:abstractNum>
  <w:abstractNum w:abstractNumId="333">
    <w:nsid w:val="3DE8306C"/>
    <w:multiLevelType w:val="hybridMultilevel"/>
    <w:lvl w:ilvl="0">
      <w:lvlJc w:val="left"/>
      <w:lvlText w:val="(%1)"/>
      <w:numFmt w:val="lowerLetter"/>
      <w:start w:val="3"/>
    </w:lvl>
  </w:abstractNum>
  <w:abstractNum w:abstractNumId="334">
    <w:nsid w:val="7631573A"/>
    <w:multiLevelType w:val="hybridMultilevel"/>
    <w:lvl w:ilvl="0">
      <w:lvlJc w:val="left"/>
      <w:lvlText w:val="(%1)"/>
      <w:numFmt w:val="lowerLetter"/>
      <w:start w:val="1"/>
    </w:lvl>
  </w:abstractNum>
  <w:abstractNum w:abstractNumId="335">
    <w:nsid w:val="58DF53B"/>
    <w:multiLevelType w:val="hybridMultilevel"/>
    <w:lvl w:ilvl="0">
      <w:lvlJc w:val="left"/>
      <w:lvlText w:val="(%1)"/>
      <w:numFmt w:val="lowerLetter"/>
      <w:start w:val="5"/>
    </w:lvl>
  </w:abstractNum>
  <w:abstractNum w:abstractNumId="336">
    <w:nsid w:val="ACDFAC0"/>
    <w:multiLevelType w:val="hybridMultilevel"/>
    <w:lvl w:ilvl="0">
      <w:lvlJc w:val="left"/>
      <w:lvlText w:val="(%1)"/>
      <w:numFmt w:val="lowerLetter"/>
      <w:start w:val="1"/>
    </w:lvl>
  </w:abstractNum>
  <w:abstractNum w:abstractNumId="337">
    <w:nsid w:val="1F578454"/>
    <w:multiLevelType w:val="hybridMultilevel"/>
    <w:lvl w:ilvl="0">
      <w:lvlJc w:val="left"/>
      <w:lvlText w:val="(%1)"/>
      <w:numFmt w:val="lowerLetter"/>
      <w:start w:val="3"/>
    </w:lvl>
  </w:abstractNum>
  <w:abstractNum w:abstractNumId="338">
    <w:nsid w:val="5B0DAD2A"/>
    <w:multiLevelType w:val="hybridMultilevel"/>
    <w:lvl w:ilvl="0">
      <w:lvlJc w:val="left"/>
      <w:lvlText w:val="(%1)"/>
      <w:numFmt w:val="lowerLetter"/>
      <w:start w:val="1"/>
    </w:lvl>
  </w:abstractNum>
  <w:abstractNum w:abstractNumId="339">
    <w:nsid w:val="4E3D26AB"/>
    <w:multiLevelType w:val="hybridMultilevel"/>
    <w:lvl w:ilvl="0">
      <w:lvlJc w:val="left"/>
      <w:lvlText w:val="(%1)"/>
      <w:numFmt w:val="lowerLetter"/>
      <w:start w:val="2"/>
    </w:lvl>
  </w:abstractNum>
  <w:abstractNum w:abstractNumId="340">
    <w:nsid w:val="BE2C8BA"/>
    <w:multiLevelType w:val="hybridMultilevel"/>
    <w:lvl w:ilvl="0">
      <w:lvlJc w:val="left"/>
      <w:lvlText w:val="(%1)"/>
      <w:numFmt w:val="lowerLetter"/>
      <w:start w:val="1"/>
    </w:lvl>
  </w:abstractNum>
  <w:abstractNum w:abstractNumId="341">
    <w:nsid w:val="7B14914E"/>
    <w:multiLevelType w:val="hybridMultilevel"/>
    <w:lvl w:ilvl="0">
      <w:lvlJc w:val="left"/>
      <w:lvlText w:val="(%1)"/>
      <w:numFmt w:val="lowerLetter"/>
      <w:start w:val="1"/>
    </w:lvl>
  </w:abstractNum>
  <w:abstractNum w:abstractNumId="342">
    <w:nsid w:val="6F0939F8"/>
    <w:multiLevelType w:val="hybridMultilevel"/>
    <w:lvl w:ilvl="0">
      <w:lvlJc w:val="left"/>
      <w:lvlText w:val="(%1)"/>
      <w:numFmt w:val="lowerLetter"/>
      <w:start w:val="2"/>
    </w:lvl>
  </w:abstractNum>
  <w:abstractNum w:abstractNumId="343">
    <w:nsid w:val="154291F6"/>
    <w:multiLevelType w:val="hybridMultilevel"/>
    <w:lvl w:ilvl="0">
      <w:lvlJc w:val="left"/>
      <w:lvlText w:val="%1"/>
      <w:numFmt w:val="lowerLetter"/>
      <w:start w:val="1"/>
    </w:lvl>
    <w:lvl w:ilvl="1">
      <w:lvlJc w:val="left"/>
      <w:lvlText w:val="(%2)"/>
      <w:numFmt w:val="lowerLetter"/>
      <w:start w:val="1"/>
    </w:lvl>
  </w:abstractNum>
  <w:abstractNum w:abstractNumId="344">
    <w:nsid w:val="3CEBD7C7"/>
    <w:multiLevelType w:val="hybridMultilevel"/>
    <w:lvl w:ilvl="0">
      <w:lvlJc w:val="left"/>
      <w:lvlText w:val="(%1)"/>
      <w:numFmt w:val="lowerLetter"/>
      <w:start w:val="35"/>
    </w:lvl>
    <w:lvl w:ilvl="1">
      <w:lvlJc w:val="left"/>
      <w:lvlText w:val="%2"/>
      <w:numFmt w:val="lowerLetter"/>
      <w:start w:val="1"/>
    </w:lvl>
  </w:abstractNum>
  <w:abstractNum w:abstractNumId="345">
    <w:nsid w:val="60EE9C16"/>
    <w:multiLevelType w:val="hybridMultilevel"/>
    <w:lvl w:ilvl="0">
      <w:lvlJc w:val="left"/>
      <w:lvlText w:val="(%1)"/>
      <w:numFmt w:val="lowerLetter"/>
      <w:start w:val="1"/>
    </w:lvl>
  </w:abstractNum>
  <w:abstractNum w:abstractNumId="346">
    <w:nsid w:val="6385489E"/>
    <w:multiLevelType w:val="hybridMultilevel"/>
    <w:lvl w:ilvl="0">
      <w:lvlJc w:val="left"/>
      <w:lvlText w:val="(%1)"/>
      <w:numFmt w:val="lowerLetter"/>
      <w:start w:val="4"/>
    </w:lvl>
  </w:abstractNum>
  <w:abstractNum w:abstractNumId="347">
    <w:nsid w:val="E4B973"/>
    <w:multiLevelType w:val="hybridMultilevel"/>
    <w:lvl w:ilvl="0">
      <w:lvlJc w:val="left"/>
      <w:lvlText w:val="(%1)"/>
      <w:numFmt w:val="lowerLetter"/>
      <w:start w:val="9"/>
    </w:lvl>
  </w:abstractNum>
  <w:abstractNum w:abstractNumId="348">
    <w:nsid w:val="4A0FFA11"/>
    <w:multiLevelType w:val="hybridMultilevel"/>
    <w:lvl w:ilvl="0">
      <w:lvlJc w:val="left"/>
      <w:lvlText w:val="(%1)"/>
      <w:numFmt w:val="lowerLetter"/>
      <w:start w:val="15"/>
    </w:lvl>
    <w:lvl w:ilvl="1">
      <w:lvlJc w:val="left"/>
      <w:lvlText w:val="(%2)"/>
      <w:numFmt w:val="lowerLetter"/>
      <w:start w:val="16"/>
    </w:lvl>
  </w:abstractNum>
  <w:abstractNum w:abstractNumId="349">
    <w:nsid w:val="5E446208"/>
    <w:multiLevelType w:val="hybridMultilevel"/>
    <w:lvl w:ilvl="0">
      <w:lvlJc w:val="left"/>
      <w:lvlText w:val="(%1)"/>
      <w:numFmt w:val="lowerLetter"/>
      <w:start w:val="1"/>
    </w:lvl>
  </w:abstractNum>
  <w:abstractNum w:abstractNumId="350">
    <w:nsid w:val="5F3272DB"/>
    <w:multiLevelType w:val="hybridMultilevel"/>
    <w:lvl w:ilvl="0">
      <w:lvlJc w:val="left"/>
      <w:lvlText w:val="%1"/>
      <w:numFmt w:val="lowerLetter"/>
      <w:start w:val="1"/>
    </w:lvl>
    <w:lvl w:ilvl="1">
      <w:lvlJc w:val="left"/>
      <w:lvlText w:val="(%2)"/>
      <w:numFmt w:val="lowerLetter"/>
      <w:start w:val="4"/>
    </w:lvl>
  </w:abstractNum>
  <w:abstractNum w:abstractNumId="351">
    <w:nsid w:val="7616D704"/>
    <w:multiLevelType w:val="hybridMultilevel"/>
    <w:lvl w:ilvl="0">
      <w:lvlJc w:val="left"/>
      <w:lvlText w:val="(%1)"/>
      <w:numFmt w:val="lowerLetter"/>
      <w:start w:val="35"/>
    </w:lvl>
    <w:lvl w:ilvl="1">
      <w:lvlJc w:val="left"/>
      <w:lvlText w:val="(%2)"/>
      <w:numFmt w:val="lowerLetter"/>
      <w:start w:val="6"/>
    </w:lvl>
  </w:abstractNum>
  <w:abstractNum w:abstractNumId="352">
    <w:nsid w:val="C56F860"/>
    <w:multiLevelType w:val="hybridMultilevel"/>
    <w:lvl w:ilvl="0">
      <w:lvlJc w:val="left"/>
      <w:lvlText w:val="(%1)"/>
      <w:numFmt w:val="lowerLetter"/>
      <w:start w:val="12"/>
    </w:lvl>
  </w:abstractNum>
  <w:abstractNum w:abstractNumId="353">
    <w:nsid w:val="64D17722"/>
    <w:multiLevelType w:val="hybridMultilevel"/>
    <w:lvl w:ilvl="0">
      <w:lvlJc w:val="left"/>
      <w:lvlText w:val="(%1)"/>
      <w:numFmt w:val="lowerLetter"/>
      <w:start w:val="1"/>
    </w:lvl>
    <w:lvl w:ilvl="1">
      <w:lvlJc w:val="left"/>
      <w:lvlText w:val="(%2)"/>
      <w:numFmt w:val="lowerLetter"/>
      <w:start w:val="9"/>
    </w:lvl>
  </w:abstractNum>
  <w:abstractNum w:abstractNumId="354">
    <w:nsid w:val="7924CA0A"/>
    <w:multiLevelType w:val="hybridMultilevel"/>
    <w:lvl w:ilvl="0">
      <w:lvlJc w:val="left"/>
      <w:lvlText w:val="%1"/>
      <w:numFmt w:val="lowerLetter"/>
      <w:start w:val="1"/>
    </w:lvl>
    <w:lvl w:ilvl="1">
      <w:lvlJc w:val="left"/>
      <w:lvlText w:val="(%2)"/>
      <w:numFmt w:val="lowerLetter"/>
      <w:start w:val="35"/>
    </w:lvl>
  </w:abstractNum>
  <w:abstractNum w:abstractNumId="355">
    <w:nsid w:val="CFD4EA7"/>
    <w:multiLevelType w:val="hybridMultilevel"/>
    <w:lvl w:ilvl="0">
      <w:lvlJc w:val="left"/>
      <w:lvlText w:val="(%1)"/>
      <w:numFmt w:val="lowerLetter"/>
      <w:start w:val="14"/>
    </w:lvl>
    <w:lvl w:ilvl="1">
      <w:lvlJc w:val="left"/>
      <w:lvlText w:val="%2"/>
      <w:numFmt w:val="lowerLetter"/>
      <w:start w:val="1"/>
    </w:lvl>
  </w:abstractNum>
  <w:abstractNum w:abstractNumId="356">
    <w:nsid w:val="232FCF4D"/>
    <w:multiLevelType w:val="hybridMultilevel"/>
    <w:lvl w:ilvl="0">
      <w:lvlJc w:val="left"/>
      <w:lvlText w:val="(%1)"/>
      <w:numFmt w:val="lowerLetter"/>
      <w:start w:val="1"/>
    </w:lvl>
  </w:abstractNum>
  <w:abstractNum w:abstractNumId="357">
    <w:nsid w:val="1EA21031"/>
    <w:multiLevelType w:val="hybridMultilevel"/>
    <w:lvl w:ilvl="0">
      <w:lvlJc w:val="left"/>
      <w:lvlText w:val="(%1)"/>
      <w:numFmt w:val="lowerLetter"/>
      <w:start w:val="1"/>
    </w:lvl>
  </w:abstractNum>
  <w:abstractNum w:abstractNumId="358">
    <w:nsid w:val="67A5A6B5"/>
    <w:multiLevelType w:val="hybridMultilevel"/>
    <w:lvl w:ilvl="0">
      <w:lvlJc w:val="left"/>
      <w:lvlText w:val="(%1)"/>
      <w:numFmt w:val="lowerLetter"/>
      <w:start w:val="7"/>
    </w:lvl>
  </w:abstractNum>
  <w:abstractNum w:abstractNumId="359">
    <w:nsid w:val="C2A5C5B"/>
    <w:multiLevelType w:val="hybridMultilevel"/>
    <w:lvl w:ilvl="0">
      <w:lvlJc w:val="left"/>
      <w:lvlText w:val="(%1)"/>
      <w:numFmt w:val="lowerLetter"/>
      <w:start w:val="1"/>
    </w:lvl>
  </w:abstractNum>
  <w:abstractNum w:abstractNumId="360">
    <w:nsid w:val="5F94DC03"/>
    <w:multiLevelType w:val="hybridMultilevel"/>
    <w:lvl w:ilvl="0">
      <w:lvlJc w:val="left"/>
      <w:lvlText w:val="(%1)"/>
      <w:numFmt w:val="lowerLetter"/>
      <w:start w:val="6"/>
    </w:lvl>
  </w:abstractNum>
  <w:abstractNum w:abstractNumId="361">
    <w:nsid w:val="237BBCA0"/>
    <w:multiLevelType w:val="hybridMultilevel"/>
    <w:lvl w:ilvl="0">
      <w:lvlJc w:val="left"/>
      <w:lvlText w:val="(%1)"/>
      <w:numFmt w:val="lowerLetter"/>
      <w:start w:val="1"/>
    </w:lvl>
  </w:abstractNum>
  <w:abstractNum w:abstractNumId="362">
    <w:nsid w:val="162EB70D"/>
    <w:multiLevelType w:val="hybridMultilevel"/>
    <w:lvl w:ilvl="0">
      <w:lvlJc w:val="left"/>
      <w:lvlText w:val="(%1)"/>
      <w:numFmt w:val="lowerLetter"/>
      <w:start w:val="7"/>
    </w:lvl>
  </w:abstractNum>
  <w:abstractNum w:abstractNumId="363">
    <w:nsid w:val="78070222"/>
    <w:multiLevelType w:val="hybridMultilevel"/>
    <w:lvl w:ilvl="0">
      <w:lvlJc w:val="left"/>
      <w:lvlText w:val="(%1)"/>
      <w:numFmt w:val="lowerLetter"/>
      <w:start w:val="1"/>
    </w:lvl>
  </w:abstractNum>
  <w:abstractNum w:abstractNumId="364">
    <w:nsid w:val="6163ED0D"/>
    <w:multiLevelType w:val="hybridMultilevel"/>
    <w:lvl w:ilvl="0">
      <w:lvlJc w:val="left"/>
      <w:lvlText w:val="(%1)"/>
      <w:numFmt w:val="lowerLetter"/>
      <w:start w:val="1"/>
    </w:lvl>
    <w:lvl w:ilvl="1">
      <w:lvlJc w:val="left"/>
      <w:lvlText w:val="(%2)"/>
      <w:numFmt w:val="lowerRoman"/>
      <w:start w:val="1"/>
    </w:lvl>
  </w:abstractNum>
  <w:abstractNum w:abstractNumId="365">
    <w:nsid w:val="C600E47"/>
    <w:multiLevelType w:val="hybridMultilevel"/>
    <w:lvl w:ilvl="0">
      <w:lvlJc w:val="left"/>
      <w:lvlText w:val="(%1)"/>
      <w:numFmt w:val="lowerRoman"/>
      <w:start w:val="5"/>
    </w:lvl>
  </w:abstractNum>
  <w:abstractNum w:abstractNumId="366">
    <w:nsid w:val="7D94F75D"/>
    <w:multiLevelType w:val="hybridMultilevel"/>
    <w:lvl w:ilvl="0">
      <w:lvlJc w:val="left"/>
      <w:lvlText w:val="(%1)"/>
      <w:numFmt w:val="lowerLetter"/>
      <w:start w:val="1"/>
    </w:lvl>
  </w:abstractNum>
  <w:abstractNum w:abstractNumId="367">
    <w:nsid w:val="6C31E7CD"/>
    <w:multiLevelType w:val="hybridMultilevel"/>
    <w:lvl w:ilvl="0">
      <w:lvlJc w:val="left"/>
      <w:lvlText w:val="(%1)"/>
      <w:numFmt w:val="lowerLetter"/>
      <w:start w:val="1"/>
    </w:lvl>
  </w:abstractNum>
  <w:abstractNum w:abstractNumId="368">
    <w:nsid w:val="2BB7929B"/>
    <w:multiLevelType w:val="hybridMultilevel"/>
    <w:lvl w:ilvl="0">
      <w:lvlJc w:val="left"/>
      <w:lvlText w:val="(%1)"/>
      <w:numFmt w:val="lowerLetter"/>
      <w:start w:val="1"/>
    </w:lvl>
  </w:abstractNum>
  <w:abstractNum w:abstractNumId="369">
    <w:nsid w:val="58A2A487"/>
    <w:multiLevelType w:val="hybridMultilevel"/>
    <w:lvl w:ilvl="0">
      <w:lvlJc w:val="left"/>
      <w:lvlText w:val="(%1)"/>
      <w:numFmt w:val="lowerLetter"/>
      <w:start w:val="7"/>
    </w:lvl>
  </w:abstractNum>
  <w:abstractNum w:abstractNumId="370">
    <w:nsid w:val="3A6F0E78"/>
    <w:multiLevelType w:val="hybridMultilevel"/>
    <w:lvl w:ilvl="0">
      <w:lvlJc w:val="left"/>
      <w:lvlText w:val="(%1)"/>
      <w:numFmt w:val="lowerLetter"/>
      <w:start w:val="13"/>
    </w:lvl>
  </w:abstractNum>
  <w:abstractNum w:abstractNumId="371">
    <w:nsid w:val="379A5B56"/>
    <w:multiLevelType w:val="hybridMultilevel"/>
    <w:lvl w:ilvl="0">
      <w:lvlJc w:val="left"/>
      <w:lvlText w:val="(%1)"/>
      <w:numFmt w:val="lowerLetter"/>
      <w:start w:val="1"/>
    </w:lvl>
  </w:abstractNum>
  <w:abstractNum w:abstractNumId="372">
    <w:nsid w:val="53B735D5"/>
    <w:multiLevelType w:val="hybridMultilevel"/>
    <w:lvl w:ilvl="0">
      <w:lvlJc w:val="left"/>
      <w:lvlText w:val="(%1)"/>
      <w:numFmt w:val="lowerLetter"/>
      <w:start w:val="3"/>
    </w:lvl>
  </w:abstractNum>
  <w:abstractNum w:abstractNumId="373">
    <w:nsid w:val="29784870"/>
    <w:multiLevelType w:val="hybridMultilevel"/>
    <w:lvl w:ilvl="0">
      <w:lvlJc w:val="left"/>
      <w:lvlText w:val="%1"/>
      <w:numFmt w:val="lowerRoman"/>
      <w:start w:val="1"/>
    </w:lvl>
    <w:lvl w:ilvl="1">
      <w:lvlJc w:val="left"/>
      <w:lvlText w:val="(%2)"/>
      <w:numFmt w:val="lowerLetter"/>
      <w:start w:val="1"/>
    </w:lvl>
  </w:abstractNum>
  <w:abstractNum w:abstractNumId="374">
    <w:nsid w:val="4CDCED4C"/>
    <w:multiLevelType w:val="hybridMultilevel"/>
    <w:lvl w:ilvl="0">
      <w:lvlJc w:val="left"/>
      <w:lvlText w:val="(%1)"/>
      <w:numFmt w:val="lowerRoman"/>
      <w:start w:val="4"/>
    </w:lvl>
    <w:lvl w:ilvl="1">
      <w:lvlJc w:val="left"/>
      <w:lvlText w:val="%2"/>
      <w:numFmt w:val="lowerLetter"/>
      <w:start w:val="1"/>
    </w:lvl>
  </w:abstractNum>
  <w:abstractNum w:abstractNumId="375">
    <w:nsid w:val="10A30D9C"/>
    <w:multiLevelType w:val="hybridMultilevel"/>
    <w:lvl w:ilvl="0">
      <w:lvlJc w:val="left"/>
      <w:lvlText w:val="(%1)"/>
      <w:numFmt w:val="lowerLetter"/>
      <w:start w:val="1"/>
    </w:lvl>
  </w:abstractNum>
  <w:abstractNum w:abstractNumId="376">
    <w:nsid w:val="A66E486"/>
    <w:multiLevelType w:val="hybridMultilevel"/>
    <w:lvl w:ilvl="0">
      <w:lvlJc w:val="left"/>
      <w:lvlText w:val="(%1)"/>
      <w:numFmt w:val="lowerLetter"/>
      <w:start w:val="1"/>
    </w:lvl>
  </w:abstractNum>
  <w:abstractNum w:abstractNumId="377">
    <w:nsid w:val="306235EA"/>
    <w:multiLevelType w:val="hybridMultilevel"/>
    <w:lvl w:ilvl="0">
      <w:lvlJc w:val="left"/>
      <w:lvlText w:val="(%1)"/>
      <w:numFmt w:val="lowerLetter"/>
      <w:start w:val="2"/>
    </w:lvl>
  </w:abstractNum>
  <w:abstractNum w:abstractNumId="378">
    <w:nsid w:val="1187C70F"/>
    <w:multiLevelType w:val="hybridMultilevel"/>
    <w:lvl w:ilvl="0">
      <w:lvlJc w:val="left"/>
      <w:lvlText w:val="(%1)"/>
      <w:numFmt w:val="lowerLetter"/>
      <w:start w:val="1"/>
    </w:lvl>
  </w:abstractNum>
  <w:abstractNum w:abstractNumId="379">
    <w:nsid w:val="5476DE98"/>
    <w:multiLevelType w:val="hybridMultilevel"/>
    <w:lvl w:ilvl="0">
      <w:lvlJc w:val="left"/>
      <w:lvlText w:val="(%1)"/>
      <w:numFmt w:val="lowerLetter"/>
      <w:start w:val="4"/>
    </w:lvl>
  </w:abstractNum>
  <w:abstractNum w:abstractNumId="380">
    <w:nsid w:val="EA697F2"/>
    <w:multiLevelType w:val="hybridMultilevel"/>
    <w:lvl w:ilvl="0">
      <w:lvlJc w:val="left"/>
      <w:lvlText w:val="(%1)"/>
      <w:numFmt w:val="lowerLetter"/>
      <w:start w:val="1"/>
    </w:lvl>
    <w:lvl w:ilvl="1">
      <w:lvlJc w:val="left"/>
      <w:lvlText w:val="(%2)"/>
      <w:numFmt w:val="lowerRoman"/>
      <w:start w:val="1"/>
    </w:lvl>
  </w:abstractNum>
  <w:abstractNum w:abstractNumId="381">
    <w:nsid w:val="70BA39EB"/>
    <w:multiLevelType w:val="hybridMultilevel"/>
    <w:lvl w:ilvl="0">
      <w:lvlJc w:val="left"/>
      <w:lvlText w:val="%1"/>
      <w:numFmt w:val="lowerLetter"/>
      <w:start w:val="1"/>
    </w:lvl>
    <w:lvl w:ilvl="1">
      <w:lvlJc w:val="left"/>
      <w:lvlText w:val="(%2)"/>
      <w:numFmt w:val="lowerRoman"/>
      <w:start w:val="4"/>
    </w:lvl>
  </w:abstractNum>
  <w:abstractNum w:abstractNumId="382">
    <w:nsid w:val="4A8DB59C"/>
    <w:multiLevelType w:val="hybridMultilevel"/>
    <w:lvl w:ilvl="0">
      <w:lvlJc w:val="left"/>
      <w:lvlText w:val="(%1)"/>
      <w:numFmt w:val="lowerLetter"/>
      <w:start w:val="2"/>
    </w:lvl>
    <w:lvl w:ilvl="1">
      <w:lvlJc w:val="left"/>
      <w:lvlText w:val="%2"/>
      <w:numFmt w:val="lowerRoman"/>
      <w:start w:val="1"/>
    </w:lvl>
  </w:abstractNum>
  <w:abstractNum w:abstractNumId="383">
    <w:nsid w:val="1AFD9053"/>
    <w:multiLevelType w:val="hybridMultilevel"/>
    <w:lvl w:ilvl="0">
      <w:lvlJc w:val="left"/>
      <w:lvlText w:val="(%1)"/>
      <w:numFmt w:val="lowerLetter"/>
      <w:start w:val="1"/>
    </w:lvl>
  </w:abstractNum>
  <w:abstractNum w:abstractNumId="384">
    <w:nsid w:val="558BB10D"/>
    <w:multiLevelType w:val="hybridMultilevel"/>
    <w:lvl w:ilvl="0">
      <w:lvlJc w:val="left"/>
      <w:lvlText w:val="(%1)"/>
      <w:numFmt w:val="lowerLetter"/>
      <w:start w:val="2"/>
    </w:lvl>
  </w:abstractNum>
  <w:abstractNum w:abstractNumId="385">
    <w:nsid w:val="43B27FA7"/>
    <w:multiLevelType w:val="hybridMultilevel"/>
    <w:lvl w:ilvl="0">
      <w:lvlJc w:val="left"/>
      <w:lvlText w:val="(%1)"/>
      <w:numFmt w:val="lowerLetter"/>
      <w:start w:val="4"/>
    </w:lvl>
  </w:abstractNum>
  <w:abstractNum w:abstractNumId="386">
    <w:nsid w:val="27FADEFA"/>
    <w:multiLevelType w:val="hybridMultilevel"/>
    <w:lvl w:ilvl="0">
      <w:lvlJc w:val="left"/>
      <w:lvlText w:val="(%1)"/>
      <w:numFmt w:val="lowerLetter"/>
      <w:start w:val="1"/>
    </w:lvl>
  </w:abstractNum>
  <w:abstractNum w:abstractNumId="387">
    <w:nsid w:val="78BB805A"/>
    <w:multiLevelType w:val="hybridMultilevel"/>
    <w:lvl w:ilvl="0">
      <w:lvlJc w:val="left"/>
      <w:lvlText w:val="(%1)"/>
      <w:numFmt w:val="lowerRoman"/>
      <w:start w:val="1"/>
    </w:lvl>
  </w:abstractNum>
  <w:abstractNum w:abstractNumId="388">
    <w:nsid w:val="62548FD8"/>
    <w:multiLevelType w:val="hybridMultilevel"/>
    <w:lvl w:ilvl="0">
      <w:lvlJc w:val="left"/>
      <w:lvlText w:val="(%1)"/>
      <w:numFmt w:val="lowerLetter"/>
      <w:start w:val="2"/>
    </w:lvl>
  </w:abstractNum>
  <w:abstractNum w:abstractNumId="389">
    <w:nsid w:val="FA085B0"/>
    <w:multiLevelType w:val="hybridMultilevel"/>
    <w:lvl w:ilvl="0">
      <w:lvlJc w:val="left"/>
      <w:lvlText w:val="(%1)"/>
      <w:numFmt w:val="lowerLetter"/>
      <w:start w:val="1"/>
    </w:lvl>
    <w:lvl w:ilvl="1">
      <w:lvlJc w:val="left"/>
      <w:lvlText w:val="(%2)"/>
      <w:numFmt w:val="lowerRoman"/>
      <w:start w:val="1"/>
    </w:lvl>
  </w:abstractNum>
  <w:abstractNum w:abstractNumId="390">
    <w:nsid w:val="4E5DCB5"/>
    <w:multiLevelType w:val="hybridMultilevel"/>
    <w:lvl w:ilvl="0">
      <w:lvlJc w:val="left"/>
      <w:lvlText w:val="%1"/>
      <w:numFmt w:val="lowerLetter"/>
      <w:start w:val="1"/>
    </w:lvl>
    <w:lvl w:ilvl="1">
      <w:lvlJc w:val="left"/>
      <w:lvlText w:val="(%2)"/>
      <w:numFmt w:val="lowerRoman"/>
      <w:start w:val="4"/>
    </w:lvl>
  </w:abstractNum>
  <w:abstractNum w:abstractNumId="391">
    <w:nsid w:val="41E96BDB"/>
    <w:multiLevelType w:val="hybridMultilevel"/>
    <w:lvl w:ilvl="0">
      <w:lvlJc w:val="left"/>
      <w:lvlText w:val="(%1)"/>
      <w:numFmt w:val="lowerLetter"/>
      <w:start w:val="2"/>
    </w:lvl>
    <w:lvl w:ilvl="1">
      <w:lvlJc w:val="left"/>
      <w:lvlText w:val="%2"/>
      <w:numFmt w:val="lowerRoman"/>
      <w:start w:val="1"/>
    </w:lvl>
  </w:abstractNum>
  <w:abstractNum w:abstractNumId="392">
    <w:nsid w:val="331C4250"/>
    <w:multiLevelType w:val="hybridMultilevel"/>
    <w:lvl w:ilvl="0">
      <w:lvlJc w:val="left"/>
      <w:lvlText w:val="(%1)"/>
      <w:numFmt w:val="lowerLetter"/>
      <w:start w:val="1"/>
    </w:lvl>
  </w:abstractNum>
  <w:abstractNum w:abstractNumId="393">
    <w:nsid w:val="1B1493C2"/>
    <w:multiLevelType w:val="hybridMultilevel"/>
    <w:lvl w:ilvl="0">
      <w:lvlJc w:val="left"/>
      <w:lvlText w:val="(%1)"/>
      <w:numFmt w:val="lowerLetter"/>
      <w:start w:val="9"/>
    </w:lvl>
    <w:lvl w:ilvl="1">
      <w:lvlJc w:val="left"/>
      <w:lvlText w:val="(%2)"/>
      <w:numFmt w:val="lowerLetter"/>
      <w:start w:val="2"/>
    </w:lvl>
  </w:abstractNum>
  <w:abstractNum w:abstractNumId="394">
    <w:nsid w:val="39F06DFD"/>
    <w:multiLevelType w:val="hybridMultilevel"/>
    <w:lvl w:ilvl="0">
      <w:lvlJc w:val="left"/>
      <w:lvlText w:val="(%1)"/>
      <w:numFmt w:val="lowerLetter"/>
      <w:start w:val="5"/>
    </w:lvl>
  </w:abstractNum>
  <w:abstractNum w:abstractNumId="395">
    <w:nsid w:val="14802F5D"/>
    <w:multiLevelType w:val="hybridMultilevel"/>
    <w:lvl w:ilvl="0">
      <w:lvlJc w:val="left"/>
      <w:lvlText w:val="(%1)"/>
      <w:numFmt w:val="lowerLetter"/>
      <w:start w:val="1"/>
    </w:lvl>
  </w:abstractNum>
  <w:abstractNum w:abstractNumId="396">
    <w:nsid w:val="2774A209"/>
    <w:multiLevelType w:val="hybridMultilevel"/>
    <w:lvl w:ilvl="0">
      <w:lvlJc w:val="left"/>
      <w:lvlText w:val="(%1)"/>
      <w:numFmt w:val="lowerLetter"/>
      <w:start w:val="2"/>
    </w:lvl>
    <w:lvl w:ilvl="1">
      <w:lvlJc w:val="left"/>
      <w:lvlText w:val="(%2)"/>
      <w:numFmt w:val="lowerLetter"/>
      <w:start w:val="9"/>
    </w:lvl>
  </w:abstractNum>
  <w:abstractNum w:abstractNumId="397">
    <w:nsid w:val="3785655A"/>
    <w:multiLevelType w:val="hybridMultilevel"/>
    <w:lvl w:ilvl="0">
      <w:lvlJc w:val="left"/>
      <w:lvlText w:val="%1"/>
      <w:numFmt w:val="lowerLetter"/>
      <w:start w:val="1"/>
    </w:lvl>
    <w:lvl w:ilvl="1">
      <w:lvlJc w:val="left"/>
      <w:lvlText w:val="(%2)"/>
      <w:numFmt w:val="lowerLetter"/>
      <w:start w:val="35"/>
    </w:lvl>
  </w:abstractNum>
  <w:abstractNum w:abstractNumId="398">
    <w:nsid w:val="B2172A"/>
    <w:multiLevelType w:val="hybridMultilevel"/>
    <w:lvl w:ilvl="0">
      <w:lvlJc w:val="left"/>
      <w:lvlText w:val="(%1)"/>
      <w:numFmt w:val="lowerLetter"/>
      <w:start w:val="6"/>
    </w:lvl>
    <w:lvl w:ilvl="1">
      <w:lvlJc w:val="left"/>
      <w:lvlText w:val="%2"/>
      <w:numFmt w:val="lowerLetter"/>
      <w:start w:val="1"/>
    </w:lvl>
  </w:abstractNum>
  <w:abstractNum w:abstractNumId="399">
    <w:nsid w:val="532C34A5"/>
    <w:multiLevelType w:val="hybridMultilevel"/>
    <w:lvl w:ilvl="0">
      <w:lvlJc w:val="left"/>
      <w:lvlText w:val="(%1)"/>
      <w:numFmt w:val="lowerLetter"/>
      <w:start w:val="1"/>
    </w:lvl>
  </w:abstractNum>
  <w:abstractNum w:abstractNumId="400">
    <w:nsid w:val="102809E2"/>
    <w:multiLevelType w:val="hybridMultilevel"/>
    <w:lvl w:ilvl="0">
      <w:lvlJc w:val="left"/>
      <w:lvlText w:val="(%1)"/>
      <w:numFmt w:val="lowerLetter"/>
      <w:start w:val="1"/>
    </w:lvl>
  </w:abstractNum>
  <w:abstractNum w:abstractNumId="401">
    <w:nsid w:val="3B2125A3"/>
    <w:multiLevelType w:val="hybridMultilevel"/>
    <w:lvl w:ilvl="0">
      <w:lvlJc w:val="left"/>
      <w:lvlText w:val="(%1)"/>
      <w:numFmt w:val="lowerLetter"/>
      <w:start w:val="3"/>
    </w:lvl>
  </w:abstractNum>
  <w:abstractNum w:abstractNumId="402">
    <w:nsid w:val="AC68FFB"/>
    <w:multiLevelType w:val="hybridMultilevel"/>
    <w:lvl w:ilvl="0">
      <w:lvlJc w:val="left"/>
      <w:lvlText w:val="(%1)"/>
      <w:numFmt w:val="lowerLetter"/>
      <w:start w:val="5"/>
    </w:lvl>
  </w:abstractNum>
  <w:abstractNum w:abstractNumId="403">
    <w:nsid w:val="63DF3FB7"/>
    <w:multiLevelType w:val="hybridMultilevel"/>
    <w:lvl w:ilvl="0">
      <w:lvlJc w:val="left"/>
      <w:lvlText w:val="(%1)"/>
      <w:numFmt w:val="lowerLetter"/>
      <w:start w:val="1"/>
    </w:lvl>
  </w:abstractNum>
  <w:abstractNum w:abstractNumId="404">
    <w:nsid w:val="64996E13"/>
    <w:multiLevelType w:val="hybridMultilevel"/>
    <w:lvl w:ilvl="0">
      <w:lvlJc w:val="left"/>
      <w:lvlText w:val="(%1)"/>
      <w:numFmt w:val="lowerLetter"/>
      <w:start w:val="3"/>
    </w:lvl>
  </w:abstractNum>
  <w:abstractNum w:abstractNumId="405">
    <w:nsid w:val="57A37D47"/>
    <w:multiLevelType w:val="hybridMultilevel"/>
    <w:lvl w:ilvl="0">
      <w:lvlJc w:val="left"/>
      <w:lvlText w:val="(%1)"/>
      <w:numFmt w:val="lowerLetter"/>
      <w:start w:val="1"/>
    </w:lvl>
  </w:abstractNum>
  <w:abstractNum w:abstractNumId="406">
    <w:nsid w:val="74824D54"/>
    <w:multiLevelType w:val="hybridMultilevel"/>
    <w:lvl w:ilvl="0">
      <w:lvlJc w:val="left"/>
      <w:lvlText w:val="(%1)"/>
      <w:numFmt w:val="lowerLetter"/>
      <w:start w:val="1"/>
    </w:lvl>
  </w:abstractNum>
  <w:abstractNum w:abstractNumId="407">
    <w:nsid w:val="6F00529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08">
    <w:nsid w:val="805B331"/>
    <w:multiLevelType w:val="hybridMultilevel"/>
    <w:lvl w:ilvl="0">
      <w:lvlJc w:val="left"/>
      <w:lvlText w:val="%1"/>
      <w:numFmt w:val="lowerRoman"/>
      <w:start w:val="1"/>
    </w:lvl>
    <w:lvl w:ilvl="1">
      <w:lvlJc w:val="left"/>
      <w:lvlText w:val="(%2)"/>
      <w:numFmt w:val="upperLetter"/>
      <w:start w:val="1"/>
    </w:lvl>
  </w:abstractNum>
  <w:abstractNum w:abstractNumId="409">
    <w:nsid w:val="60A1463"/>
    <w:multiLevelType w:val="hybridMultilevel"/>
    <w:lvl w:ilvl="0">
      <w:lvlJc w:val="left"/>
      <w:lvlText w:val="(%1)"/>
      <w:numFmt w:val="lowerRoman"/>
      <w:start w:val="4"/>
    </w:lvl>
    <w:lvl w:ilvl="1">
      <w:lvlJc w:val="left"/>
      <w:lvlText w:val="%2"/>
      <w:numFmt w:val="upperLetter"/>
      <w:start w:val="1"/>
    </w:lvl>
  </w:abstractNum>
  <w:abstractNum w:abstractNumId="410">
    <w:nsid w:val="43773132"/>
    <w:multiLevelType w:val="hybridMultilevel"/>
    <w:lvl w:ilvl="0">
      <w:lvlJc w:val="left"/>
      <w:lvlText w:val="(%1)"/>
      <w:numFmt w:val="lowerLetter"/>
      <w:start w:val="4"/>
    </w:lvl>
    <w:lvl w:ilvl="1">
      <w:lvlJc w:val="left"/>
      <w:lvlText w:val="(%2)"/>
      <w:numFmt w:val="lowerLetter"/>
      <w:start w:val="3"/>
    </w:lvl>
  </w:abstractNum>
  <w:abstractNum w:abstractNumId="411">
    <w:nsid w:val="16AC4B23"/>
    <w:multiLevelType w:val="hybridMultilevel"/>
    <w:lvl w:ilvl="0">
      <w:lvlJc w:val="left"/>
      <w:lvlText w:val="(%1)"/>
      <w:numFmt w:val="lowerLetter"/>
      <w:start w:val="61"/>
    </w:lvl>
    <w:lvl w:ilvl="1">
      <w:lvlJc w:val="left"/>
      <w:lvlText w:val="%2"/>
      <w:numFmt w:val="lowerLetter"/>
      <w:start w:val="1"/>
    </w:lvl>
  </w:abstractNum>
  <w:abstractNum w:abstractNumId="412">
    <w:nsid w:val="76C44E4E"/>
    <w:multiLevelType w:val="hybridMultilevel"/>
    <w:lvl w:ilvl="0">
      <w:lvlJc w:val="left"/>
      <w:lvlText w:val="(%1)"/>
      <w:numFmt w:val="lowerLetter"/>
      <w:start w:val="5"/>
    </w:lvl>
  </w:abstractNum>
  <w:abstractNum w:abstractNumId="413">
    <w:nsid w:val="E04E6CE"/>
    <w:multiLevelType w:val="hybridMultilevel"/>
    <w:lvl w:ilvl="0">
      <w:lvlJc w:val="left"/>
      <w:lvlText w:val="(%1)"/>
      <w:numFmt w:val="lowerLetter"/>
      <w:start w:val="6"/>
    </w:lvl>
    <w:lvl w:ilvl="1">
      <w:lvlJc w:val="left"/>
      <w:lvlText w:val="(%2)"/>
      <w:numFmt w:val="lowerRoman"/>
      <w:start w:val="1"/>
    </w:lvl>
  </w:abstractNum>
  <w:abstractNum w:abstractNumId="414">
    <w:nsid w:val="31A9DB76"/>
    <w:multiLevelType w:val="hybridMultilevel"/>
    <w:lvl w:ilvl="0">
      <w:lvlJc w:val="left"/>
      <w:lvlText w:val="(%1)"/>
      <w:numFmt w:val="lowerRoman"/>
      <w:start w:val="4"/>
    </w:lvl>
  </w:abstractNum>
  <w:abstractNum w:abstractNumId="415">
    <w:nsid w:val="4C4FFF5B"/>
    <w:multiLevelType w:val="hybridMultilevel"/>
    <w:lvl w:ilvl="0">
      <w:lvlJc w:val="left"/>
      <w:lvlText w:val="(%1)"/>
      <w:numFmt w:val="lowerLetter"/>
      <w:start w:val="1"/>
    </w:lvl>
  </w:abstractNum>
  <w:abstractNum w:abstractNumId="416">
    <w:nsid w:val="51B76675"/>
    <w:multiLevelType w:val="hybridMultilevel"/>
    <w:lvl w:ilvl="0">
      <w:lvlJc w:val="left"/>
      <w:lvlText w:val="(%1)"/>
      <w:numFmt w:val="lowerLetter"/>
      <w:start w:val="1"/>
    </w:lvl>
  </w:abstractNum>
  <w:abstractNum w:abstractNumId="417">
    <w:nsid w:val="59A4BA71"/>
    <w:multiLevelType w:val="hybridMultilevel"/>
    <w:lvl w:ilvl="0">
      <w:lvlJc w:val="left"/>
      <w:lvlText w:val="(%1)"/>
      <w:numFmt w:val="lowerLetter"/>
      <w:start w:val="2"/>
    </w:lvl>
  </w:abstractNum>
  <w:abstractNum w:abstractNumId="418">
    <w:nsid w:val="450B7FB6"/>
    <w:multiLevelType w:val="hybridMultilevel"/>
    <w:lvl w:ilvl="0">
      <w:lvlJc w:val="left"/>
      <w:lvlText w:val="(%1)"/>
      <w:numFmt w:val="lowerLetter"/>
      <w:start w:val="1"/>
    </w:lvl>
  </w:abstractNum>
  <w:abstractNum w:abstractNumId="419">
    <w:nsid w:val="340BF64D"/>
    <w:multiLevelType w:val="hybridMultilevel"/>
    <w:lvl w:ilvl="0">
      <w:lvlJc w:val="left"/>
      <w:lvlText w:val="(%1)"/>
      <w:numFmt w:val="lowerLetter"/>
      <w:start w:val="2"/>
    </w:lvl>
  </w:abstractNum>
  <w:abstractNum w:abstractNumId="420">
    <w:nsid w:val="69454021"/>
    <w:multiLevelType w:val="hybridMultilevel"/>
    <w:lvl w:ilvl="0">
      <w:lvlJc w:val="left"/>
      <w:lvlText w:val="(%1)"/>
      <w:numFmt w:val="lowerLetter"/>
      <w:start w:val="1"/>
    </w:lvl>
    <w:lvl w:ilvl="1">
      <w:lvlJc w:val="left"/>
      <w:lvlText w:val="(%2)"/>
      <w:numFmt w:val="lowerRoman"/>
      <w:start w:val="1"/>
    </w:lvl>
  </w:abstractNum>
  <w:abstractNum w:abstractNumId="421">
    <w:nsid w:val="49F15C6B"/>
    <w:multiLevelType w:val="hybridMultilevel"/>
    <w:lvl w:ilvl="0">
      <w:lvlJc w:val="left"/>
      <w:lvlText w:val="(%1)"/>
      <w:numFmt w:val="lowerLetter"/>
      <w:start w:val="1"/>
    </w:lvl>
  </w:abstractNum>
  <w:abstractNum w:abstractNumId="422">
    <w:nsid w:val="75F56228"/>
    <w:multiLevelType w:val="hybridMultilevel"/>
    <w:lvl w:ilvl="0">
      <w:lvlJc w:val="left"/>
      <w:lvlText w:val="(%1)"/>
      <w:numFmt w:val="lowerRoman"/>
      <w:start w:val="1"/>
    </w:lvl>
  </w:abstractNum>
  <w:abstractNum w:abstractNumId="423">
    <w:nsid w:val="1C618271"/>
    <w:multiLevelType w:val="hybridMultilevel"/>
    <w:lvl w:ilvl="0">
      <w:lvlJc w:val="left"/>
      <w:lvlText w:val="%1."/>
      <w:numFmt w:val="decimal"/>
      <w:start w:val="2"/>
    </w:lvl>
  </w:abstractNum>
  <w:abstractNum w:abstractNumId="424">
    <w:nsid w:val="6505F02E"/>
    <w:multiLevelType w:val="hybridMultilevel"/>
    <w:lvl w:ilvl="0">
      <w:lvlJc w:val="left"/>
      <w:lvlText w:val="%1."/>
      <w:numFmt w:val="decimal"/>
      <w:start w:val="4"/>
    </w:lvl>
  </w:abstractNum>
  <w:abstractNum w:abstractNumId="425">
    <w:nsid w:val="2FE5D025"/>
    <w:multiLevelType w:val="hybridMultilevel"/>
    <w:lvl w:ilvl="0">
      <w:lvlJc w:val="left"/>
      <w:lvlText w:val="1"/>
      <w:numFmt w:val="bullet"/>
      <w:start w:val="1"/>
    </w:lvl>
  </w:abstractNum>
  <w:abstractNum w:abstractNumId="426">
    <w:nsid w:val="30E1B1CF"/>
    <w:multiLevelType w:val="hybridMultilevel"/>
    <w:lvl w:ilvl="0">
      <w:lvlJc w:val="left"/>
      <w:lvlText w:val="2"/>
      <w:numFmt w:val="bullet"/>
      <w:start w:val="1"/>
    </w:lvl>
  </w:abstractNum>
  <w:abstractNum w:abstractNumId="427">
    <w:nsid w:val="C7A9237"/>
    <w:multiLevelType w:val="hybridMultilevel"/>
    <w:lvl w:ilvl="0">
      <w:lvlJc w:val="left"/>
      <w:lvlText w:val="%1."/>
      <w:numFmt w:val="decimal"/>
      <w:start w:val="5"/>
    </w:lvl>
  </w:abstractNum>
  <w:abstractNum w:abstractNumId="428">
    <w:nsid w:val="676B3580"/>
    <w:multiLevelType w:val="hybridMultilevel"/>
    <w:lvl w:ilvl="0">
      <w:lvlJc w:val="left"/>
      <w:lvlText w:val="%1."/>
      <w:numFmt w:val="decimal"/>
      <w:start w:val="2"/>
    </w:lvl>
  </w:abstractNum>
  <w:abstractNum w:abstractNumId="429">
    <w:nsid w:val="3193C8F9"/>
    <w:multiLevelType w:val="hybridMultilevel"/>
    <w:lvl w:ilvl="0">
      <w:lvlJc w:val="left"/>
      <w:lvlText w:val="%1."/>
      <w:numFmt w:val="decimal"/>
      <w:start w:val="1"/>
    </w:lvl>
  </w:abstractNum>
  <w:abstractNum w:abstractNumId="430">
    <w:nsid w:val="5FA6C6DC"/>
    <w:multiLevelType w:val="hybridMultilevel"/>
    <w:lvl w:ilvl="0">
      <w:lvlJc w:val="left"/>
      <w:lvlText w:val="%1."/>
      <w:numFmt w:val="decimal"/>
      <w:start w:val="3"/>
    </w:lvl>
  </w:abstractNum>
  <w:abstractNum w:abstractNumId="431">
    <w:nsid w:val="77933F62"/>
    <w:multiLevelType w:val="hybridMultilevel"/>
    <w:lvl w:ilvl="0">
      <w:lvlJc w:val="left"/>
      <w:lvlText w:val="%1."/>
      <w:numFmt w:val="decimal"/>
      <w:start w:val="1"/>
    </w:lvl>
  </w:abstractNum>
  <w:abstractNum w:abstractNumId="432">
    <w:nsid w:val="6CB4EE9C"/>
    <w:multiLevelType w:val="hybridMultilevel"/>
    <w:lvl w:ilvl="0">
      <w:lvlJc w:val="left"/>
      <w:lvlText w:val="%1."/>
      <w:numFmt w:val="decimal"/>
      <w:start w:val="1"/>
    </w:lvl>
    <w:lvl w:ilvl="1">
      <w:lvlJc w:val="left"/>
      <w:lvlText w:val="(%2)"/>
      <w:numFmt w:val="lowerLetter"/>
      <w:start w:val="1"/>
    </w:lvl>
  </w:abstractNum>
  <w:abstractNum w:abstractNumId="433">
    <w:nsid w:val="6A6D56D7"/>
    <w:multiLevelType w:val="hybridMultilevel"/>
    <w:lvl w:ilvl="0">
      <w:lvlJc w:val="left"/>
      <w:lvlText w:val="%1."/>
      <w:numFmt w:val="decimal"/>
      <w:start w:val="2"/>
    </w:lvl>
  </w:abstractNum>
  <w:abstractNum w:abstractNumId="434">
    <w:nsid w:val="5B727F19"/>
    <w:multiLevelType w:val="hybridMultilevel"/>
    <w:lvl w:ilvl="0">
      <w:lvlJc w:val="left"/>
      <w:lvlText w:val="1"/>
      <w:numFmt w:val="bullet"/>
      <w:start w:val="1"/>
    </w:lvl>
  </w:abstractNum>
  <w:abstractNum w:abstractNumId="435">
    <w:nsid w:val="514E5CB0"/>
    <w:multiLevelType w:val="hybridMultilevel"/>
    <w:lvl w:ilvl="0">
      <w:lvlJc w:val="left"/>
      <w:lvlText w:val="1"/>
      <w:numFmt w:val="bullet"/>
      <w:start w:val="1"/>
    </w:lvl>
  </w:abstractNum>
  <w:abstractNum w:abstractNumId="436">
    <w:nsid w:val="4210D41E"/>
    <w:multiLevelType w:val="hybridMultilevel"/>
    <w:lvl w:ilvl="0">
      <w:lvlJc w:val="left"/>
      <w:lvlText w:val="(%1)"/>
      <w:numFmt w:val="lowerRoman"/>
      <w:start w:val="7"/>
    </w:lvl>
  </w:abstractNum>
  <w:abstractNum w:abstractNumId="437">
    <w:nsid w:val="4FF4CC6D"/>
    <w:multiLevelType w:val="hybridMultilevel"/>
    <w:lvl w:ilvl="0">
      <w:lvlJc w:val="left"/>
      <w:lvlText w:val="1"/>
      <w:numFmt w:val="bullet"/>
      <w:start w:val="1"/>
    </w:lvl>
  </w:abstractNum>
  <w:abstractNum w:abstractNumId="438">
    <w:nsid w:val="404EAF4A"/>
    <w:multiLevelType w:val="hybridMultilevel"/>
    <w:lvl w:ilvl="0">
      <w:lvlJc w:val="left"/>
      <w:lvlText w:val="4"/>
      <w:numFmt w:val="bullet"/>
      <w:start w:val="1"/>
    </w:lvl>
  </w:abstractNum>
  <w:abstractNum w:abstractNumId="439">
    <w:nsid w:val="4A16874F"/>
    <w:multiLevelType w:val="hybridMultilevel"/>
    <w:lvl w:ilvl="0">
      <w:lvlJc w:val="left"/>
      <w:lvlText w:val="1"/>
      <w:numFmt w:val="bullet"/>
      <w:start w:val="1"/>
    </w:lvl>
  </w:abstractNum>
  <w:abstractNum w:abstractNumId="440">
    <w:nsid w:val="55FEE0D1"/>
    <w:multiLevelType w:val="hybridMultilevel"/>
    <w:lvl w:ilvl="0">
      <w:lvlJc w:val="left"/>
      <w:lvlText w:val="1"/>
      <w:numFmt w:val="bullet"/>
      <w:start w:val="1"/>
    </w:lvl>
  </w:abstractNum>
  <w:abstractNum w:abstractNumId="441">
    <w:nsid w:val="3C5E07C"/>
    <w:multiLevelType w:val="hybridMultilevel"/>
    <w:lvl w:ilvl="0">
      <w:lvlJc w:val="left"/>
      <w:lvlText w:val="%1."/>
      <w:numFmt w:val="decimal"/>
      <w:start w:val="1"/>
    </w:lvl>
  </w:abstractNum>
  <w:abstractNum w:abstractNumId="442">
    <w:nsid w:val="60C2D273"/>
    <w:multiLevelType w:val="hybridMultilevel"/>
    <w:lvl w:ilvl="0">
      <w:lvlJc w:val="left"/>
      <w:lvlText w:val="(%1)"/>
      <w:numFmt w:val="lowerRoman"/>
      <w:start w:val="7"/>
    </w:lvl>
    <w:lvl w:ilvl="1">
      <w:lvlJc w:val="left"/>
      <w:lvlText w:val="%2."/>
      <w:numFmt w:val="decimal"/>
      <w:start w:val="2"/>
    </w:lvl>
  </w:abstractNum>
  <w:abstractNum w:abstractNumId="443">
    <w:nsid w:val="4CC32F1F"/>
    <w:multiLevelType w:val="hybridMultilevel"/>
    <w:lvl w:ilvl="0">
      <w:lvlJc w:val="left"/>
      <w:lvlText w:val="%1."/>
      <w:numFmt w:val="decimal"/>
      <w:start w:val="3"/>
    </w:lvl>
  </w:abstractNum>
  <w:abstractNum w:abstractNumId="444">
    <w:nsid w:val="11CAC74A"/>
    <w:multiLevelType w:val="hybridMultilevel"/>
    <w:lvl w:ilvl="0">
      <w:lvlJc w:val="left"/>
      <w:lvlText w:val="%1."/>
      <w:numFmt w:val="decimal"/>
      <w:start w:val="1"/>
    </w:lvl>
  </w:abstractNum>
  <w:abstractNum w:abstractNumId="445">
    <w:nsid w:val="126CADE9"/>
    <w:multiLevelType w:val="hybridMultilevel"/>
    <w:lvl w:ilvl="0">
      <w:lvlJc w:val="left"/>
      <w:lvlText w:val="(%1)"/>
      <w:numFmt w:val="lowerLetter"/>
      <w:start w:val="1"/>
    </w:lvl>
  </w:abstractNum>
  <w:abstractNum w:abstractNumId="446">
    <w:nsid w:val="19132E7B"/>
    <w:multiLevelType w:val="hybridMultilevel"/>
    <w:lvl w:ilvl="0">
      <w:lvlJc w:val="left"/>
      <w:lvlText w:val="%1."/>
      <w:numFmt w:val="decimal"/>
      <w:start w:val="2"/>
    </w:lvl>
  </w:abstractNum>
  <w:abstractNum w:abstractNumId="447">
    <w:nsid w:val="63822DC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jpeg"/><Relationship Id="rId151" Type="http://schemas.openxmlformats.org/officeDocument/2006/relationships/image" Target="media/image120.jpeg"/><Relationship Id="rId152" Type="http://schemas.openxmlformats.org/officeDocument/2006/relationships/image" Target="media/image121.jpe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16" Type="http://schemas.openxmlformats.org/officeDocument/2006/relationships/hyperlink" Target="https://www.sec.gov/Archives/edgar/data/1524566/000162828025043113/exhibit31-sx1.htm" TargetMode="External"/><Relationship Id="rId117" Type="http://schemas.openxmlformats.org/officeDocument/2006/relationships/hyperlink" Target="https://www.sec.gov/Archives/edgar/data/1524566/000162828025043113/exhibit32-sx1.htm" TargetMode="External"/><Relationship Id="rId118" Type="http://schemas.openxmlformats.org/officeDocument/2006/relationships/hyperlink" Target="https://www.sec.gov/Archives/edgar/data/1524566/000162828025043113/exhibit33-sx1.htm" TargetMode="External"/><Relationship Id="rId119" Type="http://schemas.openxmlformats.org/officeDocument/2006/relationships/hyperlink" Target="https://www.sec.gov/Archives/edgar/data/1524566/000162828025043113/exhibit34-sx1.htm" TargetMode="External"/><Relationship Id="rId120" Type="http://schemas.openxmlformats.org/officeDocument/2006/relationships/hyperlink" Target="https://www.sec.gov/Archives/edgar/data/1524566/000162828025043113/exhibit42-sx1.htm" TargetMode="External"/><Relationship Id="rId121" Type="http://schemas.openxmlformats.org/officeDocument/2006/relationships/hyperlink" Target="https://www.sec.gov/Archives/edgar/data/1524566/000162828025043113/exhibit43-sx1.htm" TargetMode="External"/><Relationship Id="rId122" Type="http://schemas.openxmlformats.org/officeDocument/2006/relationships/hyperlink" Target="https://www.sec.gov/Archives/edgar/data/1524566/000162828025043113/exhibit44-sx1.htm" TargetMode="External"/><Relationship Id="rId123" Type="http://schemas.openxmlformats.org/officeDocument/2006/relationships/hyperlink" Target="https://www.sec.gov/Archives/edgar/data/1524566/000162828025043113/exhibit45-sx1.htm" TargetMode="External"/><Relationship Id="rId124" Type="http://schemas.openxmlformats.org/officeDocument/2006/relationships/hyperlink" Target="https://www.sec.gov/Archives/edgar/data/1524566/000162828025043113/exhibit46-sx1.htm" TargetMode="External"/><Relationship Id="rId125" Type="http://schemas.openxmlformats.org/officeDocument/2006/relationships/hyperlink" Target="https://www.sec.gov/Archives/edgar/data/1524566/000162828025043113/exhibit101-sx1.htm" TargetMode="External"/><Relationship Id="rId126" Type="http://schemas.openxmlformats.org/officeDocument/2006/relationships/hyperlink" Target="https://www.sec.gov/Archives/edgar/data/1524566/000162828025043113/exhibit102-sx1.htm" TargetMode="External"/><Relationship Id="rId127" Type="http://schemas.openxmlformats.org/officeDocument/2006/relationships/hyperlink" Target="https://www.sec.gov/Archives/edgar/data/1524566/000162828025043113/exhibit103-sx1.htm" TargetMode="External"/><Relationship Id="rId128" Type="http://schemas.openxmlformats.org/officeDocument/2006/relationships/hyperlink" Target="https://www.sec.gov/Archives/edgar/data/1524566/000162828025043113/exhibit104-sx1.htm" TargetMode="External"/><Relationship Id="rId129" Type="http://schemas.openxmlformats.org/officeDocument/2006/relationships/hyperlink" Target="https://www.sec.gov/Archives/edgar/data/1524566/000162828025043113/exhibit105-sx1.htm" TargetMode="External"/><Relationship Id="rId130" Type="http://schemas.openxmlformats.org/officeDocument/2006/relationships/hyperlink" Target="https://www.sec.gov/Archives/edgar/data/1524566/000162828025043113/exhibit106-sx1.htm" TargetMode="External"/><Relationship Id="rId131" Type="http://schemas.openxmlformats.org/officeDocument/2006/relationships/hyperlink" Target="https://www.sec.gov/Archives/edgar/data/1524566/000162828025043113/exhibit107-sx1.htm" TargetMode="External"/><Relationship Id="rId132" Type="http://schemas.openxmlformats.org/officeDocument/2006/relationships/hyperlink" Target="https://www.sec.gov/Archives/edgar/data/1524566/000162828025043113/exhibit108-sx1.htm" TargetMode="External"/><Relationship Id="rId133" Type="http://schemas.openxmlformats.org/officeDocument/2006/relationships/hyperlink" Target="https://www.sec.gov/Archives/edgar/data/1524566/000162828025043113/exhibit109-sx1.htm" TargetMode="External"/><Relationship Id="rId134" Type="http://schemas.openxmlformats.org/officeDocument/2006/relationships/hyperlink" Target="https://www.sec.gov/Archives/edgar/data/1524566/000162828025043113/exhibit1010-sx1.htm" TargetMode="External"/><Relationship Id="rId135" Type="http://schemas.openxmlformats.org/officeDocument/2006/relationships/hyperlink" Target="https://www.sec.gov/Archives/edgar/data/1524566/000162828025043113/exhibit1011-sx1.htm" TargetMode="External"/><Relationship Id="rId136" Type="http://schemas.openxmlformats.org/officeDocument/2006/relationships/hyperlink" Target="https://www.sec.gov/Archives/edgar/data/1524566/000162828025043113/exhibit1013-sx1.htm" TargetMode="External"/><Relationship Id="rId137" Type="http://schemas.openxmlformats.org/officeDocument/2006/relationships/hyperlink" Target="https://www.sec.gov/Archives/edgar/data/1524566/000162828025043113/exhibit211-sx1.htm" TargetMode="External"/><Relationship Id="rId138" Type="http://schemas.openxmlformats.org/officeDocument/2006/relationships/hyperlink" Target="https://www.sec.gov/Archives/edgar/data/1524566/000162828025043113/wealthfront-sx1.htm#i42c6c5a8293e47fbbcc2c7794046a7c2_732" TargetMode="External"/><Relationship Id="rId139" Type="http://schemas.openxmlformats.org/officeDocument/2006/relationships/hyperlink" Target="https://www.sec.gov/Archives/edgar/data/1524566/000162828025043113/exhibit99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2025-12-02T06:40:43Z</dcterms:created>
  <dcterms:modified xsi:type="dcterms:W3CDTF">2025-12-02T06:40:43Z</dcterms:modified>
</cp:coreProperties>
</file>