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72026_080652.xml.htm"/>
      <w:bookmarkStart w:id="1" w:name="ksform406172026_0806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IYER KAL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WEALTHFRONT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261 HAMILTON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WEALTHFRONT CORP</w:t>
              </w:r>
            </w:hyperlink>
            <w:r>
              <w:rPr/>
              <w:t xml:space="preserve"> [ </w:t>
            </w:r>
            <w:r>
              <w:rPr>
                <w:rFonts w:ascii="Times;serif" w:hAnsi="Times;serif"/>
                <w:color w:val="0000FF"/>
                <w:sz w:val="24"/>
                <w:shd w:fill="FFFFFF" w:val="clear"/>
              </w:rPr>
              <w:t>WLTH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VP, Engineering</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20,387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284,764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20,387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305,151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21,112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326,263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15,562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341,825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41,784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300,041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45,772</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8.9183</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254,269</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711"/>
        <w:gridCol w:w="906"/>
        <w:gridCol w:w="801"/>
        <w:gridCol w:w="891"/>
        <w:gridCol w:w="921"/>
        <w:gridCol w:w="801"/>
        <w:gridCol w:w="936"/>
        <w:gridCol w:w="831"/>
        <w:gridCol w:w="846"/>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20,387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61,163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20,387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142,713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21,112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232,238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(8)</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249,000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249,000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15,562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233,438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represents the number of shares of Common Stock withheld by the Issuer to satisfy tax withholding liabilities in connection with the net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pursuant to a Rule 10b5-1 trading plan adopted by the reporting person on January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award vested or vests as to 1/16 of the total award quarterly on the fifteenth calendar day of June, September, December, and March, subject to the reporting person's continued service to the Issuer on each vesting date, with the first tranche vested on June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stock units do not expire; they either vest or are cancelled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award vested or vests as to 1/16 of the total award quarterly on the fifteenth calendar day of June, September, December, and March, subject to the reporting person's continued service to the Issuer on each vesting date, with the first tranche vested on June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award vested or vests as to 1/16 of the total award quarterly on the fifteenth calendar day of June, September, December, and March, subject to the reporting person's continued service to the Issuer on each vesting date, with the first tranche vested on June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December 30, 2025 award of restricted stock units to the reporting person was not previously reported on a Form 4 due to inadvertent administrative error. The grant is reported late on this Form 4, together with the initial vesting of the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award vested or vests as to 1/16 of the total award quarterly on the fifteenth calendar day of June, September, December, and March, subject to the reporting person's continued service to the Issuer on each vesting date, with the first tranche vested on June 15,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97487" TargetMode="External"/><Relationship Id="rId5" Type="http://schemas.openxmlformats.org/officeDocument/2006/relationships/hyperlink" Target="http://www.sec.gov/cgi-bin/browse-edgar?action=getcompany&amp;CIK=00015245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5216</Characters>
  <CharactersWithSpaces>6078</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