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40"/>
        </w:rPr>
      </w:pPr>
      <w:r>
        <w:rPr>
          <w:rFonts w:ascii="Times New Roman;serif" w:hAnsi="Times New Roman;serif"/>
          <w:b/>
          <w:color w:val="000000"/>
          <w:sz w:val="40"/>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Securities Exchange Act of 1934</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June 23,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Wealthfront Corporation</w:t>
      </w:r>
    </w:p>
    <w:p>
      <w:pPr>
        <w:pStyle w:val="TextBody"/>
        <w:bidi w:val="0"/>
        <w:spacing w:before="0" w:after="0"/>
        <w:jc w:val="center"/>
        <w:rPr/>
      </w:pPr>
      <w:r>
        <w:rPr/>
      </w:r>
    </w:p>
    <w:p>
      <w:pPr>
        <w:pStyle w:val="TextBody"/>
        <w:bidi w:val="0"/>
        <w:spacing w:lineRule="auto" w:line="288" w:before="0" w:after="4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140" w:type="dxa"/>
        <w:jc w:val="left"/>
        <w:tblInd w:w="0" w:type="dxa"/>
        <w:tblLayout w:type="fixed"/>
        <w:tblCellMar>
          <w:top w:w="28" w:type="dxa"/>
          <w:left w:w="28" w:type="dxa"/>
          <w:bottom w:w="28" w:type="dxa"/>
          <w:right w:w="28" w:type="dxa"/>
        </w:tblCellMar>
      </w:tblPr>
      <w:tblGrid>
        <w:gridCol w:w="710"/>
        <w:gridCol w:w="623"/>
        <w:gridCol w:w="632"/>
        <w:gridCol w:w="109"/>
        <w:gridCol w:w="109"/>
        <w:gridCol w:w="109"/>
        <w:gridCol w:w="354"/>
        <w:gridCol w:w="354"/>
        <w:gridCol w:w="358"/>
        <w:gridCol w:w="109"/>
        <w:gridCol w:w="109"/>
        <w:gridCol w:w="109"/>
        <w:gridCol w:w="425"/>
        <w:gridCol w:w="425"/>
        <w:gridCol w:w="605"/>
      </w:tblGrid>
      <w:tr>
        <w:trPr/>
        <w:tc>
          <w:tcPr>
            <w:tcW w:w="71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001-42987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20-8280144</w:t>
            </w:r>
          </w:p>
        </w:tc>
      </w:tr>
      <w:tr>
        <w:trPr/>
        <w:tc>
          <w:tcPr>
            <w:tcW w:w="1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tbl>
      <w:tblPr>
        <w:tblW w:w="4180" w:type="dxa"/>
        <w:jc w:val="left"/>
        <w:tblInd w:w="0" w:type="dxa"/>
        <w:tblLayout w:type="fixed"/>
        <w:tblCellMar>
          <w:top w:w="28" w:type="dxa"/>
          <w:left w:w="28" w:type="dxa"/>
          <w:bottom w:w="28" w:type="dxa"/>
          <w:right w:w="28" w:type="dxa"/>
        </w:tblCellMar>
      </w:tblPr>
      <w:tblGrid>
        <w:gridCol w:w="1058"/>
        <w:gridCol w:w="930"/>
        <w:gridCol w:w="936"/>
        <w:gridCol w:w="109"/>
        <w:gridCol w:w="109"/>
        <w:gridCol w:w="109"/>
        <w:gridCol w:w="272"/>
        <w:gridCol w:w="272"/>
        <w:gridCol w:w="385"/>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261 Hamilton Avenue</w:t>
            </w:r>
          </w:p>
          <w:p>
            <w:pPr>
              <w:pStyle w:val="TableContents"/>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Palo Alto,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94301</w:t>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(844) 995-8437</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36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tbl>
      <w:tblPr>
        <w:tblW w:w="7980" w:type="dxa"/>
        <w:jc w:val="left"/>
        <w:tblInd w:w="0" w:type="dxa"/>
        <w:tblLayout w:type="fixed"/>
        <w:tblCellMar>
          <w:top w:w="28" w:type="dxa"/>
          <w:left w:w="28" w:type="dxa"/>
          <w:bottom w:w="28" w:type="dxa"/>
          <w:right w:w="28" w:type="dxa"/>
        </w:tblCellMar>
      </w:tblPr>
      <w:tblGrid>
        <w:gridCol w:w="1208"/>
        <w:gridCol w:w="1061"/>
        <w:gridCol w:w="1061"/>
        <w:gridCol w:w="475"/>
        <w:gridCol w:w="475"/>
        <w:gridCol w:w="475"/>
        <w:gridCol w:w="945"/>
        <w:gridCol w:w="945"/>
        <w:gridCol w:w="1335"/>
      </w:tblGrid>
      <w:tr>
        <w:trPr/>
        <w:tc>
          <w:tcPr>
            <w:tcW w:w="120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79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$0.0001 par value per share</w:t>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WLTH</w:t>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3587"/>
        <w:gridCol w:w="3118"/>
        <w:gridCol w:w="3127"/>
        <w:gridCol w:w="109"/>
        <w:gridCol w:w="109"/>
        <w:gridCol w:w="155"/>
      </w:tblGrid>
      <w:tr>
        <w:trPr/>
        <w:tc>
          <w:tcPr>
            <w:tcW w:w="3587"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Annual Meeting of Stockholders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23, 2026, Wealthfront Corporation (the “Company”) held its 2026 Annual Meeting of Stockholders (the “Annual Meeting”). The Company’s stockholders voted on two proposals at the Annual Meeting, each of which is described below as well as more fully in the Company’s definitive proxy statement filed with the Securities and Exchange Commission on May 11, 2026. 121,142,898 shares of common stock, representing approximately 81.03% of the total outstanding shares entitled to vote at the Annual Meeting, were present virtually or represented by proxy, which constituted a quorum for the transaction of business.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 the Annual Meeting, the Company’s stockholders voted on the following proposals:</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1.To elect each of David Fortunato and Andrew S. Rachleff as a Class I director to serve until the Company’s 2029 annual meeting of stockholders and until such director’s successor has been duly elected and qualified, or until such director’s earlier death, resignation, disqualification, retirement, or removal.</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2.To ratify the appointment of Ernst &amp; Young LLP as the Company’s independent registered public accounting firm for the fiscal year ending January 31, 2027.</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final voting results for each of these proposals are as follows: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Proposal One: Election of Class I Directors</w:t>
      </w:r>
    </w:p>
    <w:p>
      <w:pPr>
        <w:pStyle w:val="TextBody"/>
        <w:bidi w:val="0"/>
        <w:spacing w:before="0" w:after="0"/>
        <w:jc w:val="left"/>
        <w:rPr/>
      </w:pPr>
      <w:r>
        <w:rPr/>
      </w:r>
    </w:p>
    <w:tbl>
      <w:tblPr>
        <w:tblW w:w="6875" w:type="dxa"/>
        <w:jc w:val="left"/>
        <w:tblInd w:w="0" w:type="dxa"/>
        <w:tblLayout w:type="fixed"/>
        <w:tblCellMar>
          <w:top w:w="28" w:type="dxa"/>
          <w:left w:w="28" w:type="dxa"/>
          <w:bottom w:w="28" w:type="dxa"/>
          <w:right w:w="28" w:type="dxa"/>
        </w:tblCellMar>
      </w:tblPr>
      <w:tblGrid>
        <w:gridCol w:w="607"/>
        <w:gridCol w:w="533"/>
        <w:gridCol w:w="539"/>
        <w:gridCol w:w="109"/>
        <w:gridCol w:w="109"/>
        <w:gridCol w:w="109"/>
        <w:gridCol w:w="379"/>
        <w:gridCol w:w="379"/>
        <w:gridCol w:w="383"/>
        <w:gridCol w:w="109"/>
        <w:gridCol w:w="109"/>
        <w:gridCol w:w="109"/>
        <w:gridCol w:w="464"/>
        <w:gridCol w:w="464"/>
        <w:gridCol w:w="466"/>
        <w:gridCol w:w="109"/>
        <w:gridCol w:w="109"/>
        <w:gridCol w:w="109"/>
        <w:gridCol w:w="492"/>
        <w:gridCol w:w="492"/>
        <w:gridCol w:w="696"/>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Fortunato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111,080,627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6,619,672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3,442,599</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S. Rachleff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110,314,842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7,385,457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3,442,599</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Each of the two nominees for director was elected to serve until the Company’s 2029 annual meeting of stockholders and until such director’s successor has been duly elected and qualified, or until such director’s earlier death, resignation, disqualification, retirement, or removal.</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Proposal Two: Ratification of Appointment of Independent Registered Public Accounting Firm</w:t>
      </w:r>
    </w:p>
    <w:p>
      <w:pPr>
        <w:pStyle w:val="TextBody"/>
        <w:bidi w:val="0"/>
        <w:spacing w:before="0" w:after="0"/>
        <w:jc w:val="left"/>
        <w:rPr/>
      </w:pPr>
      <w:r>
        <w:rPr/>
      </w:r>
    </w:p>
    <w:tbl>
      <w:tblPr>
        <w:tblW w:w="6484" w:type="dxa"/>
        <w:jc w:val="left"/>
        <w:tblInd w:w="0" w:type="dxa"/>
        <w:tblLayout w:type="fixed"/>
        <w:tblCellMar>
          <w:top w:w="28" w:type="dxa"/>
          <w:left w:w="28" w:type="dxa"/>
          <w:bottom w:w="28" w:type="dxa"/>
          <w:right w:w="28" w:type="dxa"/>
        </w:tblCellMar>
      </w:tblPr>
      <w:tblGrid>
        <w:gridCol w:w="124"/>
        <w:gridCol w:w="109"/>
        <w:gridCol w:w="109"/>
        <w:gridCol w:w="379"/>
        <w:gridCol w:w="379"/>
        <w:gridCol w:w="383"/>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120,824,845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74,853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stockholders ratified the appointment of Ernst &amp; Young LLP as the Company’s independent registered public accounting firm for the year ending January 31,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9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373"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356"/>
        <w:gridCol w:w="356"/>
        <w:gridCol w:w="356"/>
        <w:gridCol w:w="729"/>
        <w:gridCol w:w="729"/>
        <w:gridCol w:w="104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Wealthfront Corporation</w:t>
            </w:r>
          </w:p>
        </w:tc>
      </w:tr>
      <w:tr>
        <w:trPr/>
        <w:tc>
          <w:tcPr>
            <w:tcW w:w="537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24, 2026</w:t>
            </w:r>
          </w:p>
        </w:tc>
        <w:tc>
          <w:tcPr>
            <w:tcW w:w="1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Alan Imberman</w:t>
            </w:r>
          </w:p>
        </w:tc>
      </w:tr>
      <w:tr>
        <w:trPr/>
        <w:tc>
          <w:tcPr>
            <w:tcW w:w="2868" w:type="dxa"/>
            <w:gridSpan w:val="9"/>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Alan Imberman</w:t>
            </w:r>
          </w:p>
        </w:tc>
      </w:tr>
      <w:tr>
        <w:trPr/>
        <w:tc>
          <w:tcPr>
            <w:tcW w:w="2868" w:type="dxa"/>
            <w:gridSpan w:val="9"/>
            <w:vMerge w:val="continue"/>
            <w:tcBorders/>
            <w:tcMar>
              <w:top w:w="0" w:type="dxa"/>
              <w:left w:w="0" w:type="dxa"/>
              <w:bottom w:w="0" w:type="dxa"/>
              <w:right w:w="0" w:type="dxa"/>
            </w:tcMar>
            <w:vAlign w:val="center"/>
          </w:tcPr>
          <w:p>
            <w:pPr>
              <w:pStyle w:val="Normal"/>
              <w:bidi w:val="0"/>
              <w:jc w:val="left"/>
              <w:rPr/>
            </w:pPr>
            <w:r>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3793</Characters>
  <CharactersWithSpaces>4378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