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304800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277495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100330</wp:posOffset>
            </wp:positionV>
            <wp:extent cx="1199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137795</wp:posOffset>
            </wp:positionV>
            <wp:extent cx="1199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3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1"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fiscal year ended January 31, 2026</w:t>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15" w:lineRule="exact"/>
        <w:rPr>
          <w:sz w:val="24"/>
          <w:szCs w:val="24"/>
          <w:color w:val="auto"/>
        </w:rPr>
      </w:pPr>
    </w:p>
    <w:p>
      <w:pPr>
        <w:ind w:left="400" w:hanging="381"/>
        <w:spacing w:after="0"/>
        <w:tabs>
          <w:tab w:leader="none" w:pos="4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325" w:lineRule="exact"/>
        <w:rPr>
          <w:sz w:val="24"/>
          <w:szCs w:val="24"/>
          <w:color w:val="auto"/>
        </w:rPr>
      </w:pPr>
    </w:p>
    <w:p>
      <w:pPr>
        <w:ind w:left="4060"/>
        <w:spacing w:after="0"/>
        <w:rPr>
          <w:sz w:val="20"/>
          <w:szCs w:val="20"/>
          <w:color w:val="auto"/>
        </w:rPr>
      </w:pPr>
      <w:r>
        <w:rPr>
          <w:rFonts w:ascii="Arial" w:cs="Arial" w:eastAsia="Arial" w:hAnsi="Arial"/>
          <w:sz w:val="11"/>
          <w:szCs w:val="11"/>
          <w:b w:val="1"/>
          <w:bCs w:val="1"/>
          <w:color w:val="auto"/>
        </w:rPr>
        <w:t>For the transition period from ___________ to ___________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Commission file number 001-42987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105410</wp:posOffset>
            </wp:positionV>
            <wp:extent cx="11995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291"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WEALTHFRONT CORPORATION</w:t>
      </w:r>
    </w:p>
    <w:p>
      <w:pPr>
        <w:spacing w:after="0" w:line="14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109220</wp:posOffset>
            </wp:positionV>
            <wp:extent cx="11995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5000" w:type="dxa"/>
            <w:vAlign w:val="bottom"/>
            <w:gridSpan w:val="2"/>
          </w:tcPr>
          <w:p>
            <w:pPr>
              <w:jc w:val="center"/>
              <w:ind w:left="2479"/>
              <w:spacing w:after="0"/>
              <w:rPr>
                <w:sz w:val="20"/>
                <w:szCs w:val="20"/>
                <w:color w:val="auto"/>
              </w:rPr>
            </w:pPr>
            <w:r>
              <w:rPr>
                <w:rFonts w:ascii="Arial" w:cs="Arial" w:eastAsia="Arial" w:hAnsi="Arial"/>
                <w:sz w:val="14"/>
                <w:szCs w:val="14"/>
                <w:b w:val="1"/>
                <w:bCs w:val="1"/>
                <w:color w:val="auto"/>
              </w:rPr>
              <w:t>Delaware</w:t>
            </w: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tcPr>
          <w:p>
            <w:pPr>
              <w:jc w:val="right"/>
              <w:ind w:right="3359"/>
              <w:spacing w:after="0"/>
              <w:rPr>
                <w:sz w:val="20"/>
                <w:szCs w:val="20"/>
                <w:color w:val="auto"/>
              </w:rPr>
            </w:pPr>
            <w:r>
              <w:rPr>
                <w:rFonts w:ascii="Arial" w:cs="Arial" w:eastAsia="Arial" w:hAnsi="Arial"/>
                <w:sz w:val="14"/>
                <w:szCs w:val="14"/>
                <w:b w:val="1"/>
                <w:bCs w:val="1"/>
                <w:color w:val="auto"/>
              </w:rPr>
              <w:t>20-8280144</w:t>
            </w:r>
          </w:p>
        </w:tc>
        <w:tc>
          <w:tcPr>
            <w:tcW w:w="0" w:type="dxa"/>
            <w:vAlign w:val="bottom"/>
          </w:tcPr>
          <w:p>
            <w:pPr>
              <w:spacing w:after="0"/>
              <w:rPr>
                <w:sz w:val="1"/>
                <w:szCs w:val="1"/>
                <w:color w:val="auto"/>
              </w:rPr>
            </w:pPr>
          </w:p>
        </w:tc>
      </w:tr>
      <w:tr>
        <w:trPr>
          <w:trHeight w:val="117"/>
        </w:trPr>
        <w:tc>
          <w:tcPr>
            <w:tcW w:w="5000" w:type="dxa"/>
            <w:vAlign w:val="bottom"/>
            <w:gridSpan w:val="2"/>
          </w:tcPr>
          <w:p>
            <w:pPr>
              <w:jc w:val="center"/>
              <w:ind w:left="2479"/>
              <w:spacing w:after="0" w:line="117" w:lineRule="exact"/>
              <w:rPr>
                <w:sz w:val="20"/>
                <w:szCs w:val="20"/>
                <w:color w:val="auto"/>
              </w:rPr>
            </w:pPr>
            <w:r>
              <w:rPr>
                <w:rFonts w:ascii="Arial" w:cs="Arial" w:eastAsia="Arial" w:hAnsi="Arial"/>
                <w:sz w:val="11"/>
                <w:szCs w:val="11"/>
                <w:b w:val="1"/>
                <w:bCs w:val="1"/>
                <w:color w:val="auto"/>
              </w:rPr>
              <w:t>(State or other jurisdiction of</w:t>
            </w:r>
          </w:p>
        </w:tc>
        <w:tc>
          <w:tcPr>
            <w:tcW w:w="1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60" w:type="dxa"/>
            <w:vAlign w:val="bottom"/>
          </w:tcPr>
          <w:p>
            <w:pPr>
              <w:jc w:val="center"/>
              <w:ind w:right="3259"/>
              <w:spacing w:after="0" w:line="117" w:lineRule="exact"/>
              <w:rPr>
                <w:sz w:val="20"/>
                <w:szCs w:val="20"/>
                <w:color w:val="auto"/>
              </w:rPr>
            </w:pPr>
            <w:r>
              <w:rPr>
                <w:rFonts w:ascii="Arial" w:cs="Arial" w:eastAsia="Arial" w:hAnsi="Arial"/>
                <w:sz w:val="11"/>
                <w:szCs w:val="11"/>
                <w:b w:val="1"/>
                <w:bCs w:val="1"/>
                <w:color w:val="auto"/>
              </w:rPr>
              <w:t>(I.R.S. Employer</w:t>
            </w:r>
          </w:p>
        </w:tc>
        <w:tc>
          <w:tcPr>
            <w:tcW w:w="0" w:type="dxa"/>
            <w:vAlign w:val="bottom"/>
          </w:tcPr>
          <w:p>
            <w:pPr>
              <w:spacing w:after="0"/>
              <w:rPr>
                <w:sz w:val="1"/>
                <w:szCs w:val="1"/>
                <w:color w:val="auto"/>
              </w:rPr>
            </w:pPr>
          </w:p>
        </w:tc>
      </w:tr>
      <w:tr>
        <w:trPr>
          <w:trHeight w:val="140"/>
        </w:trPr>
        <w:tc>
          <w:tcPr>
            <w:tcW w:w="5000" w:type="dxa"/>
            <w:vAlign w:val="bottom"/>
            <w:gridSpan w:val="2"/>
          </w:tcPr>
          <w:p>
            <w:pPr>
              <w:jc w:val="center"/>
              <w:ind w:left="2479"/>
              <w:spacing w:after="0"/>
              <w:rPr>
                <w:sz w:val="20"/>
                <w:szCs w:val="20"/>
                <w:color w:val="auto"/>
              </w:rPr>
            </w:pPr>
            <w:r>
              <w:rPr>
                <w:rFonts w:ascii="Arial" w:cs="Arial" w:eastAsia="Arial" w:hAnsi="Arial"/>
                <w:sz w:val="11"/>
                <w:szCs w:val="11"/>
                <w:b w:val="1"/>
                <w:bCs w:val="1"/>
                <w:color w:val="auto"/>
              </w:rPr>
              <w:t>incorporation or organization)</w:t>
            </w:r>
          </w:p>
        </w:tc>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tcPr>
          <w:p>
            <w:pPr>
              <w:jc w:val="center"/>
              <w:ind w:right="3259"/>
              <w:spacing w:after="0"/>
              <w:rPr>
                <w:sz w:val="20"/>
                <w:szCs w:val="20"/>
                <w:color w:val="auto"/>
              </w:rPr>
            </w:pPr>
            <w:r>
              <w:rPr>
                <w:rFonts w:ascii="Arial" w:cs="Arial" w:eastAsia="Arial" w:hAnsi="Arial"/>
                <w:sz w:val="11"/>
                <w:szCs w:val="11"/>
                <w:b w:val="1"/>
                <w:bCs w:val="1"/>
                <w:color w:val="auto"/>
              </w:rPr>
              <w:t>Identification No.)</w:t>
            </w:r>
          </w:p>
        </w:tc>
        <w:tc>
          <w:tcPr>
            <w:tcW w:w="0" w:type="dxa"/>
            <w:vAlign w:val="bottom"/>
          </w:tcPr>
          <w:p>
            <w:pPr>
              <w:spacing w:after="0"/>
              <w:rPr>
                <w:sz w:val="1"/>
                <w:szCs w:val="1"/>
                <w:color w:val="auto"/>
              </w:rPr>
            </w:pPr>
          </w:p>
        </w:tc>
      </w:tr>
      <w:tr>
        <w:trPr>
          <w:trHeight w:val="142"/>
        </w:trPr>
        <w:tc>
          <w:tcPr>
            <w:tcW w:w="5000" w:type="dxa"/>
            <w:vAlign w:val="bottom"/>
            <w:gridSpan w:val="2"/>
          </w:tcPr>
          <w:p>
            <w:pPr>
              <w:jc w:val="center"/>
              <w:ind w:left="2479"/>
              <w:spacing w:after="0" w:line="142" w:lineRule="exact"/>
              <w:rPr>
                <w:sz w:val="20"/>
                <w:szCs w:val="20"/>
                <w:color w:val="auto"/>
              </w:rPr>
            </w:pPr>
            <w:r>
              <w:rPr>
                <w:rFonts w:ascii="Arial" w:cs="Arial" w:eastAsia="Arial" w:hAnsi="Arial"/>
                <w:sz w:val="14"/>
                <w:szCs w:val="14"/>
                <w:b w:val="1"/>
                <w:bCs w:val="1"/>
                <w:color w:val="auto"/>
              </w:rPr>
              <w:t>261 Hamilton Avenue</w:t>
            </w:r>
          </w:p>
        </w:tc>
        <w:tc>
          <w:tcPr>
            <w:tcW w:w="1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60" w:type="dxa"/>
            <w:vAlign w:val="bottom"/>
            <w:vMerge w:val="restart"/>
          </w:tcPr>
          <w:p>
            <w:pPr>
              <w:jc w:val="right"/>
              <w:ind w:right="3539"/>
              <w:spacing w:after="0"/>
              <w:rPr>
                <w:sz w:val="20"/>
                <w:szCs w:val="20"/>
                <w:color w:val="auto"/>
              </w:rPr>
            </w:pPr>
            <w:r>
              <w:rPr>
                <w:rFonts w:ascii="Arial" w:cs="Arial" w:eastAsia="Arial" w:hAnsi="Arial"/>
                <w:sz w:val="14"/>
                <w:szCs w:val="14"/>
                <w:b w:val="1"/>
                <w:bCs w:val="1"/>
                <w:color w:val="auto"/>
              </w:rPr>
              <w:t>94301</w:t>
            </w:r>
          </w:p>
        </w:tc>
        <w:tc>
          <w:tcPr>
            <w:tcW w:w="0" w:type="dxa"/>
            <w:vAlign w:val="bottom"/>
          </w:tcPr>
          <w:p>
            <w:pPr>
              <w:spacing w:after="0"/>
              <w:rPr>
                <w:sz w:val="1"/>
                <w:szCs w:val="1"/>
                <w:color w:val="auto"/>
              </w:rPr>
            </w:pPr>
          </w:p>
        </w:tc>
      </w:tr>
      <w:tr>
        <w:trPr>
          <w:trHeight w:val="195"/>
        </w:trPr>
        <w:tc>
          <w:tcPr>
            <w:tcW w:w="5000" w:type="dxa"/>
            <w:vAlign w:val="bottom"/>
            <w:gridSpan w:val="2"/>
          </w:tcPr>
          <w:p>
            <w:pPr>
              <w:jc w:val="center"/>
              <w:ind w:left="2479"/>
              <w:spacing w:after="0"/>
              <w:rPr>
                <w:sz w:val="20"/>
                <w:szCs w:val="20"/>
                <w:color w:val="auto"/>
              </w:rPr>
            </w:pPr>
            <w:r>
              <w:rPr>
                <w:rFonts w:ascii="Arial" w:cs="Arial" w:eastAsia="Arial" w:hAnsi="Arial"/>
                <w:sz w:val="14"/>
                <w:szCs w:val="14"/>
                <w:b w:val="1"/>
                <w:bCs w:val="1"/>
                <w:color w:val="auto"/>
              </w:rPr>
              <w:t>Palo Alto, California</w:t>
            </w: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000" w:type="dxa"/>
            <w:vAlign w:val="bottom"/>
            <w:gridSpan w:val="2"/>
          </w:tcPr>
          <w:p>
            <w:pPr>
              <w:jc w:val="center"/>
              <w:ind w:left="2479"/>
              <w:spacing w:after="0"/>
              <w:rPr>
                <w:sz w:val="20"/>
                <w:szCs w:val="20"/>
                <w:color w:val="auto"/>
              </w:rPr>
            </w:pPr>
            <w:r>
              <w:rPr>
                <w:rFonts w:ascii="Arial" w:cs="Arial" w:eastAsia="Arial" w:hAnsi="Arial"/>
                <w:sz w:val="11"/>
                <w:szCs w:val="11"/>
                <w:b w:val="1"/>
                <w:bCs w:val="1"/>
                <w:color w:val="auto"/>
              </w:rPr>
              <w:t>(Address of principal executive offices)</w:t>
            </w: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60" w:type="dxa"/>
            <w:vAlign w:val="bottom"/>
          </w:tcPr>
          <w:p>
            <w:pPr>
              <w:jc w:val="center"/>
              <w:ind w:right="3239"/>
              <w:spacing w:after="0"/>
              <w:rPr>
                <w:sz w:val="20"/>
                <w:szCs w:val="20"/>
                <w:color w:val="auto"/>
              </w:rPr>
            </w:pPr>
            <w:r>
              <w:rPr>
                <w:rFonts w:ascii="Arial" w:cs="Arial" w:eastAsia="Arial" w:hAnsi="Arial"/>
                <w:sz w:val="11"/>
                <w:szCs w:val="11"/>
                <w:b w:val="1"/>
                <w:bCs w:val="1"/>
                <w:color w:val="auto"/>
              </w:rPr>
              <w:t>(Zip Code)</w:t>
            </w: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jc w:val="center"/>
              <w:ind w:right="323"/>
              <w:spacing w:after="0"/>
              <w:rPr>
                <w:sz w:val="20"/>
                <w:szCs w:val="20"/>
                <w:color w:val="auto"/>
              </w:rPr>
            </w:pPr>
            <w:r>
              <w:rPr>
                <w:rFonts w:ascii="Arial" w:cs="Arial" w:eastAsia="Arial" w:hAnsi="Arial"/>
                <w:sz w:val="11"/>
                <w:szCs w:val="11"/>
                <w:b w:val="1"/>
                <w:bCs w:val="1"/>
                <w:color w:val="auto"/>
              </w:rPr>
              <w:t>(844) 995-8437</w:t>
            </w:r>
          </w:p>
        </w:tc>
        <w:tc>
          <w:tcPr>
            <w:tcW w:w="3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7040" w:type="dxa"/>
            <w:vAlign w:val="bottom"/>
            <w:gridSpan w:val="4"/>
          </w:tcPr>
          <w:p>
            <w:pPr>
              <w:jc w:val="center"/>
              <w:ind w:left="4199"/>
              <w:spacing w:after="0"/>
              <w:rPr>
                <w:sz w:val="20"/>
                <w:szCs w:val="20"/>
                <w:color w:val="auto"/>
              </w:rPr>
            </w:pPr>
            <w:r>
              <w:rPr>
                <w:rFonts w:ascii="Arial" w:cs="Arial" w:eastAsia="Arial" w:hAnsi="Arial"/>
                <w:sz w:val="11"/>
                <w:szCs w:val="11"/>
                <w:b w:val="1"/>
                <w:bCs w:val="1"/>
                <w:color w:val="auto"/>
              </w:rPr>
              <w:t>Registrant’s telephone number, including area code</w:t>
            </w:r>
          </w:p>
        </w:tc>
        <w:tc>
          <w:tcPr>
            <w:tcW w:w="4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0" w:type="dxa"/>
            <w:vAlign w:val="bottom"/>
            <w:gridSpan w:val="2"/>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4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Title of each class</w:t>
            </w: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ind w:right="343"/>
              <w:spacing w:after="0"/>
              <w:rPr>
                <w:sz w:val="20"/>
                <w:szCs w:val="20"/>
                <w:color w:val="auto"/>
              </w:rPr>
            </w:pPr>
            <w:r>
              <w:rPr>
                <w:rFonts w:ascii="Arial" w:cs="Arial" w:eastAsia="Arial" w:hAnsi="Arial"/>
                <w:sz w:val="11"/>
                <w:szCs w:val="11"/>
                <w:color w:val="auto"/>
              </w:rPr>
              <w:t>Trading Symbol(s)</w:t>
            </w:r>
          </w:p>
        </w:tc>
        <w:tc>
          <w:tcPr>
            <w:tcW w:w="360" w:type="dxa"/>
            <w:vAlign w:val="bottom"/>
            <w:tcBorders>
              <w:bottom w:val="single" w:sz="8" w:color="auto"/>
            </w:tcBorders>
          </w:tcPr>
          <w:p>
            <w:pPr>
              <w:spacing w:after="0"/>
              <w:rPr>
                <w:sz w:val="12"/>
                <w:szCs w:val="12"/>
                <w:color w:val="auto"/>
              </w:rPr>
            </w:pPr>
          </w:p>
        </w:tc>
        <w:tc>
          <w:tcPr>
            <w:tcW w:w="4260" w:type="dxa"/>
            <w:vAlign w:val="bottom"/>
            <w:tcBorders>
              <w:bottom w:val="single" w:sz="8" w:color="auto"/>
              <w:right w:val="single" w:sz="8" w:color="auto"/>
            </w:tcBorders>
          </w:tcPr>
          <w:p>
            <w:pPr>
              <w:jc w:val="center"/>
              <w:ind w:right="319"/>
              <w:spacing w:after="0"/>
              <w:rPr>
                <w:sz w:val="20"/>
                <w:szCs w:val="20"/>
                <w:color w:val="auto"/>
              </w:rPr>
            </w:pPr>
            <w:r>
              <w:rPr>
                <w:rFonts w:ascii="Arial" w:cs="Arial" w:eastAsia="Arial" w:hAnsi="Arial"/>
                <w:sz w:val="11"/>
                <w:szCs w:val="11"/>
                <w:color w:val="auto"/>
              </w:rPr>
              <w:t>Name of each exchange on which registered</w:t>
            </w:r>
          </w:p>
        </w:tc>
        <w:tc>
          <w:tcPr>
            <w:tcW w:w="0" w:type="dxa"/>
            <w:vAlign w:val="bottom"/>
          </w:tcPr>
          <w:p>
            <w:pPr>
              <w:spacing w:after="0"/>
              <w:rPr>
                <w:sz w:val="1"/>
                <w:szCs w:val="1"/>
                <w:color w:val="auto"/>
              </w:rPr>
            </w:pPr>
          </w:p>
        </w:tc>
      </w:tr>
      <w:tr>
        <w:trPr>
          <w:trHeight w:val="150"/>
        </w:trPr>
        <w:tc>
          <w:tcPr>
            <w:tcW w:w="4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Common stock, $0.0001 par value per share</w:t>
            </w:r>
          </w:p>
        </w:tc>
        <w:tc>
          <w:tcPr>
            <w:tcW w:w="360" w:type="dxa"/>
            <w:vAlign w:val="bottom"/>
            <w:tcBorders>
              <w:bottom w:val="single" w:sz="8" w:color="auto"/>
            </w:tcBorders>
          </w:tcPr>
          <w:p>
            <w:pPr>
              <w:spacing w:after="0"/>
              <w:rPr>
                <w:sz w:val="13"/>
                <w:szCs w:val="13"/>
                <w:color w:val="auto"/>
              </w:rPr>
            </w:pPr>
          </w:p>
        </w:tc>
        <w:tc>
          <w:tcPr>
            <w:tcW w:w="1680" w:type="dxa"/>
            <w:vAlign w:val="bottom"/>
            <w:tcBorders>
              <w:bottom w:val="single" w:sz="8" w:color="auto"/>
              <w:right w:val="single" w:sz="8" w:color="auto"/>
            </w:tcBorders>
          </w:tcPr>
          <w:p>
            <w:pPr>
              <w:jc w:val="center"/>
              <w:ind w:right="323"/>
              <w:spacing w:after="0"/>
              <w:rPr>
                <w:sz w:val="20"/>
                <w:szCs w:val="20"/>
                <w:color w:val="auto"/>
              </w:rPr>
            </w:pPr>
            <w:r>
              <w:rPr>
                <w:rFonts w:ascii="Arial" w:cs="Arial" w:eastAsia="Arial" w:hAnsi="Arial"/>
                <w:sz w:val="11"/>
                <w:szCs w:val="11"/>
                <w:color w:val="auto"/>
                <w:w w:val="96"/>
              </w:rPr>
              <w:t>WLTH</w:t>
            </w:r>
          </w:p>
        </w:tc>
        <w:tc>
          <w:tcPr>
            <w:tcW w:w="360" w:type="dxa"/>
            <w:vAlign w:val="bottom"/>
            <w:tcBorders>
              <w:bottom w:val="single" w:sz="8" w:color="auto"/>
            </w:tcBorders>
          </w:tcPr>
          <w:p>
            <w:pPr>
              <w:spacing w:after="0"/>
              <w:rPr>
                <w:sz w:val="13"/>
                <w:szCs w:val="13"/>
                <w:color w:val="auto"/>
              </w:rPr>
            </w:pPr>
          </w:p>
        </w:tc>
        <w:tc>
          <w:tcPr>
            <w:tcW w:w="4260" w:type="dxa"/>
            <w:vAlign w:val="bottom"/>
            <w:tcBorders>
              <w:bottom w:val="single" w:sz="8" w:color="auto"/>
              <w:right w:val="single" w:sz="8" w:color="auto"/>
            </w:tcBorders>
          </w:tcPr>
          <w:p>
            <w:pPr>
              <w:jc w:val="center"/>
              <w:ind w:right="319"/>
              <w:spacing w:after="0"/>
              <w:rPr>
                <w:sz w:val="20"/>
                <w:szCs w:val="20"/>
                <w:color w:val="auto"/>
              </w:rPr>
            </w:pPr>
            <w:r>
              <w:rPr>
                <w:rFonts w:ascii="Arial" w:cs="Arial" w:eastAsia="Arial" w:hAnsi="Arial"/>
                <w:sz w:val="11"/>
                <w:szCs w:val="11"/>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303" w:lineRule="exact"/>
        <w:rPr>
          <w:sz w:val="24"/>
          <w:szCs w:val="24"/>
          <w:color w:val="auto"/>
        </w:rPr>
      </w:pPr>
    </w:p>
    <w:p>
      <w:pPr>
        <w:ind w:right="4720"/>
        <w:spacing w:after="0" w:line="20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right="20"/>
        <w:spacing w:after="0" w:line="15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59" w:lineRule="exact"/>
        <w:rPr>
          <w:sz w:val="24"/>
          <w:szCs w:val="24"/>
          <w:color w:val="auto"/>
        </w:rPr>
      </w:pPr>
    </w:p>
    <w:p>
      <w:pPr>
        <w:jc w:val="both"/>
        <w:ind w:right="20"/>
        <w:spacing w:after="0" w:line="15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9" w:lineRule="exact"/>
        <w:rPr>
          <w:sz w:val="24"/>
          <w:szCs w:val="24"/>
          <w:color w:val="auto"/>
        </w:rPr>
      </w:pPr>
    </w:p>
    <w:p>
      <w:pPr>
        <w:jc w:val="both"/>
        <w:ind w:right="20"/>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191"/>
        </w:trPr>
        <w:tc>
          <w:tcPr>
            <w:tcW w:w="14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98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280" w:type="dxa"/>
            <w:vAlign w:val="bottom"/>
          </w:tcPr>
          <w:p>
            <w:pPr>
              <w:ind w:left="3560"/>
              <w:spacing w:after="0"/>
              <w:rPr>
                <w:sz w:val="20"/>
                <w:szCs w:val="20"/>
                <w:color w:val="auto"/>
              </w:rPr>
            </w:pPr>
            <w:r>
              <w:rPr>
                <w:rFonts w:ascii="Arial" w:cs="Arial" w:eastAsia="Arial" w:hAnsi="Arial"/>
                <w:sz w:val="11"/>
                <w:szCs w:val="11"/>
                <w:color w:val="auto"/>
              </w:rPr>
              <w:t>Accelerated filer</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93"/>
        </w:trPr>
        <w:tc>
          <w:tcPr>
            <w:tcW w:w="1400" w:type="dxa"/>
            <w:vAlign w:val="bottom"/>
          </w:tcPr>
          <w:p>
            <w:pPr>
              <w:spacing w:after="0"/>
              <w:rPr>
                <w:sz w:val="20"/>
                <w:szCs w:val="20"/>
                <w:color w:val="auto"/>
              </w:rPr>
            </w:pPr>
            <w:r>
              <w:rPr>
                <w:rFonts w:ascii="Arial" w:cs="Arial" w:eastAsia="Arial" w:hAnsi="Arial"/>
                <w:sz w:val="11"/>
                <w:szCs w:val="11"/>
                <w:color w:val="auto"/>
              </w:rPr>
              <w:t>Non-accelerated filer</w:t>
            </w:r>
          </w:p>
        </w:tc>
        <w:tc>
          <w:tcPr>
            <w:tcW w:w="3980" w:type="dxa"/>
            <w:vAlign w:val="bottom"/>
          </w:tcPr>
          <w:p>
            <w:pPr>
              <w:ind w:left="300"/>
              <w:spacing w:after="0" w:line="111" w:lineRule="exact"/>
              <w:rPr>
                <w:sz w:val="20"/>
                <w:szCs w:val="20"/>
                <w:color w:val="auto"/>
              </w:rPr>
            </w:pPr>
            <w:r>
              <w:rPr>
                <w:rFonts w:ascii="MS PGothic" w:cs="MS PGothic" w:eastAsia="MS PGothic" w:hAnsi="MS PGothic"/>
                <w:sz w:val="11"/>
                <w:szCs w:val="11"/>
                <w:color w:val="auto"/>
              </w:rPr>
              <w:t>☒</w:t>
            </w:r>
          </w:p>
        </w:tc>
        <w:tc>
          <w:tcPr>
            <w:tcW w:w="5280" w:type="dxa"/>
            <w:vAlign w:val="bottom"/>
          </w:tcPr>
          <w:p>
            <w:pPr>
              <w:ind w:left="3560"/>
              <w:spacing w:after="0"/>
              <w:rPr>
                <w:sz w:val="20"/>
                <w:szCs w:val="20"/>
                <w:color w:val="auto"/>
              </w:rPr>
            </w:pPr>
            <w:r>
              <w:rPr>
                <w:rFonts w:ascii="Arial" w:cs="Arial" w:eastAsia="Arial" w:hAnsi="Arial"/>
                <w:sz w:val="11"/>
                <w:szCs w:val="11"/>
                <w:color w:val="auto"/>
              </w:rPr>
              <w:t>Smaller reporting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393"/>
        </w:trPr>
        <w:tc>
          <w:tcPr>
            <w:tcW w:w="1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80" w:type="dxa"/>
            <w:vAlign w:val="bottom"/>
          </w:tcPr>
          <w:p>
            <w:pPr>
              <w:ind w:left="3560"/>
              <w:spacing w:after="0"/>
              <w:rPr>
                <w:sz w:val="20"/>
                <w:szCs w:val="20"/>
                <w:color w:val="auto"/>
              </w:rPr>
            </w:pPr>
            <w:r>
              <w:rPr>
                <w:rFonts w:ascii="Arial" w:cs="Arial" w:eastAsia="Arial" w:hAnsi="Arial"/>
                <w:sz w:val="11"/>
                <w:szCs w:val="11"/>
                <w:color w:val="auto"/>
              </w:rPr>
              <w:t>Emerging growth company</w:t>
            </w:r>
          </w:p>
        </w:tc>
        <w:tc>
          <w:tcPr>
            <w:tcW w:w="480" w:type="dxa"/>
            <w:vAlign w:val="bottom"/>
          </w:tcPr>
          <w:p>
            <w:pPr>
              <w:ind w:left="38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81" w:lineRule="exact"/>
        <w:rPr>
          <w:sz w:val="24"/>
          <w:szCs w:val="24"/>
          <w:color w:val="auto"/>
        </w:rPr>
      </w:pPr>
    </w:p>
    <w:p>
      <w:pPr>
        <w:ind w:right="20"/>
        <w:spacing w:after="0" w:line="146"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59" w:lineRule="exact"/>
        <w:rPr>
          <w:sz w:val="24"/>
          <w:szCs w:val="24"/>
          <w:color w:val="auto"/>
        </w:rPr>
      </w:pPr>
    </w:p>
    <w:p>
      <w:pPr>
        <w:ind w:right="20"/>
        <w:spacing w:after="0" w:line="151"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9" w:lineRule="exact"/>
        <w:rPr>
          <w:sz w:val="24"/>
          <w:szCs w:val="24"/>
          <w:color w:val="auto"/>
        </w:rPr>
      </w:pPr>
    </w:p>
    <w:p>
      <w:pPr>
        <w:ind w:right="20"/>
        <w:spacing w:after="0" w:line="151"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49" w:lineRule="exact"/>
        <w:rPr>
          <w:sz w:val="24"/>
          <w:szCs w:val="24"/>
          <w:color w:val="auto"/>
        </w:rPr>
      </w:pPr>
    </w:p>
    <w:p>
      <w:pPr>
        <w:ind w:right="20"/>
        <w:spacing w:after="0" w:line="151"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20" w:lineRule="exact"/>
        <w:rPr>
          <w:sz w:val="24"/>
          <w:szCs w:val="24"/>
          <w:color w:val="auto"/>
        </w:rPr>
      </w:pPr>
    </w:p>
    <w:p>
      <w:pPr>
        <w:spacing w:after="0" w:line="16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4"/>
          <w:szCs w:val="14"/>
          <w:color w:val="auto"/>
        </w:rPr>
        <w:t>☒</w:t>
      </w:r>
    </w:p>
    <w:p>
      <w:pPr>
        <w:spacing w:after="0" w:line="133" w:lineRule="exact"/>
        <w:rPr>
          <w:sz w:val="24"/>
          <w:szCs w:val="24"/>
          <w:color w:val="auto"/>
        </w:rPr>
      </w:pPr>
    </w:p>
    <w:p>
      <w:pPr>
        <w:ind w:right="20"/>
        <w:spacing w:after="0" w:line="302" w:lineRule="auto"/>
        <w:rPr>
          <w:sz w:val="20"/>
          <w:szCs w:val="20"/>
          <w:color w:val="auto"/>
        </w:rPr>
      </w:pPr>
      <w:r>
        <w:rPr>
          <w:rFonts w:ascii="Arial" w:cs="Arial" w:eastAsia="Arial" w:hAnsi="Arial"/>
          <w:sz w:val="11"/>
          <w:szCs w:val="11"/>
          <w:color w:val="auto"/>
        </w:rPr>
        <w:t>The registrant was not a public company as of July 31, 2025, the last business day of its most recently completed second fiscal quarter, and, therefore, cannot calculate the aggregate market value of its voting and non-voting common equity held by non-affiliates as of such date. The registrant’s common stock began trading on the Nasdaq Stock Market on December 12, 2025</w:t>
      </w:r>
      <w:r>
        <w:rPr>
          <w:rFonts w:ascii="Times New Roman" w:cs="Times New Roman" w:eastAsia="Times New Roman" w:hAnsi="Times New Roman"/>
          <w:sz w:val="11"/>
          <w:szCs w:val="11"/>
          <w:color w:val="auto"/>
        </w:rPr>
        <w:t>.</w:t>
      </w:r>
    </w:p>
    <w:p>
      <w:pPr>
        <w:spacing w:after="0" w:line="371" w:lineRule="exact"/>
        <w:rPr>
          <w:sz w:val="24"/>
          <w:szCs w:val="24"/>
          <w:color w:val="auto"/>
        </w:rPr>
      </w:pPr>
    </w:p>
    <w:p>
      <w:pPr>
        <w:spacing w:after="0"/>
        <w:rPr>
          <w:sz w:val="20"/>
          <w:szCs w:val="20"/>
          <w:color w:val="auto"/>
        </w:rPr>
      </w:pPr>
      <w:r>
        <w:rPr>
          <w:rFonts w:ascii="Arial" w:cs="Arial" w:eastAsia="Arial" w:hAnsi="Arial"/>
          <w:sz w:val="11"/>
          <w:szCs w:val="11"/>
          <w:color w:val="auto"/>
        </w:rPr>
        <w:t>As of April 22, 2026, the number of shares of the registrant’s common stock outstanding was 149,574,024.</w:t>
      </w:r>
    </w:p>
    <w:p>
      <w:pPr>
        <w:spacing w:after="0" w:line="86" w:lineRule="exact"/>
        <w:rPr>
          <w:sz w:val="24"/>
          <w:szCs w:val="24"/>
          <w:color w:val="auto"/>
        </w:rPr>
      </w:pPr>
    </w:p>
    <w:p>
      <w:pPr>
        <w:ind w:left="4360"/>
        <w:spacing w:after="0"/>
        <w:rPr>
          <w:sz w:val="20"/>
          <w:szCs w:val="20"/>
          <w:color w:val="auto"/>
        </w:rPr>
      </w:pPr>
      <w:r>
        <w:rPr>
          <w:rFonts w:ascii="Arial" w:cs="Arial" w:eastAsia="Arial" w:hAnsi="Arial"/>
          <w:sz w:val="11"/>
          <w:szCs w:val="11"/>
          <w:color w:val="auto"/>
        </w:rPr>
        <w:t>DOCUMENTS INCORPORATED BY REFERENCE</w:t>
      </w:r>
    </w:p>
    <w:p>
      <w:pPr>
        <w:spacing w:after="0" w:line="96" w:lineRule="exact"/>
        <w:rPr>
          <w:sz w:val="24"/>
          <w:szCs w:val="24"/>
          <w:color w:val="auto"/>
        </w:rPr>
      </w:pPr>
    </w:p>
    <w:p>
      <w:pPr>
        <w:ind w:right="20"/>
        <w:spacing w:after="0" w:line="302" w:lineRule="auto"/>
        <w:rPr>
          <w:sz w:val="20"/>
          <w:szCs w:val="20"/>
          <w:color w:val="auto"/>
        </w:rPr>
      </w:pPr>
      <w:r>
        <w:rPr>
          <w:rFonts w:ascii="Arial" w:cs="Arial" w:eastAsia="Arial" w:hAnsi="Arial"/>
          <w:sz w:val="11"/>
          <w:szCs w:val="11"/>
          <w:color w:val="auto"/>
        </w:rPr>
        <w:t>Portions of the registrant’s definitive proxy statement for its 2026 Annual Meeting of Stockholders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r>
        <w:rPr>
          <w:rFonts w:ascii="Times New Roman" w:cs="Times New Roman" w:eastAsia="Times New Roman" w:hAnsi="Times New Roman"/>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334645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53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4"/>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0" w:type="dxa"/>
            <w:vAlign w:val="bottom"/>
            <w:gridSpan w:val="8"/>
          </w:tcPr>
          <w:p>
            <w:pPr>
              <w:ind w:left="20"/>
              <w:spacing w:after="0"/>
              <w:rPr>
                <w:sz w:val="20"/>
                <w:szCs w:val="20"/>
                <w:color w:val="auto"/>
              </w:rPr>
            </w:pPr>
            <w:r>
              <w:rPr>
                <w:rFonts w:ascii="Arial" w:cs="Arial" w:eastAsia="Arial" w:hAnsi="Arial"/>
                <w:sz w:val="14"/>
                <w:szCs w:val="14"/>
                <w:b w:val="1"/>
                <w:bCs w:val="1"/>
                <w:color w:val="auto"/>
              </w:rPr>
              <w:t>TABLE OF CONTENTS</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80" w:type="dxa"/>
            <w:vAlign w:val="bottom"/>
            <w:gridSpan w:val="9"/>
            <w:vMerge w:val="restart"/>
          </w:tcPr>
          <w:p>
            <w:pPr>
              <w:jc w:val="center"/>
              <w:ind w:right="4800"/>
              <w:spacing w:after="0"/>
              <w:rPr>
                <w:sz w:val="20"/>
                <w:szCs w:val="20"/>
                <w:color w:val="auto"/>
              </w:rPr>
            </w:pPr>
            <w:r>
              <w:rPr>
                <w:rFonts w:ascii="Arial" w:cs="Arial" w:eastAsia="Arial" w:hAnsi="Arial"/>
                <w:sz w:val="14"/>
                <w:szCs w:val="14"/>
                <w:b w:val="1"/>
                <w:bCs w:val="1"/>
                <w:color w:val="auto"/>
              </w:rPr>
              <w:t>PART I</w:t>
            </w:r>
          </w:p>
        </w:tc>
        <w:tc>
          <w:tcPr>
            <w:tcW w:w="12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80" w:type="dxa"/>
            <w:vAlign w:val="bottom"/>
            <w:gridSpan w:val="9"/>
            <w:vMerge w:val="continue"/>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color w:val="auto"/>
              </w:rPr>
              <w:t>Item 1.</w:t>
            </w:r>
          </w:p>
        </w:tc>
        <w:tc>
          <w:tcPr>
            <w:tcW w:w="8900" w:type="dxa"/>
            <w:vAlign w:val="bottom"/>
            <w:gridSpan w:val="24"/>
          </w:tcPr>
          <w:p>
            <w:pPr>
              <w:spacing w:after="0" w:line="153" w:lineRule="exact"/>
              <w:rPr>
                <w:sz w:val="20"/>
                <w:szCs w:val="20"/>
                <w:color w:val="auto"/>
              </w:rPr>
            </w:pPr>
            <w:r>
              <w:rPr>
                <w:rFonts w:ascii="Arial" w:cs="Arial" w:eastAsia="Arial" w:hAnsi="Arial"/>
                <w:sz w:val="14"/>
                <w:szCs w:val="14"/>
                <w:color w:val="0000FF"/>
              </w:rPr>
              <w:t>Business</w:t>
            </w:r>
          </w:p>
        </w:tc>
        <w:tc>
          <w:tcPr>
            <w:tcW w:w="1200" w:type="dxa"/>
            <w:vAlign w:val="bottom"/>
            <w:gridSpan w:val="3"/>
          </w:tcPr>
          <w:p>
            <w:pPr>
              <w:jc w:val="right"/>
              <w:spacing w:after="0" w:line="153" w:lineRule="exact"/>
              <w:rPr>
                <w:sz w:val="20"/>
                <w:szCs w:val="20"/>
                <w:color w:val="auto"/>
              </w:rPr>
            </w:pPr>
            <w:r>
              <w:rPr>
                <w:rFonts w:ascii="Arial" w:cs="Arial" w:eastAsia="Arial" w:hAnsi="Arial"/>
                <w:sz w:val="14"/>
                <w:szCs w:val="14"/>
                <w:color w:val="0000FF"/>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780" w:type="dxa"/>
            <w:vAlign w:val="bottom"/>
            <w:gridSpan w:val="4"/>
          </w:tcPr>
          <w:p>
            <w:pPr>
              <w:spacing w:after="0"/>
              <w:rPr>
                <w:sz w:val="20"/>
                <w:szCs w:val="20"/>
                <w:color w:val="auto"/>
              </w:rPr>
            </w:pPr>
            <w:r>
              <w:rPr>
                <w:rFonts w:ascii="Arial" w:cs="Arial" w:eastAsia="Arial" w:hAnsi="Arial"/>
                <w:sz w:val="14"/>
                <w:szCs w:val="14"/>
                <w:color w:val="0000FF"/>
                <w:w w:val="97"/>
              </w:rPr>
              <w:t>Risk Factors</w:t>
            </w:r>
          </w:p>
        </w:tc>
        <w:tc>
          <w:tcPr>
            <w:tcW w:w="8120" w:type="dxa"/>
            <w:vAlign w:val="bottom"/>
            <w:gridSpan w:val="20"/>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1B.</w:t>
            </w:r>
          </w:p>
        </w:tc>
        <w:tc>
          <w:tcPr>
            <w:tcW w:w="1760" w:type="dxa"/>
            <w:vAlign w:val="bottom"/>
            <w:gridSpan w:val="10"/>
          </w:tcPr>
          <w:p>
            <w:pPr>
              <w:spacing w:after="0"/>
              <w:rPr>
                <w:sz w:val="20"/>
                <w:szCs w:val="20"/>
                <w:color w:val="auto"/>
              </w:rPr>
            </w:pPr>
            <w:r>
              <w:rPr>
                <w:rFonts w:ascii="Arial" w:cs="Arial" w:eastAsia="Arial" w:hAnsi="Arial"/>
                <w:sz w:val="14"/>
                <w:szCs w:val="14"/>
                <w:color w:val="0000FF"/>
                <w:w w:val="99"/>
              </w:rPr>
              <w:t>Unresolved Staff Comments</w:t>
            </w:r>
          </w:p>
        </w:tc>
        <w:tc>
          <w:tcPr>
            <w:tcW w:w="7140" w:type="dxa"/>
            <w:vAlign w:val="bottom"/>
            <w:gridSpan w:val="14"/>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1C.</w:t>
            </w:r>
          </w:p>
        </w:tc>
        <w:tc>
          <w:tcPr>
            <w:tcW w:w="860" w:type="dxa"/>
            <w:vAlign w:val="bottom"/>
            <w:gridSpan w:val="5"/>
          </w:tcPr>
          <w:p>
            <w:pPr>
              <w:spacing w:after="0"/>
              <w:rPr>
                <w:sz w:val="20"/>
                <w:szCs w:val="20"/>
                <w:color w:val="auto"/>
              </w:rPr>
            </w:pPr>
            <w:r>
              <w:rPr>
                <w:rFonts w:ascii="Arial" w:cs="Arial" w:eastAsia="Arial" w:hAnsi="Arial"/>
                <w:sz w:val="14"/>
                <w:szCs w:val="14"/>
                <w:color w:val="0000FF"/>
                <w:w w:val="98"/>
              </w:rPr>
              <w:t>Cybersecurity</w:t>
            </w:r>
          </w:p>
        </w:tc>
        <w:tc>
          <w:tcPr>
            <w:tcW w:w="900" w:type="dxa"/>
            <w:vAlign w:val="bottom"/>
            <w:gridSpan w:val="5"/>
          </w:tcPr>
          <w:p>
            <w:pPr>
              <w:spacing w:after="0"/>
              <w:rPr>
                <w:sz w:val="13"/>
                <w:szCs w:val="13"/>
                <w:color w:val="auto"/>
              </w:rPr>
            </w:pPr>
          </w:p>
        </w:tc>
        <w:tc>
          <w:tcPr>
            <w:tcW w:w="7140" w:type="dxa"/>
            <w:vAlign w:val="bottom"/>
            <w:gridSpan w:val="14"/>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2.</w:t>
            </w:r>
          </w:p>
        </w:tc>
        <w:tc>
          <w:tcPr>
            <w:tcW w:w="640" w:type="dxa"/>
            <w:vAlign w:val="bottom"/>
            <w:gridSpan w:val="2"/>
          </w:tcPr>
          <w:p>
            <w:pPr>
              <w:spacing w:after="0"/>
              <w:rPr>
                <w:sz w:val="20"/>
                <w:szCs w:val="20"/>
                <w:color w:val="auto"/>
              </w:rPr>
            </w:pPr>
            <w:r>
              <w:rPr>
                <w:rFonts w:ascii="Arial" w:cs="Arial" w:eastAsia="Arial" w:hAnsi="Arial"/>
                <w:sz w:val="14"/>
                <w:szCs w:val="14"/>
                <w:color w:val="0000FF"/>
                <w:w w:val="97"/>
              </w:rPr>
              <w:t>Properties</w:t>
            </w:r>
          </w:p>
        </w:tc>
        <w:tc>
          <w:tcPr>
            <w:tcW w:w="220" w:type="dxa"/>
            <w:vAlign w:val="bottom"/>
            <w:gridSpan w:val="3"/>
          </w:tcPr>
          <w:p>
            <w:pPr>
              <w:spacing w:after="0"/>
              <w:rPr>
                <w:sz w:val="13"/>
                <w:szCs w:val="13"/>
                <w:color w:val="auto"/>
              </w:rPr>
            </w:pPr>
          </w:p>
        </w:tc>
        <w:tc>
          <w:tcPr>
            <w:tcW w:w="8040" w:type="dxa"/>
            <w:vAlign w:val="bottom"/>
            <w:gridSpan w:val="19"/>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3.</w:t>
            </w:r>
          </w:p>
        </w:tc>
        <w:tc>
          <w:tcPr>
            <w:tcW w:w="8900" w:type="dxa"/>
            <w:vAlign w:val="bottom"/>
            <w:gridSpan w:val="24"/>
          </w:tcPr>
          <w:p>
            <w:pPr>
              <w:spacing w:after="0"/>
              <w:rPr>
                <w:sz w:val="20"/>
                <w:szCs w:val="20"/>
                <w:color w:val="auto"/>
              </w:rPr>
            </w:pPr>
            <w:r>
              <w:rPr>
                <w:rFonts w:ascii="Arial" w:cs="Arial" w:eastAsia="Arial" w:hAnsi="Arial"/>
                <w:sz w:val="14"/>
                <w:szCs w:val="14"/>
                <w:color w:val="0000FF"/>
              </w:rPr>
              <w:t>Legal Proceedings</w:t>
            </w: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4.</w:t>
            </w:r>
          </w:p>
        </w:tc>
        <w:tc>
          <w:tcPr>
            <w:tcW w:w="8900" w:type="dxa"/>
            <w:vAlign w:val="bottom"/>
            <w:gridSpan w:val="24"/>
          </w:tcPr>
          <w:p>
            <w:pPr>
              <w:spacing w:after="0"/>
              <w:rPr>
                <w:sz w:val="20"/>
                <w:szCs w:val="20"/>
                <w:color w:val="auto"/>
              </w:rPr>
            </w:pPr>
            <w:r>
              <w:rPr>
                <w:rFonts w:ascii="Arial" w:cs="Arial" w:eastAsia="Arial" w:hAnsi="Arial"/>
                <w:sz w:val="14"/>
                <w:szCs w:val="14"/>
                <w:color w:val="0000FF"/>
              </w:rPr>
              <w:t>Mine Safety Disclosures</w:t>
            </w: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76</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4"/>
                <w:szCs w:val="14"/>
                <w:b w:val="1"/>
                <w:bCs w:val="1"/>
                <w:color w:val="auto"/>
              </w:rPr>
              <w:t>PART II</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color w:val="auto"/>
              </w:rPr>
              <w:t>Item 5.</w:t>
            </w:r>
          </w:p>
        </w:tc>
        <w:tc>
          <w:tcPr>
            <w:tcW w:w="8900" w:type="dxa"/>
            <w:vAlign w:val="bottom"/>
            <w:gridSpan w:val="24"/>
          </w:tcPr>
          <w:p>
            <w:pPr>
              <w:spacing w:after="0" w:line="153" w:lineRule="exact"/>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22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0000FF"/>
              </w:rPr>
              <w:t>77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6.</w:t>
            </w:r>
          </w:p>
        </w:tc>
        <w:tc>
          <w:tcPr>
            <w:tcW w:w="680" w:type="dxa"/>
            <w:vAlign w:val="bottom"/>
            <w:gridSpan w:val="3"/>
          </w:tcPr>
          <w:p>
            <w:pPr>
              <w:spacing w:after="0"/>
              <w:rPr>
                <w:sz w:val="20"/>
                <w:szCs w:val="20"/>
                <w:color w:val="auto"/>
              </w:rPr>
            </w:pPr>
            <w:r>
              <w:rPr>
                <w:rFonts w:ascii="Arial" w:cs="Arial" w:eastAsia="Arial" w:hAnsi="Arial"/>
                <w:sz w:val="14"/>
                <w:szCs w:val="14"/>
                <w:color w:val="0000FF"/>
                <w:w w:val="97"/>
              </w:rPr>
              <w:t>[Reserved]</w:t>
            </w:r>
          </w:p>
        </w:tc>
        <w:tc>
          <w:tcPr>
            <w:tcW w:w="6280" w:type="dxa"/>
            <w:vAlign w:val="bottom"/>
            <w:gridSpan w:val="20"/>
          </w:tcPr>
          <w:p>
            <w:pPr>
              <w:spacing w:after="0"/>
              <w:rPr>
                <w:sz w:val="13"/>
                <w:szCs w:val="13"/>
                <w:color w:val="auto"/>
              </w:rPr>
            </w:pPr>
          </w:p>
        </w:tc>
        <w:tc>
          <w:tcPr>
            <w:tcW w:w="1940" w:type="dxa"/>
            <w:vAlign w:val="bottom"/>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7.</w:t>
            </w:r>
          </w:p>
        </w:tc>
        <w:tc>
          <w:tcPr>
            <w:tcW w:w="556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340" w:type="dxa"/>
            <w:vAlign w:val="bottom"/>
            <w:gridSpan w:val="5"/>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79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7A.</w:t>
            </w:r>
          </w:p>
        </w:tc>
        <w:tc>
          <w:tcPr>
            <w:tcW w:w="3700" w:type="dxa"/>
            <w:vAlign w:val="bottom"/>
            <w:gridSpan w:val="16"/>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860" w:type="dxa"/>
            <w:vAlign w:val="bottom"/>
            <w:gridSpan w:val="3"/>
          </w:tcPr>
          <w:p>
            <w:pPr>
              <w:spacing w:after="0"/>
              <w:rPr>
                <w:sz w:val="13"/>
                <w:szCs w:val="13"/>
                <w:color w:val="auto"/>
              </w:rPr>
            </w:pPr>
          </w:p>
        </w:tc>
        <w:tc>
          <w:tcPr>
            <w:tcW w:w="3340" w:type="dxa"/>
            <w:vAlign w:val="bottom"/>
            <w:gridSpan w:val="5"/>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93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8.</w:t>
            </w:r>
          </w:p>
        </w:tc>
        <w:tc>
          <w:tcPr>
            <w:tcW w:w="2920" w:type="dxa"/>
            <w:vAlign w:val="bottom"/>
            <w:gridSpan w:val="13"/>
          </w:tcPr>
          <w:p>
            <w:pPr>
              <w:spacing w:after="0"/>
              <w:rPr>
                <w:sz w:val="20"/>
                <w:szCs w:val="20"/>
                <w:color w:val="auto"/>
              </w:rPr>
            </w:pPr>
            <w:r>
              <w:rPr>
                <w:rFonts w:ascii="Arial" w:cs="Arial" w:eastAsia="Arial" w:hAnsi="Arial"/>
                <w:sz w:val="14"/>
                <w:szCs w:val="14"/>
                <w:color w:val="0000FF"/>
              </w:rPr>
              <w:t>Financial Statements and Supplementary Data</w:t>
            </w:r>
          </w:p>
        </w:tc>
        <w:tc>
          <w:tcPr>
            <w:tcW w:w="780" w:type="dxa"/>
            <w:vAlign w:val="bottom"/>
            <w:gridSpan w:val="3"/>
          </w:tcPr>
          <w:p>
            <w:pPr>
              <w:spacing w:after="0"/>
              <w:rPr>
                <w:sz w:val="13"/>
                <w:szCs w:val="13"/>
                <w:color w:val="auto"/>
              </w:rPr>
            </w:pPr>
          </w:p>
        </w:tc>
        <w:tc>
          <w:tcPr>
            <w:tcW w:w="5200" w:type="dxa"/>
            <w:vAlign w:val="bottom"/>
            <w:gridSpan w:val="8"/>
          </w:tcPr>
          <w:p>
            <w:pPr>
              <w:spacing w:after="0"/>
              <w:rPr>
                <w:sz w:val="13"/>
                <w:szCs w:val="13"/>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4"/>
                <w:szCs w:val="14"/>
                <w:color w:val="0000FF"/>
              </w:rPr>
              <w:t>94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9.</w:t>
            </w:r>
          </w:p>
        </w:tc>
        <w:tc>
          <w:tcPr>
            <w:tcW w:w="8900" w:type="dxa"/>
            <w:vAlign w:val="bottom"/>
            <w:gridSpan w:val="24"/>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Disclosures</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9A.</w:t>
            </w:r>
          </w:p>
        </w:tc>
        <w:tc>
          <w:tcPr>
            <w:tcW w:w="1560" w:type="dxa"/>
            <w:vAlign w:val="bottom"/>
            <w:gridSpan w:val="9"/>
          </w:tcPr>
          <w:p>
            <w:pPr>
              <w:spacing w:after="0"/>
              <w:rPr>
                <w:sz w:val="20"/>
                <w:szCs w:val="20"/>
                <w:color w:val="auto"/>
              </w:rPr>
            </w:pPr>
            <w:r>
              <w:rPr>
                <w:rFonts w:ascii="Arial" w:cs="Arial" w:eastAsia="Arial" w:hAnsi="Arial"/>
                <w:sz w:val="14"/>
                <w:szCs w:val="14"/>
                <w:color w:val="0000FF"/>
                <w:w w:val="99"/>
              </w:rPr>
              <w:t>Controls and Procedures</w:t>
            </w:r>
          </w:p>
        </w:tc>
        <w:tc>
          <w:tcPr>
            <w:tcW w:w="4100" w:type="dxa"/>
            <w:vAlign w:val="bottom"/>
            <w:gridSpan w:val="11"/>
          </w:tcPr>
          <w:p>
            <w:pPr>
              <w:spacing w:after="0"/>
              <w:rPr>
                <w:sz w:val="13"/>
                <w:szCs w:val="13"/>
                <w:color w:val="auto"/>
              </w:rPr>
            </w:pPr>
          </w:p>
        </w:tc>
        <w:tc>
          <w:tcPr>
            <w:tcW w:w="3240" w:type="dxa"/>
            <w:vAlign w:val="bottom"/>
            <w:gridSpan w:val="4"/>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9B.</w:t>
            </w:r>
          </w:p>
        </w:tc>
        <w:tc>
          <w:tcPr>
            <w:tcW w:w="1100" w:type="dxa"/>
            <w:vAlign w:val="bottom"/>
            <w:gridSpan w:val="6"/>
          </w:tcPr>
          <w:p>
            <w:pPr>
              <w:spacing w:after="0"/>
              <w:rPr>
                <w:sz w:val="20"/>
                <w:szCs w:val="20"/>
                <w:color w:val="auto"/>
              </w:rPr>
            </w:pPr>
            <w:r>
              <w:rPr>
                <w:rFonts w:ascii="Arial" w:cs="Arial" w:eastAsia="Arial" w:hAnsi="Arial"/>
                <w:sz w:val="14"/>
                <w:szCs w:val="14"/>
                <w:color w:val="0000FF"/>
                <w:w w:val="97"/>
              </w:rPr>
              <w:t>Other Information</w:t>
            </w:r>
          </w:p>
        </w:tc>
        <w:tc>
          <w:tcPr>
            <w:tcW w:w="460" w:type="dxa"/>
            <w:vAlign w:val="bottom"/>
            <w:gridSpan w:val="3"/>
          </w:tcPr>
          <w:p>
            <w:pPr>
              <w:spacing w:after="0"/>
              <w:rPr>
                <w:sz w:val="13"/>
                <w:szCs w:val="13"/>
                <w:color w:val="auto"/>
              </w:rPr>
            </w:pPr>
          </w:p>
        </w:tc>
        <w:tc>
          <w:tcPr>
            <w:tcW w:w="7340" w:type="dxa"/>
            <w:vAlign w:val="bottom"/>
            <w:gridSpan w:val="15"/>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9C.</w:t>
            </w:r>
          </w:p>
        </w:tc>
        <w:tc>
          <w:tcPr>
            <w:tcW w:w="4240" w:type="dxa"/>
            <w:vAlign w:val="bottom"/>
            <w:gridSpan w:val="17"/>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4660" w:type="dxa"/>
            <w:vAlign w:val="bottom"/>
            <w:gridSpan w:val="7"/>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gridSpan w:val="2"/>
          </w:tcPr>
          <w:p>
            <w:pPr>
              <w:jc w:val="center"/>
              <w:ind w:right="69"/>
              <w:spacing w:after="0"/>
              <w:rPr>
                <w:sz w:val="20"/>
                <w:szCs w:val="20"/>
                <w:color w:val="auto"/>
              </w:rPr>
            </w:pPr>
            <w:r>
              <w:rPr>
                <w:rFonts w:ascii="Arial" w:cs="Arial" w:eastAsia="Arial" w:hAnsi="Arial"/>
                <w:sz w:val="14"/>
                <w:szCs w:val="14"/>
                <w:b w:val="1"/>
                <w:bCs w:val="1"/>
                <w:color w:val="auto"/>
              </w:rPr>
              <w:t>PART III</w:t>
            </w:r>
          </w:p>
        </w:tc>
        <w:tc>
          <w:tcPr>
            <w:tcW w:w="4660" w:type="dxa"/>
            <w:vAlign w:val="bottom"/>
            <w:gridSpan w:val="7"/>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color w:val="auto"/>
              </w:rPr>
              <w:t>Item 10.</w:t>
            </w:r>
          </w:p>
        </w:tc>
        <w:tc>
          <w:tcPr>
            <w:tcW w:w="8900" w:type="dxa"/>
            <w:vAlign w:val="bottom"/>
            <w:gridSpan w:val="24"/>
          </w:tcPr>
          <w:p>
            <w:pPr>
              <w:spacing w:after="0" w:line="153" w:lineRule="exact"/>
              <w:rPr>
                <w:sz w:val="20"/>
                <w:szCs w:val="20"/>
                <w:color w:val="auto"/>
              </w:rPr>
            </w:pPr>
            <w:r>
              <w:rPr>
                <w:rFonts w:ascii="Arial" w:cs="Arial" w:eastAsia="Arial" w:hAnsi="Arial"/>
                <w:sz w:val="14"/>
                <w:szCs w:val="14"/>
                <w:color w:val="0000FF"/>
              </w:rPr>
              <w:t>Directors, Executive Officers and Corporate Governance</w:t>
            </w:r>
          </w:p>
        </w:tc>
        <w:tc>
          <w:tcPr>
            <w:tcW w:w="1200" w:type="dxa"/>
            <w:vAlign w:val="bottom"/>
            <w:gridSpan w:val="3"/>
          </w:tcPr>
          <w:p>
            <w:pPr>
              <w:jc w:val="right"/>
              <w:spacing w:after="0" w:line="153" w:lineRule="exact"/>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11.</w:t>
            </w:r>
          </w:p>
        </w:tc>
        <w:tc>
          <w:tcPr>
            <w:tcW w:w="1560" w:type="dxa"/>
            <w:vAlign w:val="bottom"/>
            <w:gridSpan w:val="9"/>
          </w:tcPr>
          <w:p>
            <w:pPr>
              <w:spacing w:after="0"/>
              <w:rPr>
                <w:sz w:val="20"/>
                <w:szCs w:val="20"/>
                <w:color w:val="auto"/>
              </w:rPr>
            </w:pPr>
            <w:r>
              <w:rPr>
                <w:rFonts w:ascii="Arial" w:cs="Arial" w:eastAsia="Arial" w:hAnsi="Arial"/>
                <w:sz w:val="14"/>
                <w:szCs w:val="14"/>
                <w:color w:val="0000FF"/>
                <w:w w:val="99"/>
              </w:rPr>
              <w:t>Executive Compensation</w:t>
            </w:r>
          </w:p>
        </w:tc>
        <w:tc>
          <w:tcPr>
            <w:tcW w:w="1960" w:type="dxa"/>
            <w:vAlign w:val="bottom"/>
            <w:gridSpan w:val="6"/>
          </w:tcPr>
          <w:p>
            <w:pPr>
              <w:spacing w:after="0"/>
              <w:rPr>
                <w:sz w:val="13"/>
                <w:szCs w:val="13"/>
                <w:color w:val="auto"/>
              </w:rPr>
            </w:pPr>
          </w:p>
        </w:tc>
        <w:tc>
          <w:tcPr>
            <w:tcW w:w="5380" w:type="dxa"/>
            <w:vAlign w:val="bottom"/>
            <w:gridSpan w:val="9"/>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12.</w:t>
            </w:r>
          </w:p>
        </w:tc>
        <w:tc>
          <w:tcPr>
            <w:tcW w:w="8900" w:type="dxa"/>
            <w:vAlign w:val="bottom"/>
            <w:gridSpan w:val="24"/>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13.</w:t>
            </w:r>
          </w:p>
        </w:tc>
        <w:tc>
          <w:tcPr>
            <w:tcW w:w="6280" w:type="dxa"/>
            <w:vAlign w:val="bottom"/>
            <w:gridSpan w:val="22"/>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2620" w:type="dxa"/>
            <w:vAlign w:val="bottom"/>
            <w:gridSpan w:val="2"/>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14.</w:t>
            </w:r>
          </w:p>
        </w:tc>
        <w:tc>
          <w:tcPr>
            <w:tcW w:w="4760" w:type="dxa"/>
            <w:vAlign w:val="bottom"/>
            <w:gridSpan w:val="18"/>
          </w:tcPr>
          <w:p>
            <w:pPr>
              <w:spacing w:after="0"/>
              <w:rPr>
                <w:sz w:val="20"/>
                <w:szCs w:val="20"/>
                <w:color w:val="auto"/>
              </w:rPr>
            </w:pPr>
            <w:r>
              <w:rPr>
                <w:rFonts w:ascii="Arial" w:cs="Arial" w:eastAsia="Arial" w:hAnsi="Arial"/>
                <w:sz w:val="14"/>
                <w:szCs w:val="14"/>
                <w:color w:val="0000FF"/>
              </w:rPr>
              <w:t>Principal Accounting Fees and Services</w:t>
            </w:r>
          </w:p>
        </w:tc>
        <w:tc>
          <w:tcPr>
            <w:tcW w:w="4140" w:type="dxa"/>
            <w:vAlign w:val="bottom"/>
            <w:gridSpan w:val="6"/>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9"/>
          </w:tcPr>
          <w:p>
            <w:pPr>
              <w:jc w:val="center"/>
              <w:ind w:right="4800"/>
              <w:spacing w:after="0"/>
              <w:rPr>
                <w:sz w:val="20"/>
                <w:szCs w:val="20"/>
                <w:color w:val="auto"/>
              </w:rPr>
            </w:pPr>
            <w:r>
              <w:rPr>
                <w:rFonts w:ascii="Arial" w:cs="Arial" w:eastAsia="Arial" w:hAnsi="Arial"/>
                <w:sz w:val="14"/>
                <w:szCs w:val="14"/>
                <w:b w:val="1"/>
                <w:bCs w:val="1"/>
                <w:color w:val="auto"/>
                <w:w w:val="97"/>
              </w:rPr>
              <w:t>PART IV</w:t>
            </w:r>
          </w:p>
        </w:tc>
        <w:tc>
          <w:tcPr>
            <w:tcW w:w="9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53" w:lineRule="exact"/>
              <w:rPr>
                <w:sz w:val="20"/>
                <w:szCs w:val="20"/>
                <w:color w:val="auto"/>
              </w:rPr>
            </w:pPr>
            <w:r>
              <w:rPr>
                <w:rFonts w:ascii="Arial" w:cs="Arial" w:eastAsia="Arial" w:hAnsi="Arial"/>
                <w:sz w:val="14"/>
                <w:szCs w:val="14"/>
                <w:color w:val="auto"/>
              </w:rPr>
              <w:t>Item 15.</w:t>
            </w:r>
          </w:p>
        </w:tc>
        <w:tc>
          <w:tcPr>
            <w:tcW w:w="2760" w:type="dxa"/>
            <w:vAlign w:val="bottom"/>
            <w:gridSpan w:val="12"/>
          </w:tcPr>
          <w:p>
            <w:pPr>
              <w:spacing w:after="0" w:line="153" w:lineRule="exact"/>
              <w:rPr>
                <w:sz w:val="20"/>
                <w:szCs w:val="20"/>
                <w:color w:val="auto"/>
              </w:rPr>
            </w:pPr>
            <w:r>
              <w:rPr>
                <w:rFonts w:ascii="Arial" w:cs="Arial" w:eastAsia="Arial" w:hAnsi="Arial"/>
                <w:sz w:val="14"/>
                <w:szCs w:val="14"/>
                <w:color w:val="0000FF"/>
              </w:rPr>
              <w:t>Exhibits and Financial Statement Schedules</w:t>
            </w:r>
          </w:p>
        </w:tc>
        <w:tc>
          <w:tcPr>
            <w:tcW w:w="6140" w:type="dxa"/>
            <w:vAlign w:val="bottom"/>
            <w:gridSpan w:val="12"/>
          </w:tcPr>
          <w:p>
            <w:pPr>
              <w:spacing w:after="0"/>
              <w:rPr>
                <w:sz w:val="13"/>
                <w:szCs w:val="13"/>
                <w:color w:val="auto"/>
              </w:rPr>
            </w:pPr>
          </w:p>
        </w:tc>
        <w:tc>
          <w:tcPr>
            <w:tcW w:w="1200" w:type="dxa"/>
            <w:vAlign w:val="bottom"/>
            <w:gridSpan w:val="3"/>
          </w:tcPr>
          <w:p>
            <w:pPr>
              <w:jc w:val="right"/>
              <w:spacing w:after="0" w:line="153" w:lineRule="exact"/>
              <w:rPr>
                <w:sz w:val="20"/>
                <w:szCs w:val="20"/>
                <w:color w:val="auto"/>
              </w:rPr>
            </w:pPr>
            <w:r>
              <w:rPr>
                <w:rFonts w:ascii="Arial" w:cs="Arial" w:eastAsia="Arial" w:hAnsi="Arial"/>
                <w:sz w:val="14"/>
                <w:szCs w:val="14"/>
                <w:color w:val="0000FF"/>
              </w:rPr>
              <w:t>133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auto"/>
              </w:rPr>
              <w:t>Item 16.</w:t>
            </w:r>
          </w:p>
        </w:tc>
        <w:tc>
          <w:tcPr>
            <w:tcW w:w="2760" w:type="dxa"/>
            <w:vAlign w:val="bottom"/>
            <w:gridSpan w:val="12"/>
          </w:tcPr>
          <w:p>
            <w:pPr>
              <w:spacing w:after="0"/>
              <w:rPr>
                <w:sz w:val="20"/>
                <w:szCs w:val="20"/>
                <w:color w:val="auto"/>
              </w:rPr>
            </w:pPr>
            <w:r>
              <w:rPr>
                <w:rFonts w:ascii="Arial" w:cs="Arial" w:eastAsia="Arial" w:hAnsi="Arial"/>
                <w:sz w:val="14"/>
                <w:szCs w:val="14"/>
                <w:color w:val="0000FF"/>
              </w:rPr>
              <w:t>Form 10-K Summary</w:t>
            </w:r>
          </w:p>
        </w:tc>
        <w:tc>
          <w:tcPr>
            <w:tcW w:w="6140" w:type="dxa"/>
            <w:vAlign w:val="bottom"/>
            <w:gridSpan w:val="12"/>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40" w:type="dxa"/>
            <w:vAlign w:val="bottom"/>
            <w:gridSpan w:val="2"/>
          </w:tcPr>
          <w:p>
            <w:pPr>
              <w:spacing w:after="0"/>
              <w:rPr>
                <w:sz w:val="20"/>
                <w:szCs w:val="20"/>
                <w:color w:val="auto"/>
              </w:rPr>
            </w:pPr>
            <w:r>
              <w:rPr>
                <w:rFonts w:ascii="Arial" w:cs="Arial" w:eastAsia="Arial" w:hAnsi="Arial"/>
                <w:sz w:val="14"/>
                <w:szCs w:val="14"/>
                <w:color w:val="0000FF"/>
              </w:rPr>
              <w:t>SIGNATURES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0000FF"/>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137160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2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47"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This Annual Report on Form 10-K (“Form 10-K”) contains forward-looking statements about us and our industry that involve substantial risks and uncertainties. All statements contained in this Form 10-K other than statements of historical fact, including statements regarding our future operating results 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Forward-looking statements contained in this Form 10-K include, but are not limited to, statements about:</w:t>
      </w:r>
    </w:p>
    <w:p>
      <w:pPr>
        <w:spacing w:after="0" w:line="157" w:lineRule="exact"/>
        <w:rPr>
          <w:sz w:val="20"/>
          <w:szCs w:val="20"/>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operating expenses, and our ability to maintain profitability;</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new clients and retain and grow platform assets from our existing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total market opportunity;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platform,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beliefs and objectives for future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introduce platform enhancements and new products and services and bring them to market in a timely manner;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concerning relationships with third parties;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introduce, implement, and monitor the use of emerging technologies, including artificial intelligence;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future acquisitions or investments in complementary companies or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stay in compliance with laws and regulations that currently apply or may become applicable to our business both in the United States and internationally;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economic and industry trends, projected growth, or trend analysis;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seasonal trends on our operating results;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operate and grow our business in light of macroeconomic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 w:name="page4"/>
    <w:bookmarkEnd w:id="3"/>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expenses associated with being a public company;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expiration or release of market stand-off or contractual lock-up agreements, anticipation of such events, and sales of shares of our common stock by us or our stockholders; and</w:t>
      </w:r>
    </w:p>
    <w:p>
      <w:pPr>
        <w:spacing w:after="0" w:line="3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statements regarding our future operations, financial condition, and growth prospects and business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Form 10-K.</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Form 10-K may not occur, and actual results could differ materially and adversely from those anticipated or implied in the forward-looking statements.</w:t>
      </w:r>
    </w:p>
    <w:p>
      <w:pPr>
        <w:spacing w:after="0" w:line="97"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Form 10-K or to conform these statements to actual results or to changes in our expectations, except as required by law. These forward-looking statements do not reflect the potential impact of any future acquisitions, mergers, dispositions, joint ventures, or investments.</w:t>
      </w:r>
    </w:p>
    <w:p>
      <w:pPr>
        <w:spacing w:after="0" w:line="89"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on information available to us as of the date of this Form 10-K.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4"/>
          <w:szCs w:val="14"/>
          <w:color w:val="auto"/>
        </w:rPr>
        <w:t>GLOSSARY OF ABBREVIATIONS, ACRONYMS AND DEFINITIONS</w:t>
      </w:r>
    </w:p>
    <w:p>
      <w:pPr>
        <w:spacing w:after="0" w:line="136"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following list of abbreviations, acronyms and definitions of certain terms may be used throughout this Form 10-K, including Business, Risk Factors, Management’s Discussion and Analysis of Financial Condition and Results of Operations, the Audited Consolidated Financial Statements and the Notes to the Audited Consolidated Financial Statements.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APY</w:t>
            </w:r>
          </w:p>
        </w:tc>
        <w:tc>
          <w:tcPr>
            <w:tcW w:w="8940" w:type="dxa"/>
            <w:vAlign w:val="bottom"/>
          </w:tcPr>
          <w:p>
            <w:pPr>
              <w:ind w:left="740"/>
              <w:spacing w:after="0"/>
              <w:rPr>
                <w:sz w:val="20"/>
                <w:szCs w:val="20"/>
                <w:color w:val="auto"/>
              </w:rPr>
            </w:pPr>
            <w:r>
              <w:rPr>
                <w:rFonts w:ascii="Arial" w:cs="Arial" w:eastAsia="Arial" w:hAnsi="Arial"/>
                <w:sz w:val="14"/>
                <w:szCs w:val="14"/>
                <w:color w:val="auto"/>
              </w:rPr>
              <w:t>Annual percentage yield; the actual rate of return on an account over a year, taking into account the effect of compounding interest.</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Cash Account</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The brokerage account that our clients open and maintain at our subsidiary, Wealthfront Brokerage LLC, that provides clients</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access to our cash management services, including our cash sweep program.</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Client retention rate</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Calculated as (x) 1 minus (y) the number of churned clients in the period divided by funded clients at the end of the immediately</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preceding period.</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Churned client</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A previously funded client that ended the period with a zero balance across all accounts for the 45 consecutive calendar days</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ending as of the measurement date.</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Digital natives</w:t>
            </w:r>
          </w:p>
        </w:tc>
        <w:tc>
          <w:tcPr>
            <w:tcW w:w="8940" w:type="dxa"/>
            <w:vAlign w:val="bottom"/>
          </w:tcPr>
          <w:p>
            <w:pPr>
              <w:ind w:left="740"/>
              <w:spacing w:after="0"/>
              <w:rPr>
                <w:sz w:val="20"/>
                <w:szCs w:val="20"/>
                <w:color w:val="auto"/>
              </w:rPr>
            </w:pPr>
            <w:r>
              <w:rPr>
                <w:rFonts w:ascii="Arial" w:cs="Arial" w:eastAsia="Arial" w:hAnsi="Arial"/>
                <w:sz w:val="14"/>
                <w:szCs w:val="14"/>
                <w:color w:val="auto"/>
              </w:rPr>
              <w:t>Individuals born after 1980 (i.e., Millennials, Gen Z, and later generations).</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EGC</w:t>
            </w:r>
          </w:p>
        </w:tc>
        <w:tc>
          <w:tcPr>
            <w:tcW w:w="8940" w:type="dxa"/>
            <w:vAlign w:val="bottom"/>
          </w:tcPr>
          <w:p>
            <w:pPr>
              <w:ind w:left="740"/>
              <w:spacing w:after="0"/>
              <w:rPr>
                <w:sz w:val="20"/>
                <w:szCs w:val="20"/>
                <w:color w:val="auto"/>
              </w:rPr>
            </w:pPr>
            <w:r>
              <w:rPr>
                <w:rFonts w:ascii="Arial" w:cs="Arial" w:eastAsia="Arial" w:hAnsi="Arial"/>
                <w:sz w:val="14"/>
                <w:szCs w:val="14"/>
                <w:color w:val="auto"/>
              </w:rPr>
              <w:t>Emerging growth company.</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ETF</w:t>
            </w:r>
          </w:p>
        </w:tc>
        <w:tc>
          <w:tcPr>
            <w:tcW w:w="8940" w:type="dxa"/>
            <w:vAlign w:val="bottom"/>
          </w:tcPr>
          <w:p>
            <w:pPr>
              <w:ind w:left="740"/>
              <w:spacing w:after="0"/>
              <w:rPr>
                <w:sz w:val="20"/>
                <w:szCs w:val="20"/>
                <w:color w:val="auto"/>
              </w:rPr>
            </w:pPr>
            <w:r>
              <w:rPr>
                <w:rFonts w:ascii="Arial" w:cs="Arial" w:eastAsia="Arial" w:hAnsi="Arial"/>
                <w:sz w:val="14"/>
                <w:szCs w:val="14"/>
                <w:color w:val="auto"/>
              </w:rPr>
              <w:t>Exchange-traded fund.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The Exchange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Securities Exchange Act of 1934, as amended.</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FDIC</w:t>
            </w:r>
          </w:p>
        </w:tc>
        <w:tc>
          <w:tcPr>
            <w:tcW w:w="8940" w:type="dxa"/>
            <w:vAlign w:val="bottom"/>
          </w:tcPr>
          <w:p>
            <w:pPr>
              <w:ind w:left="740"/>
              <w:spacing w:after="0"/>
              <w:rPr>
                <w:sz w:val="20"/>
                <w:szCs w:val="20"/>
                <w:color w:val="auto"/>
              </w:rPr>
            </w:pPr>
            <w:r>
              <w:rPr>
                <w:rFonts w:ascii="Arial" w:cs="Arial" w:eastAsia="Arial" w:hAnsi="Arial"/>
                <w:sz w:val="14"/>
                <w:szCs w:val="14"/>
                <w:color w:val="auto"/>
              </w:rPr>
              <w:t>Federal Deposit Insurance Corporation.</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FINRA</w:t>
            </w:r>
          </w:p>
        </w:tc>
        <w:tc>
          <w:tcPr>
            <w:tcW w:w="8940" w:type="dxa"/>
            <w:vAlign w:val="bottom"/>
          </w:tcPr>
          <w:p>
            <w:pPr>
              <w:ind w:left="740"/>
              <w:spacing w:after="0"/>
              <w:rPr>
                <w:sz w:val="20"/>
                <w:szCs w:val="20"/>
                <w:color w:val="auto"/>
              </w:rPr>
            </w:pPr>
            <w:r>
              <w:rPr>
                <w:rFonts w:ascii="Arial" w:cs="Arial" w:eastAsia="Arial" w:hAnsi="Arial"/>
                <w:sz w:val="14"/>
                <w:szCs w:val="14"/>
                <w:color w:val="auto"/>
              </w:rPr>
              <w:t>Financial Industry Regulatory Authority.</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Clients with balances greater than zero or that have been greater than zero on at least one occasion during the 45 consecutive</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8940" w:type="dxa"/>
            <w:vAlign w:val="bottom"/>
          </w:tcPr>
          <w:p>
            <w:pPr>
              <w:ind w:left="740"/>
              <w:spacing w:after="0" w:line="145" w:lineRule="exact"/>
              <w:rPr>
                <w:sz w:val="20"/>
                <w:szCs w:val="20"/>
                <w:color w:val="auto"/>
              </w:rPr>
            </w:pPr>
            <w:r>
              <w:rPr>
                <w:rFonts w:ascii="Arial" w:cs="Arial" w:eastAsia="Arial" w:hAnsi="Arial"/>
                <w:sz w:val="14"/>
                <w:szCs w:val="14"/>
                <w:color w:val="auto"/>
              </w:rPr>
              <w:t>calendar days ending as of the measurement date. Funded clients include clients with a zero balance across all accounts as of the</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Funded clients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measurement date if they had greater than zero balances in at least one account within the 45 calendar days prior to the</w:t>
            </w:r>
          </w:p>
        </w:tc>
        <w:tc>
          <w:tcPr>
            <w:tcW w:w="0" w:type="dxa"/>
            <w:vAlign w:val="bottom"/>
          </w:tcPr>
          <w:p>
            <w:pPr>
              <w:spacing w:after="0"/>
              <w:rPr>
                <w:sz w:val="1"/>
                <w:szCs w:val="1"/>
                <w:color w:val="auto"/>
              </w:rPr>
            </w:pPr>
          </w:p>
        </w:tc>
      </w:tr>
      <w:tr>
        <w:trPr>
          <w:trHeight w:val="176"/>
        </w:trPr>
        <w:tc>
          <w:tcPr>
            <w:tcW w:w="2280" w:type="dxa"/>
            <w:vAlign w:val="bottom"/>
            <w:vMerge w:val="continue"/>
          </w:tcPr>
          <w:p>
            <w:pPr>
              <w:spacing w:after="0"/>
              <w:rPr>
                <w:sz w:val="15"/>
                <w:szCs w:val="15"/>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measurement date. Individuals who share funded joint accounts are each considered to be a separate funded client.</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GAAP</w:t>
            </w:r>
          </w:p>
        </w:tc>
        <w:tc>
          <w:tcPr>
            <w:tcW w:w="8940" w:type="dxa"/>
            <w:vAlign w:val="bottom"/>
          </w:tcPr>
          <w:p>
            <w:pPr>
              <w:ind w:left="740"/>
              <w:spacing w:after="0"/>
              <w:rPr>
                <w:sz w:val="20"/>
                <w:szCs w:val="20"/>
                <w:color w:val="auto"/>
              </w:rPr>
            </w:pPr>
            <w:r>
              <w:rPr>
                <w:rFonts w:ascii="Arial" w:cs="Arial" w:eastAsia="Arial" w:hAnsi="Arial"/>
                <w:sz w:val="14"/>
                <w:szCs w:val="14"/>
                <w:color w:val="auto"/>
              </w:rPr>
              <w:t>Accounting principles generally accepted in the United States of America.</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IPO</w:t>
            </w:r>
          </w:p>
        </w:tc>
        <w:tc>
          <w:tcPr>
            <w:tcW w:w="8940" w:type="dxa"/>
            <w:vAlign w:val="bottom"/>
          </w:tcPr>
          <w:p>
            <w:pPr>
              <w:ind w:left="740"/>
              <w:spacing w:after="0"/>
              <w:rPr>
                <w:sz w:val="20"/>
                <w:szCs w:val="20"/>
                <w:color w:val="auto"/>
              </w:rPr>
            </w:pPr>
            <w:r>
              <w:rPr>
                <w:rFonts w:ascii="Arial" w:cs="Arial" w:eastAsia="Arial" w:hAnsi="Arial"/>
                <w:sz w:val="14"/>
                <w:szCs w:val="14"/>
                <w:color w:val="auto"/>
              </w:rPr>
              <w:t>Initial public offering.</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JOBS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Jumpstart Our Business Startups Act of 2012.</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Net-of-fee returns</w:t>
            </w:r>
          </w:p>
        </w:tc>
        <w:tc>
          <w:tcPr>
            <w:tcW w:w="8940" w:type="dxa"/>
            <w:vAlign w:val="bottom"/>
          </w:tcPr>
          <w:p>
            <w:pPr>
              <w:ind w:left="740"/>
              <w:spacing w:after="0"/>
              <w:rPr>
                <w:sz w:val="20"/>
                <w:szCs w:val="20"/>
                <w:color w:val="auto"/>
              </w:rPr>
            </w:pPr>
            <w:r>
              <w:rPr>
                <w:rFonts w:ascii="Arial" w:cs="Arial" w:eastAsia="Arial" w:hAnsi="Arial"/>
                <w:sz w:val="14"/>
                <w:szCs w:val="14"/>
                <w:color w:val="auto"/>
              </w:rPr>
              <w:t>The investment return that a client earns net of any fees we charge.</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Net deposits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The value of all assets our clients have placed into products on our platform, net of withdrawals, over a defined period of time, We</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exclude changes in value attributable to financial market movements from this metric.</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Net income margin</w:t>
            </w:r>
          </w:p>
        </w:tc>
        <w:tc>
          <w:tcPr>
            <w:tcW w:w="8940" w:type="dxa"/>
            <w:vAlign w:val="bottom"/>
          </w:tcPr>
          <w:p>
            <w:pPr>
              <w:ind w:left="740"/>
              <w:spacing w:after="0"/>
              <w:rPr>
                <w:sz w:val="20"/>
                <w:szCs w:val="20"/>
                <w:color w:val="auto"/>
              </w:rPr>
            </w:pPr>
            <w:r>
              <w:rPr>
                <w:rFonts w:ascii="Arial" w:cs="Arial" w:eastAsia="Arial" w:hAnsi="Arial"/>
                <w:sz w:val="14"/>
                <w:szCs w:val="14"/>
                <w:color w:val="auto"/>
              </w:rPr>
              <w:t>The percentage of total revenue remaining as net income after the deduction of all expenses, taxes and interest.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Calculated by dividing total revenue in the current period from all funded clients that existed at the beginning of the period, by total</w:t>
            </w:r>
          </w:p>
        </w:tc>
        <w:tc>
          <w:tcPr>
            <w:tcW w:w="0" w:type="dxa"/>
            <w:vAlign w:val="bottom"/>
          </w:tcPr>
          <w:p>
            <w:pPr>
              <w:spacing w:after="0"/>
              <w:rPr>
                <w:sz w:val="1"/>
                <w:szCs w:val="1"/>
                <w:color w:val="auto"/>
              </w:rPr>
            </w:pPr>
          </w:p>
        </w:tc>
      </w:tr>
      <w:tr>
        <w:trPr>
          <w:trHeight w:val="144"/>
        </w:trPr>
        <w:tc>
          <w:tcPr>
            <w:tcW w:w="2280" w:type="dxa"/>
            <w:vAlign w:val="bottom"/>
            <w:vMerge w:val="restart"/>
          </w:tcPr>
          <w:p>
            <w:pPr>
              <w:spacing w:after="0"/>
              <w:rPr>
                <w:sz w:val="20"/>
                <w:szCs w:val="20"/>
                <w:color w:val="auto"/>
              </w:rPr>
            </w:pPr>
            <w:r>
              <w:rPr>
                <w:rFonts w:ascii="Arial" w:cs="Arial" w:eastAsia="Arial" w:hAnsi="Arial"/>
                <w:sz w:val="14"/>
                <w:szCs w:val="14"/>
                <w:color w:val="auto"/>
              </w:rPr>
              <w:t>Net revenue retention</w:t>
            </w:r>
          </w:p>
        </w:tc>
        <w:tc>
          <w:tcPr>
            <w:tcW w:w="8940" w:type="dxa"/>
            <w:vAlign w:val="bottom"/>
          </w:tcPr>
          <w:p>
            <w:pPr>
              <w:ind w:left="740"/>
              <w:spacing w:after="0" w:line="145" w:lineRule="exact"/>
              <w:rPr>
                <w:sz w:val="20"/>
                <w:szCs w:val="20"/>
                <w:color w:val="auto"/>
              </w:rPr>
            </w:pPr>
            <w:r>
              <w:rPr>
                <w:rFonts w:ascii="Arial" w:cs="Arial" w:eastAsia="Arial" w:hAnsi="Arial"/>
                <w:sz w:val="14"/>
                <w:szCs w:val="14"/>
                <w:color w:val="auto"/>
              </w:rPr>
              <w:t>revenue from those same clients in the prior period, inclusive of any clients that have churned. Revenue from new clients acquired</w:t>
            </w:r>
          </w:p>
        </w:tc>
        <w:tc>
          <w:tcPr>
            <w:tcW w:w="0" w:type="dxa"/>
            <w:vAlign w:val="bottom"/>
          </w:tcPr>
          <w:p>
            <w:pPr>
              <w:spacing w:after="0"/>
              <w:rPr>
                <w:sz w:val="1"/>
                <w:szCs w:val="1"/>
                <w:color w:val="auto"/>
              </w:rPr>
            </w:pPr>
          </w:p>
        </w:tc>
      </w:tr>
      <w:tr>
        <w:trPr>
          <w:trHeight w:val="180"/>
        </w:trPr>
        <w:tc>
          <w:tcPr>
            <w:tcW w:w="2280" w:type="dxa"/>
            <w:vAlign w:val="bottom"/>
            <w:vMerge w:val="continue"/>
          </w:tcPr>
          <w:p>
            <w:pPr>
              <w:spacing w:after="0"/>
              <w:rPr>
                <w:sz w:val="15"/>
                <w:szCs w:val="15"/>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during the period is excluded from this calculation.</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Platform assets</w:t>
            </w:r>
          </w:p>
        </w:tc>
        <w:tc>
          <w:tcPr>
            <w:tcW w:w="8940" w:type="dxa"/>
            <w:vAlign w:val="bottom"/>
          </w:tcPr>
          <w:p>
            <w:pPr>
              <w:ind w:left="740"/>
              <w:spacing w:after="0"/>
              <w:rPr>
                <w:sz w:val="20"/>
                <w:szCs w:val="20"/>
                <w:color w:val="auto"/>
              </w:rPr>
            </w:pPr>
            <w:r>
              <w:rPr>
                <w:rFonts w:ascii="Arial" w:cs="Arial" w:eastAsia="Arial" w:hAnsi="Arial"/>
                <w:sz w:val="14"/>
                <w:szCs w:val="14"/>
                <w:color w:val="auto"/>
              </w:rPr>
              <w:t>The total value of financial assets held by clients in their accounts as of a stated date on our platform.</w:t>
            </w: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color w:val="auto"/>
              </w:rPr>
              <w:t>Program banks</w:t>
            </w:r>
          </w:p>
        </w:tc>
        <w:tc>
          <w:tcPr>
            <w:tcW w:w="8940" w:type="dxa"/>
            <w:vAlign w:val="bottom"/>
          </w:tcPr>
          <w:p>
            <w:pPr>
              <w:ind w:left="740"/>
              <w:spacing w:after="0" w:line="142" w:lineRule="exact"/>
              <w:rPr>
                <w:sz w:val="20"/>
                <w:szCs w:val="20"/>
                <w:color w:val="auto"/>
              </w:rPr>
            </w:pPr>
            <w:r>
              <w:rPr>
                <w:rFonts w:ascii="Arial" w:cs="Arial" w:eastAsia="Arial" w:hAnsi="Arial"/>
                <w:sz w:val="14"/>
                <w:szCs w:val="14"/>
                <w:color w:val="auto"/>
              </w:rPr>
              <w:t>FDIC-insured banks to which we sweep our clients’ Cash Account assets, which are disclosed on our website and subject to</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8940" w:type="dxa"/>
            <w:vAlign w:val="bottom"/>
          </w:tcPr>
          <w:p>
            <w:pPr>
              <w:ind w:left="740"/>
              <w:spacing w:after="0"/>
              <w:rPr>
                <w:sz w:val="20"/>
                <w:szCs w:val="20"/>
                <w:color w:val="auto"/>
              </w:rPr>
            </w:pPr>
            <w:r>
              <w:rPr>
                <w:rFonts w:ascii="Arial" w:cs="Arial" w:eastAsia="Arial" w:hAnsi="Arial"/>
                <w:sz w:val="14"/>
                <w:szCs w:val="14"/>
                <w:color w:val="auto"/>
              </w:rPr>
              <w:t>change from time to time.</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Program deposits</w:t>
            </w:r>
          </w:p>
        </w:tc>
        <w:tc>
          <w:tcPr>
            <w:tcW w:w="8940" w:type="dxa"/>
            <w:vAlign w:val="bottom"/>
          </w:tcPr>
          <w:p>
            <w:pPr>
              <w:ind w:left="740"/>
              <w:spacing w:after="0"/>
              <w:rPr>
                <w:sz w:val="20"/>
                <w:szCs w:val="20"/>
                <w:color w:val="auto"/>
              </w:rPr>
            </w:pPr>
            <w:r>
              <w:rPr>
                <w:rFonts w:ascii="Arial" w:cs="Arial" w:eastAsia="Arial" w:hAnsi="Arial"/>
                <w:sz w:val="14"/>
                <w:szCs w:val="14"/>
                <w:color w:val="auto"/>
              </w:rPr>
              <w:t>Clients’ cash that is swept to program banks.</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The Sarbanes-Oxley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Sarbanes-Oxley Act of 2002.</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20"/>
                <w:szCs w:val="20"/>
                <w:color w:val="auto"/>
              </w:rPr>
            </w:pPr>
            <w:r>
              <w:rPr>
                <w:rFonts w:ascii="Arial" w:cs="Arial" w:eastAsia="Arial" w:hAnsi="Arial"/>
                <w:sz w:val="14"/>
                <w:szCs w:val="14"/>
                <w:color w:val="auto"/>
              </w:rPr>
              <w:t>SEC</w:t>
            </w:r>
          </w:p>
        </w:tc>
        <w:tc>
          <w:tcPr>
            <w:tcW w:w="8940" w:type="dxa"/>
            <w:vAlign w:val="bottom"/>
          </w:tcPr>
          <w:p>
            <w:pPr>
              <w:ind w:left="740"/>
              <w:spacing w:after="0"/>
              <w:rPr>
                <w:sz w:val="20"/>
                <w:szCs w:val="20"/>
                <w:color w:val="auto"/>
              </w:rPr>
            </w:pPr>
            <w:r>
              <w:rPr>
                <w:rFonts w:ascii="Arial" w:cs="Arial" w:eastAsia="Arial" w:hAnsi="Arial"/>
                <w:sz w:val="14"/>
                <w:szCs w:val="14"/>
                <w:color w:val="auto"/>
              </w:rPr>
              <w:t>Securities and Exchange Commission.</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20"/>
                <w:szCs w:val="20"/>
                <w:color w:val="auto"/>
              </w:rPr>
            </w:pPr>
            <w:r>
              <w:rPr>
                <w:rFonts w:ascii="Arial" w:cs="Arial" w:eastAsia="Arial" w:hAnsi="Arial"/>
                <w:sz w:val="14"/>
                <w:szCs w:val="14"/>
                <w:color w:val="auto"/>
              </w:rPr>
              <w:t>The Securities Act</w:t>
            </w:r>
          </w:p>
        </w:tc>
        <w:tc>
          <w:tcPr>
            <w:tcW w:w="8940" w:type="dxa"/>
            <w:vAlign w:val="bottom"/>
          </w:tcPr>
          <w:p>
            <w:pPr>
              <w:ind w:left="740"/>
              <w:spacing w:after="0"/>
              <w:rPr>
                <w:sz w:val="20"/>
                <w:szCs w:val="20"/>
                <w:color w:val="auto"/>
              </w:rPr>
            </w:pPr>
            <w:r>
              <w:rPr>
                <w:rFonts w:ascii="Arial" w:cs="Arial" w:eastAsia="Arial" w:hAnsi="Arial"/>
                <w:sz w:val="14"/>
                <w:szCs w:val="14"/>
                <w:color w:val="auto"/>
              </w:rPr>
              <w:t>The Securities Act of 1933, as amended.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Overview</w:t>
      </w:r>
    </w:p>
    <w:p>
      <w:pPr>
        <w:spacing w:after="0" w:line="1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are a product-driven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Founded in 2008 and headquartered in Palo Alto, California, we were among the first digital-only financial solutions platforms, pioneering the use of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Business Model</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We primarily generate revenue from cash management and investment advisory products. Cash management revenue is primarily earned from fees received for the delivery of cash management services, including our cash sweep program.</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Investment advisory revenue consists of fees charged for investment advisory and portfolio management services. Investment advisory fees are earned based on the market value, less fee waivers, of investment advisory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177863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88" w:lineRule="exact"/>
        <w:rPr>
          <w:sz w:val="20"/>
          <w:szCs w:val="20"/>
          <w:color w:val="auto"/>
        </w:rPr>
      </w:pPr>
    </w:p>
    <w:p>
      <w:pPr>
        <w:jc w:val="both"/>
        <w:ind w:firstLine="5"/>
        <w:spacing w:after="0" w:line="242" w:lineRule="auto"/>
        <w:tabs>
          <w:tab w:leader="none" w:pos="96"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seek to make money with, not from, our clients along their wealth accumulation journey. This aligned incentive structure allows us to focus exclusively on growing and maintaining the wealth of our clients, which in turn drives higher retention rates, deeper multi-product adoption, and more predictable long-term business performance.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Clients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clients are primarily digital-native high earners who prioritize savings and wealth accumulation. They typically have large liquid savings and focus on long-term investing principles, even during periods of market volatility.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 This continuous feedback loop constantly optimizes our platform for our clients’ evolving needs, fueling our historical organic growth. Over the past two fiscal years, over 50% of new clients were referred by existing clients and our annual client retention rate was over 95% for each of fiscal 2026 and fiscal 2025.</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clients have different preferences than previous generations. They are predisposed to a “there’s an app for that” mindset, and expect to be able to access any service seamlessly through digital or mobile channels. They have these same expectations for consumer financial services, and look to solve their needs with technology as their first choice. Accordingly, we are well positioned to capture the growth of their wealth over the long term.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Client Experience: Trust and Transparency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Trust and transparency are at the core of our client experience. As of January 31, 2026, our average platform assets per client was approximately $66,000, which we believe demonstrates our clients’ trust in our platform. Trust and transparency also benefits our business model, as a delightful client experience drives word-of-mouth referrals.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key features that drive trust and transparency are: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Superior Value and Lower Cost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we are uniquely able to offer these lower cost solutions at superior value because of the automation we’ve built into our platform and our willingness to share our savings with clients, who value low-cost financial products. We believe that, due in part to our unwavering focus on automation, we’re able to drive down the marginal cost of evaluating and trading, launch and iterate products faster, lower the cost of our support and offer a better overall client experience, including in the form of an industry-leading APY for our cash management products, lower advisory fees for our investment advisory products, and low interest rates for PLOC and home lending.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Intuitive and Easy to Use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All our products are designed to simplify otherwise complex financial experiences and decisions. While complex to navigate on one’s own when beginning one’s financial journey, we strive to make the process holistic and simple. Everything from account opening to notifications, transfers, and decision prompts are presented to our clients clearly and conveniently. Our clients don’t want to talk to advisors, and instead, we are able to offer them financial product solutions without the need for appointments or phone calls.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Fast and Frictionless Money Movement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want to make it as easy and as quick as possible for our clients to move money to where it is most productive for them. We offer 24/7/365 free instant withdrawals to eligible external accounts through the RTP Network and FedNow—including weekends and holidays—subject to the reservation of rights to impose risk-based limits when warranted. We have found that making it easy for clients to instantly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withdraw their money with no fee from Wealthfront leads them to increase their contributions and hold larger balances at Wealthfront. We do not control fees charged by a client’s receiving institution, and we disclose to clients that their transactions are subject to any fees or timing constraints that may be imposed by these third-party receiving institutions (e.g., banks where clients have accounts).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Treating Clients as They Would Expect to be Treated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All of our investment products are designed to implement best practices in the industry, and we publish exactly how we implement each service in publicly available white papers.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do not charge hidden or unexpected transaction fees and we don’t pursue marketing strategies that offer a better deal to new clients than existing ones.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High-Quality Product Support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goal is to build everything clients need into our products so they don’t ever have to call or email us. But if they do, our Product Specialists are delighted to help. They’re called Product Specialists because they serve a hybrid support and product function. Many people on our product support team have CFPs and CFA charters. As expected, they help clients quickly resolve problems, but perhaps even more importantly, they spend time determining what drives the support requests from clients so we can resolve the issues that led them to reach out to us. Our product support team reports directly to our product management organization, which helps us prioritize and make changes in the product experience based on client feedback, reducing the amount of human interaction ultimately needed in the long run.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Products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products help our clients build long-term wealth on their own terms. We have built a range of cash management, investment advisory, borrowing and lending, and financial planning products to serve the diverse financial needs of our clients. Our products span a broad risk spectrum that addresses the diverse financial needs of our clients throughout economic cycles—ranging from cash management to direct stock investing. Within our suite of investment advisory products, we offer capabilities that are suited for either “delegators” who want fully managed solutions and “do it yourselfers” who want more control over individual financial decisions.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Cash Account is a brokerage account offered by Wealthfront Brokerage LLC that provides clients access to our cash management services, including our cash sweep program. Our Cash Account automatically transfers, or “sweeps,” clients’ cash deposits to multiple FDIC-insured banks in our cash sweep program, or program banks, where clients earn interest at an industry-leading APY and benefit from the security of pass-through FDIC insurance. By sweeping clients’ funds from Wealthfront Brokerage LLC through an intermediary bank to multiple program banks, we enable our clients to access up to $8 million in FDIC insurance for individual accounts and $16 million for joint accounts.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to interest at an industry-leading APY and no account fees, the Cash Account provides a full array of fee-free, no-strings-attached checking features and access to our proprietary Wealthfront Treasury Money Market Fund (ticker: WLTXX) managed by Wealthfront Strategies LLC. Our Cash Account has both checking and savings functionality, allowing clients to maximize their utility with just one account. Our various checking features include: debit cards, account and routing numbers for deposits and withdrawals, direct deposit, bill payment, mobile check deposits, access to over 19,000 free ATMs nationwide, early paycheck access of up to two days by enabling direct deposit, free instant withdrawals to eligible accounts — even on weekends and holidays and free wire transfers to clients’ external accounts. The Wealthfront Treasury Money Market Fund invests primarily in US Treasuries to offer clients a competitive after-tax yield as debt securities issued by the US Treasury are generally exempt from state and local taxes. The Wealthfront Treasury Money Market Fund expense ratio is 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offer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 Clients who open a Cash Account will automatically receive the full suite of our cash management services without a separate required opt-in process.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deliver these cash management services through arrangements with several vendors, including certain banks. We sweep deposits to the various program banks utilizing automated allocations with the support of R&amp;T Deposit Solutions (“R&amp;T”), which serves as administrator of our cash sweep program. In addition, we offer the above checking features to clients through arrangements with our banking partners, Green Dot Bank (“Green Dot”) and UMB Bank (“UMB”). Green Dot provides clients with a Wealthfront-branded debit card, ATM network access, and mobile check deposit. UMB provides clients with certain ACH capabilities.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generate revenue from our Cash Account primarily through fees received for the delivery of cash management services that are a part of our cash sweep program. Each program bank agrees to pay a gross amount on program deposits.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Cash management revenue also includes an immaterial amount of interchange revenue generated when our clients use the Wealthfront-branded debit card to make purchases. Cash Accounts and debit cards incur various costs, including the fee we pay to R&amp;T for its administrative services, as well as costs incurred by us for money movement, tax reporting, debit card issuance, ATM fees, and various other operational costs. For fiscal 2026 and fiscal 2025, revenue from our cash management product constituted approximately 74% and 75% of our total revenue, respectively. Cash management revenue in fiscal 2026 did not contain any revenue generated from our proprietary money market fund as a result of a fee waiver for all assets under management by the fund that expires in March 2026, at which point the fund will generate management fees from the 25 bps expense ratio charged against the fund’s assets under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Automated Investing:</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investment advisory products, offered by our subsidiary, Wealthfront Advisers LLC, are premised on the belief that it is extremely difficult to outperform the market. Therefore, we advocate a passive, index-based approach to long-term investing. We aim to excel at the three things clients can control to reliably improve their long-term, after-tax returns: fees, taxes, and diversification. Our globally diversified multi-asset class investment products serve clients who prefer to delegate the management of their entire portfolio to us and our single-asset class products serve clients who prefer a self-directed approach. Our globally diversified multi-asset class products consist of portfolios of low cost index-based ETFs enhanced with tax-loss harvesting and our single-asset class products include direct indexing for the S&amp;P 500 and Nasdaq 100 (S&amp;P 500 Direct, Nasdaq-100 Direct, respectively), a US Treasury bond ladder, a bond portfolio diversified across a number of different types of bond ETFs and our Stock Investing product which allows you to invest in individual stocks and ETFs. We receive revenue from all our investment advisory products, other than Stock Investing, through asset-based fees. Our investment advisory fees are calculated by multiplying our advisory fee, (0.25% for our most popular product - our globally diversified multi-asset class portfolio of low cost ETFs), by the market value, less fee waivers, of assets held in client accounts. Costs primarily consist of clearing and execution, money movement, tax reporting, client account maintenance, and individual retirement accounts’ custodial expenses. For fiscal 2026 and fiscal 2025, revenue from our investment advisory products constituted approximately 25% and 24% of our total revenue,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Securities-Based Borrowing and Lending:</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offer clients with a minimum account balance of $25,000 a simple, fast, and low cost way to borrow cash against up to 30% of the securities in their eligible investment accounts using a Portfolio Line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of Credit (“PLOC”). We offer PLOC to clients through our omnibus margin lending arrangement with RBC Clearing &amp; Custody, which is subject to customary industry terms. RBC Clearing &amp; Custody extends loans to Wealthfront Brokerage LLC, which then lends these funds to Wealthfront Brokerage LLC clients. Wealthfront Brokerage LLC provides client securities as collateral for such loans and is charged interest by RBC Clearing &amp; Custody on the overall balance of margin loans taken out by clients. As of January 31, 2026, our borrowing rates are among the lowest in the industry, currently 1.08% above the prevailing Effective Federal Funds Rate (“EFFR”), and provide an economical liquidity solution to our clients. We generate revenue from the interest clients pay on the overall balance of their margin loans, less the interest charged by RBC Clearing &amp; Custody described above.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enable clients to earn cash income by lending securities they own through our Fully Paid Securities Lending (“FPSL”) program. Clients can opt in or out of the FPSL program at any time. If a participating client opts in and meets our lending requirements, the client authorizes Wealthfront Advisers LLC to lend the client’s fully paid securities to Wealthfront Brokerage LLC, which lends such securities to unaffiliated third-party financial institutions. These loans are collateralized with cash received from the unaffiliated third-party borrowers, and clients receive 50% of the net interest revenue generated from the loans. We offer our FPSL program through an arrangement with Sharegain, a leading securities lending platform provider.</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receive revenue from our securities-based borrowing and lending products primarily through interest received for our PLOC margin lending services. For fiscal 2026 and fiscal 2025, revenue from our securities-based borrowing and lending services was immaterial, constituting approximately 0% in both fiscal years. There are also immaterial costs associated with our borrowing and lending products.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Home Lending:</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launched early access to our Home Lending Product on November 19, 2025 and general availability to clients in Colorado on April 6, 2026. This new offering brings Wealthfront’s software-driven approach to the mortgage process with the aim of helping clients benefit from low rate and self-serve applications, without hidden fees or sales calls.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Entering the mortgage industry is a natural and strategic product expansion that exemplifies Wealthfront’s focus on using technology to help digital natives earn more on their savings, borrow at lower rates, and keep more of their returns. Ideal for clients looking for highly competitive rates and a streamlined mortgage process, Wealthfront Home Lending is designed to lower borrowing costs without charging hidden fees, or requiring asset minimums or points. By leveraging Wealthfront's software-driven platform to power the entire product experience and focusing our marketing efforts on existing clients, we are able to decrease the costs of originating a loan and use those savings to help clients pay less on their mortgage. For fiscal year 2026, revenue from our Home Lending Product was immaterial.</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Home Lending Product is structured as a non-delegated lender funding loans with a warehouse line of credit and generates revenue primarily from selling loans to a takeout investor and origination fees. The non-delegated mortgage framework allows us to maintain an asset-light approach to the business while retaining the control over the client experience throughout the origination process.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Planning: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provide individualized, software-based financial planning to help clients optimize their finances, giving them insight into their projected future net worth, and guidance on the cost of homeownership, early retirement, prolonged time off from their careers, or saving for college. These personalized insights and advice are provided for free, without ever needing to talk to a financial planner. We do not currently earn revenue from, and do not allocate costs to, our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Platform</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aim to build products that deliver the best possible user experience that digital natives have come to expect when interacting with technology platforms. These products and the user experience they provide are made possible by our proprietary technology infrastructure, industry partners, network of program banks, and a culture of automation that permeates our entire organization. Together, these form the core of the Wealthfront platform.</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Each step of building our platform has been deliberate and the product development process is iterative. We constantly build, refine, and deploy new features and products to our client base. We choose to build products which together form a coherent ecosystem of financial products, rather than a supermarket of options. We’re not in a race to recreate all financial products offered by incumbents. Instead, we design solutions to problems experienced by our clients.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Proprietary Technology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Omnibus Brokerage Platform</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proprietary omnibus brokerage platform is the foundation for our investing and cash management solutions. It helps us to continually improve the client experience, launch new products, and reduce costs. Our unrelenting focus on automation allows for extraordinary operating leverage and scalability, and enables us to deliver a broad spectrum of investment products and brokerage services, such as tax-loss harvesting, direct indexing and portfolio line of credit.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Fully Integrated Brokerage and Cash Management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brokerage platform seamlessly integrates with our cash management and investing solutions, creating a cohesive and streamlined client experience. As a result, clients are able to take advantage of instant transfers and earn interest at an industry-leading APY on all their cash assets.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Data Aggregation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Data received from financial institutions or data aggregators must be cleansed and processed before it can be presented to our clients. The insights from our proprietary cleansing and processing data platform, combined with our fully integrated brokerage and cash management inform our automated holistic financial planning software experience.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Data and Analytics Platform</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data and analytics platform gathers client activity both within the Wealthfront platform and from external sources. This data is then used to create a comprehensive profile of each client, which forms the foundation for our financial advice and product recommendations. Additionally, this process helps us to understand how clients interact with both our products and third party offerings, which in turn informs the direction of our product roadmap.</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Product-Led Growth Strategies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Since inception, Wealthfront has primarily pursued a product-led growth strategy designed to turn client delight into organic virality. We focus on building automated, high-value financial solutions that solve the specific needs of digital natives who prioritize seamless, mobile-first experiences.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Core Pillars of Our Strategy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Automation-First Development: We only offer financial services that we can fully automate through our proprietary technology infrastructure. This allows us to be the low-cost producer in every category we enter, enabling us to share the savings with our clients to deliver superior value—such as industry-leading APYs and lower advisory fees.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Aligned Incentives: We succeed when our clients succeed. By avoiding transactional fees and conflicted human advice, we build a trust-based relationship that encourages clients to consolidate more of their assets on our platform over time.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Organic Client Acquisition: Our business scales through an intentional organic acquisition engine driven by a strong word-of-mouth referral pipeline, which we believe is a competitive advantage in an industry where digital natives are not easily swayed by generic advertisements. This momentum is evidenced by the fact that over 50% of our new clients were referred by existing clients over the past two fiscal years.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Continuous Feedback Loop: We use data insights from our automated financial planning software to understand our clients’ evolving needs. This allows us to rapidly iterate and launch new products—such as Home Lending and Stock Investing—that deepen our share of a growing wallet with our existing clients.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Unique Economics and Compounding Growth Model of Wealthfront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financial model is designed to scale efficiently as clients trust us with more assets and it has proven to be resilient over multiple stock market cycles and macroeconomic environments since inception.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Drivers of Our Growth</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incentives are fundamentally aligned with our clients’ best interests. As our clients’ wealth grows, so does our revenue. This dynamic allows us to scale efficiently by deepening relationships with existing clients rather than solely relying on new client acquisitions. Our product-led growth engine and long-term investment strategy through volatile macroeconomic trends drive our durable compounding growth.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Client Wealth Grows Our Revenue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revenue, earned primarily from platform asset-based fees, grows as clients’ wealth increases and they trust us with more assets. This aligns our incentive to grow the business directly with our clients’ long-term financial success, allowing us to focus solely on growing and maintaining their wealth, unlike many FinTechs incentivized to encourage transaction velocity.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Existing Clients Fuel Efficient, Consistent Growth</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Most of our assets and growth come from existing clients: digital natives seeking to build their wealth. Clients typically join our platform seeking a specific solution and initially fund their first account with $10,000 to $30,000 in their first 30 days. As their trust in us builds over time, clients begin to consistently add deposits, often through regular weekly or monthly contributions, or larger one-time infusions from bonuses, liquidity events or inheritances, and adopt additional products. The average platform assets per client was approximately $66,000 on the platform as of January 31, 2026 with more than 17% of clients having recurring or direct deposits.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highly loyal, mostly organically acquired client base is also quick to adopt new products or incentives, such as our interest rate referral incentive program, amplifying viral growth moments. These behaviors help create predictable, recurring revenue growth.</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Products Drive Cost Effective Organic New Client Growth</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rely almost exclusively on organic growth, understanding that great companies are built through word of mouth fueled by client delight and exceptional products. This is a deliberate strategy: win new clients with exceptional products rather than outspend competitors on marketing to drive new client acquisition. We understand that building great products is a long-term investment, turning new clients into loyal long-term advocates.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Built-In Cost-Free Compounding Asset Growth</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benefit from built-in cost-free, compounding revenue growth on both investment advisory and cash management assets. Our equity-oriented investment advisory assets (e.g., passively managed diversified index-based ETF portfolios, S&amp;P 500 Direct, Nasdaq-100 Direct) typically compound over long periods at around 6% to 9% annually due to market appreciation, which, though volatile at times, has historically recovered quickly after market downturns. Our cash management assets also enjoy cost-free compounding growth from an industry-leading interest rate (historically up to 5% APY).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Long-Term Investment Strategy through Volatile Macroeconomic Conditions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Equity markets and interest rates often move inversely, providing a natural hedge that enables our business to be durable, and grow steadily and profitably across most economic conditions. The potential for macroeconomic shifts emphasizes the importance of not only having a comprehensive suite of uncorrelated financial products, but also the versatility of employing client acquisition strategies to quickly adapt to the environment. For example, in stronger macroeconomic environments with low interest rates, our investment advisory and home lending products become more popular. In weaker macroeconomic environments with higher interest rates, our cash management products become more popular. When a client initially funds either a cash management or investment advisory account and subsequently funds the other type of account, we define this as cross product adoption. As of January 31, 2026, our cross product adoption rate was 61% on an asset basis and 27% on a client basis. We also benefit from our clients’ commitment to passive investing, which reduces withdrawals during market downturns, further stabilizing our growth.</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Software-Driven, Automated Services Lead to High Margins for Us and More Value for Our Clients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focus on automation streamlines service delivery, requiring far fewer employees than traditional approaches. Nearly half of our employees as of January 31, 2026 were software engineers, and we operate without salespeople or financial advisors, which our clients prefer. Consequently, our software-driven service model generates a better user experience and higher operating margins that can be shared with clients and reinvested into product improvement and platform development.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Competition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operate in a highly competitive market that is constantly evolving to meet the changing financial needs of new generations. Our primary competition is inertia: our clients require a significant value proposition over their current status quo to accept the burden and cost of moving their assets to a new platform. Inertia primarily benefits incumbent financial institutions that potential clients may use for banking or wealth management services. Wealthfront is purpose built to overcome this inertia by aligning with the needs of digital natives and creating an intuitive and easy-to-use platform.</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also compete against the challenges of complacency, risk aversion, and lack of financial education among potential clients. Many individuals may be hesitant to explore new financial solutions due to a comfort with familiar, yet outdated, systems or a fear of taking risks with their investments. Additionally, a lack of financial education may prevent clients from fully understanding the benefits and opportunities available through innovative platforms like Wealthfront. Complacency, risk aversion, and lack of financial education among potential clients primarily benefit incumbent financial institutions, investment platforms and brokerage platforms, which may be more familiar to potential clients. To address these challenges, we prioritize transparency, education, and empowerment, equipping clients with the knowledge and tools they need to make informed decisions and embrace modern financial strategies that align with their goals.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face competition from incumbent financial institutions, investment platforms, brokerage platforms, and FinTech firms. We also compete with traditional financial advisors; however, we believe that historically they have not effectively served digital natives, who prefer seamless digital and mobile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experiences over in-person interactions and may not initially be able to meet the minimum investments required by traditional financial advisors.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built our competitive moat through focusing on what our clients need, not what competitors are doing. At the core of this moat is a unique business model. Our business model drives the key competitive factors that define our success:</w:t>
      </w:r>
    </w:p>
    <w:p>
      <w:pPr>
        <w:spacing w:after="0" w:line="78"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Ability to attract and retain clients through building trust, driven by aligned incentives;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Narrow focus on and adaptability to the evolving preferences of digital natives;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Intuitive, easy-to-use financial products that meet the evolving needs of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Innovative and diverse product offerings;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Operational efficiency through streamlined processes and automation;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Engineering talent that drives continuous innovation and technological advancement;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Cost of products and services rendered;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Reputation and brand recognition.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we are well positioned to win and succeed in this market. Wealthfront’s value proposition is built on long-term wealth accumulation, prudent financial management, and most importantly, client trust. Wealthfront earned the trust of emerging digital-native generations in their prime phase of wealth accumulation, a definitive advantage over incumbents and other FinTech peers. We consistently innovate on our financial solutions to provide clients with the best products to manage their financial lives and are prepared to help guide our clients along their financial journeys.</w:t>
      </w:r>
    </w:p>
    <w:p>
      <w:pPr>
        <w:spacing w:after="0" w:line="95"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Our Employees and Culture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culture is built on a deep-seated belief in automation, transparency, and a relentless focus on solving complex problems to deliver long-term value to our clients.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we had 391 full-time employees, located across the United States and Canada.</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At our core, we are a technology company. Our culture is deeply rooted in engineering principles and a commitment to automation. As a result, approximately half of our employees are engineers. We seek to automate every possible function of our service to reduce costs for our clients, minimize human error, and scale our platform efficiently. This “automation-first” mindset extends beyond our product and into our internal operations. We empower our employees to identify inefficiencies and build solutions that allow them to focus on high-impact work. This philosophy attracts intellectually curious individuals who are passionate about building durable, scalable systems and who thrive on solving challenging technical and financial problems.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compete for talent with a broad range of technology and financial services companies. Our ability to attract, develop, motivate, and retain top-tier talent is critical to our continued success. We hire for intellectual horsepower, a passion for our mission, and a demonstrated ability to execute. Our team comprises individuals with diverse backgrounds from leading technology firms, financial institutions, and academic institutions. This blend of expertise allows us to foster a unique environment of innovation where technology and finance intersect to redefine the financial services industry.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invest heavily in the growth and development of our employees through mentorship programs, ongoing learning opportunities, and a culture that encourages taking on significant ownership and responsibility early in one’s career.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cornerstone of our compensation strategy is providing every employee with a meaningful equity stake in the company. We believe that employee ownership fosters a long-term perspective and a shared commitment, directly connecting the success of our employees with the value we create for our clients and stockholders.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intellectual property is an important aspect of our business and helps us maintain our competitive position. To establish and protect our rights in our proprietary intellectual property, we rely upon a combination of trade secret, trademark, patent, and copyright laws, and contractual restrictions such as confidentiality agreements, licenses, and intellectual property assignment agreements.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January 31, 2026, we had one registered trademark in the United States for the Wealthfront word mark. The registration is effective through November 15, 2031, and may be renewed periodically; provided that we, as the registered owner, or our licensees where applicable, comply with all applicable renewal requirements including, where necessary, the continued use of the trademark in connection with similar services and goods. We currently have two additional trademark applications pending to register and/or expand Wealthfront-based marks and may choose to pursue further registrations to the extent we believe it would be beneficial and cost effective. We also have issued trademarks and/or pending trademark applications in Canada, the United Kingdom, and the European Union. Additionally, we own several domain names, including www.wealthfront.com.</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we had five issued patents in the United States. Our patents issued in the United States begin expiring in April 2042, excluding any patent term adjustment.</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control access to our intellectual property and confidential information through internal and external controls. We maintain a policy requiring our employees, contractors, consultants and other third parties to enter into agreements that contain confidentiality provisions to control access to, and invention or work product assignment provisions to secure ownership of, our proprietary information. Intellectual property laws and our procedures and restrictions provide only limited protection, and any of our intellectual property rights may be challenged, invalidated, circumvented, infringed, or misappropriated.</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Government Regulation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the sections titled “Risk Factors— Risks Related to Regulatory and Legal Matters” and “Business—Legal Proceedings.”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and Data Privacy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business collects, stores, shares, discloses, transfers, uses, and otherwise processes a wide variety of information, including personal information, such as non-public financial information, of individuals across every state in the United States. As a result, we are subject to numerous U.S. federal and state data protection, privacy and security laws, rules, regulations, policies, self-regulatory or other industry standards, contractual obligations, and other legal obligations regulating the collection, storage, sharing, disclosure, transfer, use, protection, and other processing of personal information, and compliance with such laws, rules, regulations, policies, standards, and obligations is core to our strategy and integral to the creation of trust in our platform. Our handling of data and personal information is also subject to contractual obligations.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the United States, various federal and state laws and regulations apply to the collection, processing, disclosure, and security of personal information. Additionally, financial industry regulators apply particular scrutiny toward privacy and cybersecurity. The primary federal financial privacy law,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Gramm-Leach-Bliley Act of 1999 and its implementing regulations (the “GLBA”), restricts the collection, processing, storage, use, and disclosure of non-public personal information, requires notice to individuals of privacy practices, and provides individuals with some rights to prevent the use and disclosure of nonpublic or otherwise legally protected information. The GLBA also imposes requirements for the safeguarding and proper destruction of personal information through the issuance of data security standards or guidelines. Further, with respect to federal securities regulations, Wealthfront Brokerage LLC, Wealthfront Advisers LLC, and Wealthfront Strategies LLC are subject to SEC Regulation S-P, which implements the GLBA and requires covered financial institutions to, among other things, adopt written policies and procedures that address administrative, technical, and physical safeguards for the protection of customer information. In May 2024, the SEC approved amendments to Regulation S-P, which apply to broker-dealers, registered investment advisers, and funds, and add new requirements for incident response, service provider oversight and recordkeeping, among other changes. Additionally, we are subject to the laws and regulations promulgated under the authority of the Federal Trade Commission, which regulates unfair or deceptive acts or practices, including with respect to privacy, data protection, and data security.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At the state level, numerous states have enacted, or are in the process of enacting, state-level financial privacy laws, as well as comprehensive consumer data privacy laws and regulations, governing the collection, use, and processing of state residents’ personal information. Many of these laws broadly exempt entities covered by the GLBA; other laws such as the California Consumer Privacy Act (as amended, the “CCPA”), exempt only personal information that is subject to the GLBA. The CCPA applies to the personal information of California residents collected in the employment, job applicant, and business-to-business settings. The CCPA requires covered businesses to, among other things, provide certain disclosures to individuals in California, and affords such individuals data privacy rights such as opting out of the sale or sharing of personal information, accessing personal information, deleting personal information, correcting personal information, limiting the use and disclosure of sensitive personal information, and receiving detailed information about how personal information is collected, used, sold, and shared. In the future, additional states could also adopt data privacy legislation, which may include more stringent data privacy requirements. In addition to these state level comprehensive consumer data privacy laws, all 50 states have enacted breach notification laws, which include obligations to provide notification of security breaches that impact certain personal information to affected individuals, state regulators, and others.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This existing and new legislation, as well as their amendments, interpretations, and applications, may add additional complexity, variation in requirements, restrictions, and potential legal risk, require additional investment of resources in our compliance programs, impact our strategies and the availability of previously useful data, and could result in increased compliance costs and changes in our business practices and policies. We may be required to modify our data processing practices and policies and incur substantial compliance-related costs and expenses in connection with these and any other future data privacy, protection or security related laws, rules, or regulations, and they may also increase our potential exposure to regulatory enforcement and litigation.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With respect to cybersecurity, we and our third-party service providers have implemented a variety of technical and organizational security measures and other procedures and protocols designed to protect our data and information, including personal information and other confidential or sensitive information pertaining to our clients, employees, and other users. Despite measures we put in place, we and our third-party service providers may be unable to anticipate or prevent unauthorized access to such information, including personal information. If our privacy, data protection, or data security measures or those of our third-party service providers are inadequate or are breached, or otherwise compromised, and as a result, there is improper use, disclosure, or other processing of, or someone obtains unauthorized access to, personal, confidential, or sensitive information on our systems or our third-party service providers’ systems, or if we or our third-party service providers suffer a ransomware or other advanced persistent threat attack, or if any of the foregoing is reported or perceived to have occurred, our brand and business may be harmed, we may incur significant financial losses, costs, and liability associated with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remediation and the implementation of additional security measures, and be subject to negative publicity, litigation, regulatory scrutiny, governmental investigations, and other actions.</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“Risk Factors—Risks Related to Cybersecurity and Data Privacy”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Consumer Financial Protection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CFPB and other federal, local, state and foreign regulatory agencies regulate financial products and services, including credit, deposit, and payments services, and other similar services. These agencies have broad consumer protection mandates, and they promulgate, interpret and enforce rules and regulations that may affect our business.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Dodd-Frank Wall Street Reform and Consumer Protection Act (the “Dodd-Frank Act”) explicitly excludes firms overseen by the SEC from the CFPB’s enforcement authority. However, SEC-registered entities like Wealthfront Advisers LLC, Wealthfront Strategies LLC, or Wealthfront Brokerage LLC remain subject to CFPB regulations to the extent they provide certain consumer financial products and services that fall under CFPB’s jurisdiction. As we expand the scope of our provisions of consumer financial services beyond core securities activities that would otherwise be overseen by the SEC and/or FINRA, these additional products and services may be subject to the complex web of consumer financial services regulations promulgated by the CFPB and other regulatory authorities. If we become subject to regulation by, or enforcement actions from, the CFPB and other regulatory authorities, it could, among other things, impair our ability to grow our business, subject us to financial penalties and liabilities, and otherwise adversely affect our business, operating results, and financial condition.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we have committed resources to enhancing our compliance programs, future enforcement actions by the CFPB and other regulatory authorities against us or our program banks may discourage the use of our products or platform, which may harm our brand, result in the loss of program banks, cause clients to stop using our services or products, impair our ability to grow our business, and otherwise adversely affect our business, operating results, and financial condition.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Anti-Money Laundering</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Bank Secrecy Act, as amended by the USA PATRIOT ACT of 2001 (the “BSA/USA PATRIOT Act”), applies to Wealthfront Brokerage LLC and applicable implementing regulations and related FINRA rules requires it to develop an anti-money laundering (“AML”) program to assist in the prevention and detection of money laundering and combating terrorism. The AML program includes written policies and procedures, employee training, the designation of an AML compliance officer, periodic independent audits, customer identity verification requirements, and infrastructure necessary to identify and report suspicious activity. In August 2024, the Financial Crimes Enforcement Network (“FinCEN”) issued a final rule that will subject certain investment advisers, including registered investment advisers, to similar requirements. The rule, which was originally scheduled to go into effect on January 1, 2026 until FinCEN extended its implementation date to January 1, 2028, will impose additional regulatory obligations related to AML on Wealthfront Advisers LLC and Wealthfront Strategies LLC. Further, FinCEN has stated it will also evaluate the still-pending Customer Identification Program (“CIP”) rule prior to January 1, 2028. Depending on the scope of the final CIP rule, this rule will also impose substantial regulatory obligations on Wealthfront Advisers LLC and Wealthfront Strategies LLC. To comply with the BSA/USA PATRIOT Act and related FINRA rules, in addition to other anticipated new rules and regulations such as the FinCEN CIP rule, we have a Financial Crimes Compliance team that is responsible for developing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implementing our enterprise-wide programs for compliance with the various AML and counter-terrorist financing laws and regulations.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Sanctions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subject to U.S. economic sanctions laws, regulations, and executive orders including those administered by the Office of Foreign Assets Control (“OFAC”), the primary economic sanctions regulator in the United States. U.S. sanctions laws and regulations impose requirements on us and our program banks in connection with preventing targeted jurisdictions and persons from accessing the U.S. financial system and depriving economic sanctions targets of U.S.-connected property. We have policies and procedures in place to comply with these requirements, including the screening of transactions and clients to identify the involvement of OFAC-targeted persons and jurisdictions.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the sections titled “Risk Factors—Risks Related to Regulatory and Legal Matters,” “Risk Factors—Risks Related to Our Platform, Systems, and Technology,” and “Risk Factors —Risks Related to Our Business and Industry.”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 of Our Investment Adviser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Registration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Each of Wealthfront Advisers LLC and Wealthfront Strategies LLC is registered with the SEC as an investment adviser under the Advisers Act, and subject to regulation by the SEC. Registration does not imply a certain level of skill or training. Each of Wealthfront Advisers LLC and Wealthfront Strategies LLC is subject to the Advisers Act, including the antifraud provisions of the Advisers Act and the other federal securities laws, and the rules promulgated thereunder. The SEC is authorized to inspect the business activities of registered investment advisers at any time and is also authorized to institute proceedings and impose sanctions for violations of the Advisers Act and the other federal securities laws, ranging from fines and censures to termination of an adviser’s registration. For example, in December 2018, Wealthfront Advisers LLC entered into a settlement with the SEC in connection with an investigation regarding compliance with certain applicable investment advisory regulations. In connection with this settlement, Wealthfront Advisers LLC was required to pay a fine, and resulting media coverage of the investigation and settlement created negative publicity for our company. See the section titled “Risk Factors—Risks Related to Regulatory and Legal Matters—We have in the past been, and may in the future become, involved in litigation and regulatory inquiries, examinations, or proceedings that could negatively affect us.”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Fiduciary Duty</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investment advisers, Wealthfront Advisers LLC and Wealthfront Strategies LLC each have a fiduciary duty to their respective clients. This fiduciary duty includes both a duty of care and a duty of loyalty. The duty of care requires Wealthfront Advisers LLC and Wealthfront Strategies LLC to provide investment advice that is in the best interest of each client, based on a reasonable understanding of the client’s individual objectives and profile. The duty of loyalty requires Wealthfront Advisers LLC and Wealthfront Strategies LLC to eliminate or make full and fair disclosure of all material conflicts of interest that could affect the advisory relationship with any client. The SEC has interpreted this fiduciary duty to impose standards, requirements, and limitations on, among other things: the provision of investment recommendations to clients, trading for proprietary, personal and client accounts; allocations of investment opportunities among clients; and execution of client transactions. In addition to being a legal requirement, we believe that fulfilling Wealthfront Advisers LLC’s and Wealthfront Strategies LLC’s fiduciary duty is essential to our success, as it helps us increase our growth rate and engagement with clients, while serving the long-term interests of our company and our stockholders. Therefore, we may have forgone, and may in the future forego, certain expansion or short-term revenue opportunities that we do not believe are in the long-term interests of our clients, our company, and our stockholders. See the section titled “Risk Factors—Risks Related to Our Business and Industry —Wealthfront Advisers LLC’s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and Wealthfront Strategies LLC’s duties to act as fiduciaries for our clients could conflict with the short-term interests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Scope of Investment Adviser Regulatory Framework</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SEC-registered investment advisers, each of Wealthfront Advisers LLC and Wealthfront Strategies LLC is subject to a comprehensive regulatory framework designed to protect clients and promote market integrity. Under the Advisers Act, each of Wealthfront Advisers LLC and Wealthfront Strategies LLC must comply with a wide range of requirements and restrictions (in addition to the fiduciary duty described above), including, among other things: requirements to maintain written, effective, and comprehensive compliance policies and procedures reasonably designed to prevent violations of the Advisers Act and applicable rules thereunder; requirements to maintain extensive books and records; requirements to deliver disclosures to current and prospective advisory business clients, including through Form ADV “brochures” and “brochure supplements”; restrictions on the types of fees they may charge; requirements regarding the custody of client assets; compliance with client privacy regulations under Regulation S-P; restrictions governing advertising and marketing practices; and limitations on the solicitation of clients. The SEC has authority to inspect Wealthfront Advisers LLC and Wealthfront Strategies LLC at any time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regulations could have a material adverse effect on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Brokerage Regulation and Regulatory Capital and Deposit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Registrations and Licenses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operate one broker-dealer, Wealthfront Brokerage LLC, a subsidiary of Wealthfront Corporation. Client assets are held in brokerage accounts at Wealthfront Brokerage LLC, which has in place an omnibus clearing arrangement with RBC Clearing &amp; Custody for clearing functions, including in relation to the facilitation of trade settlement and extension of margin credit. Wealthfront Brokerage LLC is registered as a broker-dealer with the SEC, is a member of FINRA, and is licensed as a securities broker-dealer in all 50 U.S. states, the District of Columbia, Guam, Puerto Rico, and the U.S. Virgin Islands. Wealthfront Brokerage LLC is not licensed or authorized to conduct business in any other country, nor currently a member of any U.S. national securities exchange. Wealthfront Brokerage LLC is subject to regulation by the SEC, FINRA, and other self-regulatory organizations (each, an “SRO”) of which it is or may become a member, and the U.S. states and territories in which it operates. The Exchange Act generally grants the SEC broad administrative powers, including the power to limit or restrict Wealthfront Brokerage LLC’s activities in the event of its failure to comply with federal securities laws. In addition, FINRA has adopted extensive regulatory requirements relating to sales practices, registration of personnel, compliance and supervision, and compensation and disclosure, to which Wealthfront Brokerage LLC and its personnel are subject. FINRA and the SEC also have the authority to conduct periodic examinations of Wealthfront Brokerage LLC, and may also conduct administrative proceedings, and have the authority to levy fines and other penalties on Wealthfront Brokerage LLC. Additional sanctions that may be imposed for failure to comply with applicable law include the prohibition of individuals from associating with a broker-dealer, the revocation of registrations and other censures and fines. The failure of Wealthfront Brokerage LLC to comply with applicable regulation could therefore have a material adverse effect on our business. Even if an investigation or proceeding did not result in a sanction or the sanction imposed against us or our personnel by a regulator was small in monetary amount, the adverse publicity relating to the investigation, proceeding, or imposition of these sanctions could harm our reputation and cause us to lose existing clients or fail to gain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Scope of Regulation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principal purpose of regulating broker-dealers is the protection of clients and securities markets. The regulations cover all aspects of the broker-dealer business and operations, including, among other things, sales and trading practices,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clients, client privacy, data protection, information security and cybersecurity, the safeguarding of client information, the sharing of client information, best execution of client orders, public offerings, client qualifications for margin and options transactions, registration of personnel, business continuity planning, transactions with affiliates, conflicts, and the conduct of directors, officers and employees.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Capital Requirements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Wealthfront Brokerage LLC is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thresholds, or when withdrawals of capital exceed certain thresholds. These rules also dictate a broker-dealer’s maximum ratio of debt to equity. If Wealthfront Brokerage LLC fails to maintain specified levels of net capital, Wealthfront Brokerage LLC could be subject to immediate suspension or revocation of registration, and suspension or expulsion could ultimately lead to the liquidation or wind-up of Wealthfront Brokerage LLC. In addition, the SEC and FINRA may place restrictions on our ability to expand our existing business or to commence new businesses in the event of such failure. Such failure could also constitute a default by us of certain debt covenants under our Amended Revolver. The Uniform Net Capital Rule and FINRA requirements restrict Wealthfront Brokerage LLC from paying cash dividends, making unsecured advances or loans to affiliates, or repaying subordinated loans. For example, Wealthfront Brokerage LLC is restricted from making such payments that would result in it having a net capital amount of less than 5% of its aggregate debit balances or less than 120% of its applicable minimum dollar requirement. Moreover, these requirements also can limit Wealthfront Brokerage LLC’s ability to pay cash dividends, make unsecured advances or loans to affiliates or repay subordinated loans, for example, if Wealthfront Corporation contributed capital to Wealthfront Brokerage LLC within the previous year, repayment of that capital to Wealthfront Corporation would result in the original capital contribution being considered a loan, leading to adverse net capital consequences for Wealthfront Brokerage LLC. The minimum dollar net capital requirement for Wealthfront Brokerage LLC is the greater of $250,000 or 2% of aggregate debit items as computed under the Uniform Net Capital Rule. As of January 31, 2026, Wealthfront Brokerage LLC’s net capital was $150.3 million, which exceeded the requirement by $145.2 million.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Rule 15c3-3 Reserve and Custody Requirements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Wealthfront Brokerage LLC is subject to Rule 15c3-3 under the Exchange Act (“Rule 15c3-3”), which includes cash and securities segregation protection requirements. Pursuant to Rule 15c3-3, Wealthfront Brokerage LLC is required to maintain on deposit in a Special Reserve Bank Account for the Exclusive Benefit of Customers, based on weekly computations completed in a manner specified by the rule, an amount that is generally the difference between the amount of money Wealthfront owes clients and the amount of money Wealthfront clients owe it. As of January 31, 2026, Wealthfront Brokerage LLC had a cash balance segregated pursuant to Rule 15c3-3 of $10.4 million. Rule 15c3-3 also requires Wealthfront Brokerage LLC to determine daily the amount of client fully-paid securities and excess margin securities over which it is required to maintain possession or control and, in the event of deficits, Wealthfront Brokerage LLC must take action specified by regulation.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Margin Requirements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Wealthfront Brokerage LLC’s margin lending activities, which are supported by its omnibus margin lending arrangement with RBC Clearing &amp; Custody, are subject to limitations imposed by the rules and regulations of the Board of Governors of the Federal Reserve and FINRA. RBC Clearing &amp; Custody is separately subject to such requirements in relation to its omnibus lending arrangement with Wealthfront Brokerage LLC. In general, these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In addition, broker-dealers are limited in the amount they may lend in connection with certain purchases and short sales of securities and are also required to impose certain maintenance requirements on the amount of securities and cash held in margin accounts. FINRA rules specify additional rules for customers who are “pattern day traders” as defined under FINRA rules.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Best Execution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a registered broker-dealer, Wealthfront Brokerage LLC is also subject to “best execution” requirements under SEC guidelines and FINRA rules, which require Wealthfront Brokerage LLC to seek the best reasonably available terms for client orders. In part, this requires broker-dealers to use reasonable diligence so that the price to the client is as favorable as possible under prevailing market conditions, taking into account, among other things, the character of the market for the security, including price, volatility, relative liquidity and pressure on available communications, the size and type of transaction, the number of markets checked, accessibility of the quotations, and the terms and conditions of the client’s order. Although a broker-dealer is not required to examine every customer order individually for compliance with its duty of best execution, it must undertake regular and rigorous reviews of the quality of its customer order executions.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Wealthfront Brokerage LLC routes its clients’ orders to certain unaffiliated market makers for execution using its order routing system, which allocates a higher percentage of order flow to executing brokers that demonstrate higher execution quality, including but not limited to those that provide the best price (relative to prevailing market prices at the time of such orders) for each client’s order. Wealthfront Brokerage LLC reviews the quality of execution it receives from the market makers and chooses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client receives a worse price at execution than the best 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Wealthfront Brokerage LLC regularly monitors executions to test for whether such improvement, if available, was provided. Wealthfront Brokerage LLC does not receive compensation from its executing brokers, including payment for order flow, in connection with trades it places on behalf of clients.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Borrowing and Lending</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Broker-dealers such as Wealthfront Brokerage LLC are regulated by Federal Reserve Board Regulation T when extending credit to clients in connection with securities lending activities, and clients are regulated by Federal Reserve Board Regulation X, in both cases examined and enforced for broker-dealers and their customers by the SEC and FINRA. Broker-dealers are also subject to SEC Rule 8c-1 when hypothecating client securities, and are subject to FINRA Rule 4210 (as to margin lending programs, such as the Company’s PLOC product) and FINRA Rule 4330 (as to the Company’s fully-paid securities lending program). Securities lending programs (both margin lending and fully-paid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lending) also trigger consequences for Wealthfront Brokerage LLC’s net capital calculation under SEC Rule 15c3-1, and its customer reserve calculation and securities possession and control requirements under SEC Rule 15c3-3.</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History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Wealthfront was founded in 2008 and launched its automated investment service in 2011. Over time, we expanded from a pure robo-advisor into a broader financial platform offering cash management, investment advisory, borrowing and lending, and financial planning products. In 2025, we completed our IPO on the Nasdaq Global Select Market.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Available Information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our investor relations website, ir.wealthfront.com, we post the following filings after they are electronically filed with or furnished to the SEC: Annual Reports on Form 10-K, Quarterly Reports on Form 10-Q, Current Reports on 8-K for earnings release, and amendments to those reports filed or furnished pursuant to Section 13(a), 15(d), or 16 of the Exchange Act. All such filings are available, free of charge, on our website as soon as reasonably practicable after we file such material electronically with, or furnish it to, the SEC. The SEC also maintains a website that contains our SEC filings, including Beneficial Ownership Reports on Forms 3, 4, and 5, and all Current Reports on Form 8-K. The address of the site is www.sec.gov.</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Investors should routinely monitor those web pages, in addition to our press releases, SEC filings, and public conference calls and webcasts, as information posted on them could be deemed material information. In addition, we use our social media accounts on X, Instagram, Facebook, and LinkedIn, to communicate information from time to time. It is possible that the information that we post on social media could be deemed to be material to investors. The contents of our websites and social media channels are not intended to be incorporated by reference into this Annual Report or in any other report or document we file with the SEC, and any references to our websites and social media channels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RISK FACTORS</w:t>
      </w:r>
    </w:p>
    <w:p>
      <w:pPr>
        <w:spacing w:after="0" w:line="136"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Investing in our common stock involves a high degree of risk. You should carefully consider the risks and uncertainties described below, together with all of the other information in this Form 10-K.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In that event, the market price of our common stock could decline, and you could lose part or all of your investment.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Risk Factors</w:t>
      </w:r>
    </w:p>
    <w:p>
      <w:pPr>
        <w:spacing w:after="0" w:line="327" w:lineRule="exact"/>
        <w:rPr>
          <w:sz w:val="20"/>
          <w:szCs w:val="20"/>
          <w:color w:val="auto"/>
        </w:rPr>
      </w:pPr>
    </w:p>
    <w:p>
      <w:pPr>
        <w:ind w:right="340"/>
        <w:spacing w:after="0" w:line="290" w:lineRule="auto"/>
        <w:rPr>
          <w:sz w:val="20"/>
          <w:szCs w:val="20"/>
          <w:color w:val="auto"/>
        </w:rPr>
      </w:pPr>
      <w:r>
        <w:rPr>
          <w:rFonts w:ascii="Arial" w:cs="Arial" w:eastAsia="Arial" w:hAnsi="Arial"/>
          <w:sz w:val="14"/>
          <w:szCs w:val="14"/>
          <w:color w:val="auto"/>
        </w:rPr>
        <w:t>Our business is subject to numerous risks and uncertainties of which you should be aware before making a decision to invest in our common stock. These risks, among others, include the following:</w:t>
      </w:r>
    </w:p>
    <w:p>
      <w:pPr>
        <w:spacing w:after="0" w:line="173" w:lineRule="exact"/>
        <w:rPr>
          <w:sz w:val="20"/>
          <w:szCs w:val="20"/>
          <w:color w:val="auto"/>
        </w:rPr>
      </w:pPr>
    </w:p>
    <w:p>
      <w:pPr>
        <w:ind w:left="520" w:hanging="260"/>
        <w:spacing w:after="0" w:line="239"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4"/>
          <w:szCs w:val="14"/>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207" w:lineRule="exact"/>
        <w:rPr>
          <w:rFonts w:ascii="Arial" w:cs="Arial" w:eastAsia="Arial" w:hAnsi="Arial"/>
          <w:sz w:val="17"/>
          <w:szCs w:val="17"/>
          <w:color w:val="auto"/>
        </w:rPr>
      </w:pPr>
    </w:p>
    <w:p>
      <w:pPr>
        <w:ind w:left="520" w:hanging="260"/>
        <w:spacing w:after="0" w:line="239" w:lineRule="auto"/>
        <w:tabs>
          <w:tab w:leader="none" w:pos="516"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207" w:lineRule="exact"/>
        <w:rPr>
          <w:rFonts w:ascii="Times New Roman" w:cs="Times New Roman" w:eastAsia="Times New Roman" w:hAnsi="Times New Roman"/>
          <w:sz w:val="17"/>
          <w:szCs w:val="17"/>
          <w:color w:val="auto"/>
        </w:rPr>
      </w:pPr>
    </w:p>
    <w:p>
      <w:pPr>
        <w:ind w:left="520" w:hanging="260"/>
        <w:spacing w:after="0" w:line="254" w:lineRule="auto"/>
        <w:tabs>
          <w:tab w:leader="none" w:pos="516"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While we recently achieved profitability, we incurred a net loss in the most recent fiscal year and have a history of net losses, and there can be no guarantee that we will achieve or maintain profitability in the future.</w:t>
      </w:r>
    </w:p>
    <w:p>
      <w:pPr>
        <w:spacing w:after="0" w:line="195"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19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We may experience significant fluctuations in our operating results.</w:t>
      </w:r>
    </w:p>
    <w:p>
      <w:pPr>
        <w:spacing w:after="0" w:line="206"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207"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7"/>
        </w:numPr>
        <w:rPr>
          <w:rFonts w:ascii="Times New Roman" w:cs="Times New Roman" w:eastAsia="Times New Roman" w:hAnsi="Times New Roman"/>
          <w:sz w:val="17"/>
          <w:szCs w:val="17"/>
          <w:color w:val="auto"/>
        </w:rPr>
      </w:pPr>
      <w:r>
        <w:rPr>
          <w:rFonts w:ascii="Arial" w:cs="Arial" w:eastAsia="Arial" w:hAnsi="Arial"/>
          <w:sz w:val="14"/>
          <w:szCs w:val="14"/>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520" w:hanging="260"/>
        <w:spacing w:after="0" w:line="245"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203"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If we fail to successfully develop, maintain, and enhance our brand, or if our reputation is harmed, our business, operating results, and financial condition could be adversely impacted.</w:t>
      </w:r>
    </w:p>
    <w:p>
      <w:pPr>
        <w:spacing w:after="0" w:line="207" w:lineRule="exact"/>
        <w:rPr>
          <w:rFonts w:ascii="Times New Roman" w:cs="Times New Roman" w:eastAsia="Times New Roman" w:hAnsi="Times New Roman"/>
          <w:sz w:val="17"/>
          <w:szCs w:val="17"/>
          <w:color w:val="auto"/>
        </w:rPr>
      </w:pPr>
    </w:p>
    <w:p>
      <w:pPr>
        <w:ind w:left="520" w:hanging="260"/>
        <w:spacing w:after="0" w:line="254"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195"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07"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Problems with the quality of, or disruptions in, our platform, products and services could adversely impact our brand and reputation and our business, operating results, and financial condition.</w:t>
      </w:r>
    </w:p>
    <w:p>
      <w:pPr>
        <w:spacing w:after="0" w:line="207" w:lineRule="exact"/>
        <w:rPr>
          <w:rFonts w:ascii="Times New Roman" w:cs="Times New Roman" w:eastAsia="Times New Roman" w:hAnsi="Times New Roman"/>
          <w:sz w:val="17"/>
          <w:szCs w:val="17"/>
          <w:color w:val="auto"/>
        </w:rPr>
      </w:pPr>
    </w:p>
    <w:p>
      <w:pPr>
        <w:ind w:left="520" w:hanging="260"/>
        <w:spacing w:after="0" w:line="239" w:lineRule="auto"/>
        <w:tabs>
          <w:tab w:leader="none" w:pos="516" w:val="left"/>
        </w:tabs>
        <w:numPr>
          <w:ilvl w:val="0"/>
          <w:numId w:val="8"/>
        </w:numPr>
        <w:rPr>
          <w:rFonts w:ascii="Times New Roman" w:cs="Times New Roman" w:eastAsia="Times New Roman" w:hAnsi="Times New Roman"/>
          <w:sz w:val="17"/>
          <w:szCs w:val="17"/>
          <w:color w:val="auto"/>
        </w:rPr>
      </w:pPr>
      <w:r>
        <w:rPr>
          <w:rFonts w:ascii="Arial" w:cs="Arial" w:eastAsia="Arial" w:hAnsi="Arial"/>
          <w:sz w:val="14"/>
          <w:szCs w:val="14"/>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175"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202"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127"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We have experienced historical growth and we expect to continue to invest broadly across our organization to support our growth. Our revenue was $365.0 million and $308.9 million for the fiscal years ended January 31, 2026 and 2025, respectively. Our number of employees has grown to 391 as of January 31, 2026 from 328 as of January 31, 2025.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spacing w:after="0" w:line="2"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adapt to changing macroeconomic conditions, including through introducing new products and services;</w:t>
      </w:r>
    </w:p>
    <w:p>
      <w:pPr>
        <w:spacing w:after="0" w:line="122"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retain and increase adoption of our platform, products, and services by existing clients, as well as attract new clients and grow our client base;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develop new, and successfully optimize our existing,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successfully expand our business domestically;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successfully enter into partnerships to enhance our business,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successfully hire and retain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awareness of our brand;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spacing w:after="0" w:line="7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spacing w:after="0" w:line="3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53" w:lineRule="exact"/>
        <w:rPr>
          <w:sz w:val="20"/>
          <w:szCs w:val="20"/>
          <w:color w:val="auto"/>
        </w:rPr>
      </w:pPr>
    </w:p>
    <w:p>
      <w:pPr>
        <w:ind w:right="80"/>
        <w:spacing w:after="0"/>
        <w:rPr>
          <w:sz w:val="20"/>
          <w:szCs w:val="20"/>
          <w:color w:val="auto"/>
        </w:rPr>
      </w:pPr>
      <w:r>
        <w:rPr>
          <w:rFonts w:ascii="Arial" w:cs="Arial" w:eastAsia="Arial" w:hAnsi="Arial"/>
          <w:sz w:val="14"/>
          <w:szCs w:val="14"/>
          <w:color w:val="auto"/>
        </w:rPr>
        <w:t>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 or services could fail to attract clients, generate revenue, perform well, or integrate effectively with our other offerings. The introduction of new products and services can lead to increased costs, risks, and difficulties, including challenges in financial planning associated with such new products and services and uncertainty with respect to client engagement. If the assumptions regarding the risks and uncertainties related to new products and services are incorrect or change, or if we do not address these risks successfully, our operating and financial</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w:t>
      </w:r>
    </w:p>
    <w:p>
      <w:pPr>
        <w:ind w:right="160"/>
        <w:spacing w:after="0" w:line="253" w:lineRule="auto"/>
        <w:rPr>
          <w:sz w:val="20"/>
          <w:szCs w:val="20"/>
          <w:color w:val="auto"/>
        </w:rPr>
      </w:pPr>
      <w:r>
        <w:rPr>
          <w:rFonts w:ascii="Arial" w:cs="Arial" w:eastAsia="Arial" w:hAnsi="Arial"/>
          <w:sz w:val="14"/>
          <w:szCs w:val="14"/>
          <w:color w:val="auto"/>
        </w:rPr>
        <w:t>adoption, and forming new partnerships could have higher costs or otherwise require more resources than anticipated and could adversely impact our business, operating results, and financial condition or dilute our brand.</w:t>
      </w:r>
    </w:p>
    <w:p>
      <w:pPr>
        <w:spacing w:after="0" w:line="29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While we recently achieved profitability, we incurred a net loss in the most recent fiscal year and have a history of net losses, and there can be no guarantee that we will achieve or maintain profitability in the future.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Prior to the fiscal year ended January 31, 2024, we incurred losses each year since our incorporation in 2007. We achieved a net income of $194.4 million and $77.0 million in the fiscal years ended January 31, 2025 and 2024, respectively, but incurred a net loss of $(42.1) million in the fiscal year ended January 31, 2026, and had an accumulated deficit of approximately $ 142.0 million as of January 31, 2026.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achieve or maintain profitability in future periods at the same level or at all. Further, these anticipated increases in operating expenses will negatively affect our operating results if our total revenue does not increase.</w:t>
      </w:r>
    </w:p>
    <w:p>
      <w:pPr>
        <w:spacing w:after="0" w:line="101"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The value and amount of our platform assets is subject to significant fluctuations. Fluctuations in the value and amount of our platform assets may be attributable in part to market conditions outside of our control that have had, and in the future could have, an adverse impact on our business, operating results, and financial condition.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because of market volatility or other factors, such as a decline in stock prices, change in the level of interest rates, or new competitive dynamics, would negatively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fees and/or Cash Account fees. Changing market conditions could also cause an impairment to the value of our intangible assets. Further, the portfolios we manage may be subject to liquidity risks or an unanticipated large number of withdrawals as a result of the events or conditions described above, causing the portfolios to sell securities they hold, possibly at a loss. In the event the value or amount of our platform assets decline significantly, our business, operating results, and financial condition could be adversely impacted.</w:t>
      </w:r>
    </w:p>
    <w:p>
      <w:pPr>
        <w:spacing w:after="0" w:line="93"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While in February 2026, the Supreme Court of the United States declared unlawful some of the existing U.S. tariffs, it remains uncertain how this decision will affect the existing tariffs or whether additional tariffs will be imposed under other laws.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but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 and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significant fluctuations in our operating results.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operating results and financial condition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78"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volatility or instability in global and/or domestic financial markets, as well as any resulting loss of market or client confidence and subsequent withdrawal of client funds;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conditions, both domestically and internationally;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attract new clients and retain existing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ability to expand platform assets;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investing cycles and practices of our clients;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fluctuations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change in the competitive landscape of the financial advisory services industry, including consolidation among our competitors;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our fee structure or those of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and potential outcomes of ongoing or future regulatory investigations or examinations, or of future litigation;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future changes in applicable laws, rules and regulations, including both securities and tax laws, rules and regulations, particularly those relating to investment advisers and broker-dealers;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 and</w:t>
      </w:r>
    </w:p>
    <w:p>
      <w:pPr>
        <w:spacing w:after="0" w:line="136"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political, economic, and social instability, including due to changes in tariffs or trade restrictions, interest rate volatility, fluctuating rates of inflation, global economic slowdowns, actual or perceived global banking and finance related issues, potential uncertainty with respect to the federal debt ceiling and budget and potential government shutdowns related thereto, supply chain disruptions, labor shortages, slowing population growth, and potential global recession, as well as terrorist activities and events such as global health pandemics.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spacing w:after="0" w:line="78"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greater name and brand recognition;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significant market share;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longer operating histories and larger client bases;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larger suite of products and services;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larger marketing budgets and organizations;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more established marketing, banking, and compliance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stronger client support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greater resources to make acquisitions;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lower labor, personnel, and operational costs;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larger and more mature intellectual property portfolios;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substantially greater financial, technical, and other resources.</w:t>
      </w:r>
    </w:p>
    <w:p>
      <w:pPr>
        <w:spacing w:after="0" w:line="125"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affect our business, operating results, and financial condition. Furthermore, we also face competition in our target demographic markets from</w:t>
      </w:r>
    </w:p>
    <w:p>
      <w:pPr>
        <w:spacing w:after="0" w:line="3" w:lineRule="exact"/>
        <w:rPr>
          <w:sz w:val="20"/>
          <w:szCs w:val="20"/>
          <w:color w:val="auto"/>
        </w:rPr>
      </w:pPr>
    </w:p>
    <w:p>
      <w:pPr>
        <w:ind w:right="200"/>
        <w:spacing w:after="0" w:line="238" w:lineRule="auto"/>
        <w:rPr>
          <w:sz w:val="20"/>
          <w:szCs w:val="20"/>
          <w:color w:val="auto"/>
        </w:rPr>
      </w:pPr>
      <w:r>
        <w:rPr>
          <w:rFonts w:ascii="Arial" w:cs="Arial" w:eastAsia="Arial" w:hAnsi="Arial"/>
          <w:sz w:val="14"/>
          <w:szCs w:val="14"/>
          <w:color w:val="auto"/>
        </w:rPr>
        <w:t>cryptocurrency, sports betting and prediction market companies, and from financial services companies offering high-risk products such as zero-day options. These offerings may compete with us for client attention and wallet share.</w:t>
      </w:r>
    </w:p>
    <w:p>
      <w:pPr>
        <w:spacing w:after="0" w:line="17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by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launch or continue any such new product or be unable to complete, or be delayed in completing, transactions in connection therewith. Such failures could result in lost revenue, reputational harm, regulatory penalties, or, to the extent we sell loans or other assets, obligations to repurchase previously sold assets.</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successfully develop, maintain, and enhance our brand, or if our reputation is harmed, our business, operating results, and financial condition could be adversely impacted.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 -quality,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While we have policies, procedures, and controls that are designed to address and manage these risks, if any of our policies or procedures are inadequately designed or ineffective in practice, or our 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spacing w:after="0" w:line="26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requires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Furthermore, it is possible that clients, Wealthfront Advisers LLC, or Wealthfront Brokerage LLC may experience computer equipment failure, loss of internet access, viruses, or other events that may impair, 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 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directly and indirectly exposed to fluctuations in interest rates, and changing interest rate environments have in the past, and could in the future, impact our business, operating results, and financial condition.</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yields offered by our program banks decline more quickly than the interest rates offered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with our service providers and other third parties.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Maintaining adequate liquidity is crucial to our securities brokerage operations, including key functions such as transaction settlement, custody requirements, and margin lending. We meet our liquidity needs primarily from working capital and cash generated from our platform, products, and services, as well as from external debt and equity financing. Increases in the number of clients, fluctuations in platform assets and related activity, as well as market conditions or changes in regulatory treatment of platform assets, may affect our ability to meet our liquidity needs.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are unable to continue to successfully market our platform, it could negatively impact our ability to attract and onboard new clients and could adversely impact our business, operating results, and financial condition.</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Many new clients find our platform by searching for financial advisory services through internet search engines or from word-of-mouth or other personal recommendations. A critical factor in attracting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results, and financial condition would be adversely impacted. In addition, we use a broad mix of marketing and other brand-building measures to attract clients to our platform. We use television and online 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 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our business strategy, we have in the past and may in the future acquire or make investments in complementary companies, services, products, technologies, or talent. For example, in July 2024, we completed the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Additional risks we may face in connection with acquisitions and strategic investments include:</w:t>
      </w:r>
    </w:p>
    <w:p>
      <w:pPr>
        <w:spacing w:after="0" w:line="136"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diversion of management’s time and focus from operating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inability to integrate product and service offerings of an acquired company;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changes in relationships with strategic partners or the loss of clients or partners as a result of acquisitions or strategic positioning resulting from the acquisition or strategic investment;</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integration of the acquired company’s finance, accounting, client relationship management, management information, human resources, and other administrative systems;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unexpected security risks or higher than expected costs to improve the security posture of the acquired company;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higher than expected costs to bring the acquired company’s information technology infrastructure up to our standards;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need to implement or improve controls, procedures, and policies at a business that prior to the acquisition may have lacked sufficiently effective controls, procedures, and policies;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 not adequately address and that cause our reported results to be incorrect;</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failing to achieve the expected benefits of the acquisition or investment;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or against terminated employees, clients, current and former stockholders, or other third parties.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estimates of market opportunity and forecasts of market growth may prove to be inaccurate.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ability to maintain client satisfaction depends in part on the quality of our client support. Failure to maintain high-quality client support could have an adverse effect on our business, operating results, and financial condition.</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the successful use of our platform, products, and services requires high-quality support and engagement with our clients. Increased demand for client support, without corresponding increases in revenue or personnel, could increase our costs and adversely affect our business, operating results, and financial condition.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 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Wealthfront Advisers LLC’s and Wealthfront Strategies LLC’s duties to act as fiduciaries for our clients could conflict with the short-term interests of our business.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Misconduct and errors by our employees and third-party service providers could harm our business and reputation and subject us to significant legal liability.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any misconduct. Our employees, vendors, and service providers could also commit errors that subject us to financial claims for negligence, as well as regulatory actions, or result in financial liability.</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spacing w:after="0" w:line="27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funding transaction losses due to reversals or insufficient funds.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client, or if the client refuses or is unable, due to bankruptcy or other reasons, to reimburse us, we bear the loss of such amount.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exposure to credit risk with clients, market makers, and other counterparties could result in losses.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which the value of the collateral held by us could fall below the amount of a client’s indebtedness. We also lend and borrow securities in connection with our broker-dealer business. Sharp changes in market 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 these transactions. We have policies and procedures designed to manage credit risk, but we face a risk that such policies and procedures might not be fully effective.</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To the extent we expand our operations into international jurisdictions, we would be exposed to significant new risks, and our international expansion efforts might not succeed.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spacing w:after="0" w:line="91" w:lineRule="exact"/>
        <w:rPr>
          <w:sz w:val="20"/>
          <w:szCs w:val="20"/>
          <w:color w:val="auto"/>
        </w:rPr>
      </w:pPr>
    </w:p>
    <w:p>
      <w:pPr>
        <w:ind w:left="520" w:hanging="260"/>
        <w:spacing w:after="0" w:line="29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difficulty establishing and managing international entities, offices, or operations and the increased operations, travel, infrastructure, and legal and compliance costs associated with operations, entities, or people in different countries or regions;</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additional complexities of any merger or acquisition activity internationally, which would be new for us and could subject us to additional regulatory scrutiny or approvals;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need to adapt, localize, and position our platform, products, and services for specific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increased exposure to foreign fraud vectors;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increased competition from local providers of similar products and services;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65"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need to offer client support and other aspects of our offering (including websites, articles, blog posts, and client support documentation) in various languages or locations;</w:t>
      </w:r>
    </w:p>
    <w:p>
      <w:pPr>
        <w:spacing w:after="0" w:line="289"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need to recruit and manage staff in new countries and regions to support international operations, and comply with employment law, tax, payroll, and benefits requirements in multiple countries;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need to enter into new business partnerships with third-party service providers in order to provide our platform, products, and services in the local market, or to meet regulatory obligations;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varying levels of internet technology adoption and infrastructure, and increased or varying network and hosting service provider costs and differences in technology service delivery in different countries;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currency exchange rates and the requirements of currency control regulations, which might restrict or prohibit conversion of other currencies into U.S. dollars;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treatment of revenue from international sources, evolving domestic and international tax environments;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potential tax issues, including, but not limited to, with respect to our corporate operating structure and intercompany arrangements;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political or social change or unrest or economic instability in a specific country or region in which we operate.</w:t>
      </w:r>
    </w:p>
    <w:p>
      <w:pPr>
        <w:spacing w:after="0" w:line="13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4"/>
          <w:szCs w:val="14"/>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spacing w:after="0" w:line="274" w:lineRule="exact"/>
        <w:rPr>
          <w:sz w:val="20"/>
          <w:szCs w:val="20"/>
          <w:color w:val="auto"/>
        </w:rPr>
      </w:pPr>
    </w:p>
    <w:p>
      <w:pPr>
        <w:ind w:right="3520" w:firstLine="3517"/>
        <w:spacing w:after="0" w:line="442" w:lineRule="auto"/>
        <w:rPr>
          <w:sz w:val="20"/>
          <w:szCs w:val="20"/>
          <w:color w:val="auto"/>
        </w:rPr>
      </w:pPr>
      <w:r>
        <w:rPr>
          <w:rFonts w:ascii="Arial" w:cs="Arial" w:eastAsia="Arial" w:hAnsi="Arial"/>
          <w:sz w:val="14"/>
          <w:szCs w:val="14"/>
          <w:b w:val="1"/>
          <w:bCs w:val="1"/>
          <w:color w:val="auto"/>
        </w:rPr>
        <w:t xml:space="preserve">Risks Related to Our Cash Management Products and Services </w:t>
      </w:r>
      <w:r>
        <w:rPr>
          <w:rFonts w:ascii="Arial" w:cs="Arial" w:eastAsia="Arial" w:hAnsi="Arial"/>
          <w:sz w:val="14"/>
          <w:szCs w:val="14"/>
          <w:b w:val="1"/>
          <w:bCs w:val="1"/>
          <w:i w:val="1"/>
          <w:iCs w:val="1"/>
          <w:color w:val="auto"/>
        </w:rPr>
        <w:t>Our cash management products and services subject us to risks related to our bank partnerships.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partner with Green Dot and UMB to provide cash management services to our clients in connection with our Cash Account. Green Dot establishes direct banking relationships with our clients and provides services that include a Wealthfront-branded debit card, ATM network access, and mobile check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deposit. UMB provides limited ACH capabilities and does not have a direct banking relationship with our clients. We help with recordkeeping and reconciliation of balances between our clients’ brokerage accounts, our program banks, and our banking partners.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protection, as well as changes in market conditions (such as very low or negative interest rates) could 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 attractiveness of the bank sweep program to clients and could reduce the revenue earned by our company in connection with the bank sweep program.</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participate in a deposit placement program operated by R&amp;T Deposit Solutions in order to enable our deposit sweeps to program banks. Our three largest program banks are all highly regulated global systemically important banks, as designated by the Financial Stability Board as of November 2024.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program banks, and likely would need to engage new program banks in order to have sufficient deposit capacity to continue to offer the same level of pass-through deposit insurance. If we are unable to do so, we would need to lower the amount of pass-through deposit insurance we offer, which would likely adversely affect client participation in the sweep program and our cash account fees generated from that program. In addition, if a large program bank were to fail and we were unable to withdraw client funds in advance of that failure, there could be a disruption in client access to their insured deposits until the accounts from the failed institution are assigned to a successor selected by the FDIC or are paid out. Any such disruption, which would affect all broker-dealers participating in cash sweep programs with the failed institution, would likely adversely affect our reputation with our clients, potentially resulting in a loss of business and associated income.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FDIC pass-through insurance requirements in connection with our cash management products and services.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Cash Account program and other cash management products and services could subject us to a number of federal and state regulatory requirements.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Cash Account program and the Wealthfront-branded debit card could subject us to federal and state consumer protection laws and regulations, including the Electronic Fund Transfer Act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“Our business could be materially and adversely affected by a cybersecurity breach or other attack involving our computer systems or data or those of our clients, our third-party service providers, or such service providers’ vendors.”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Further, due to the fact that we are deemed a service-provider to our program banks, we are subject to audit standards for third-party vendors in accordance with bank regulatory guidance and examinations by federal bank regulatory authorities and the CFPB. In addition, we offer, in conjunction with our program banks, a referral reward program that allows eligible clients to receive promotional benefits, including an annual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Client or third-party use of our cash management services for illegal activities or improper purposes could harm our business.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Investment Advisory and Brokerage Services</w:t>
      </w:r>
    </w:p>
    <w:p>
      <w:pPr>
        <w:spacing w:after="0" w:line="138"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i w:val="1"/>
          <w:iCs w:val="1"/>
          <w:color w:val="auto"/>
        </w:rPr>
        <w:t>Errors in Wealthfront Advisers LLC’s automated advisory services or misrepresentations, inaccuracies, or fraud may subject us to liability for any losses that result.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 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 may result in losses to our clients. The computer software that underlies our automated investing technology are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will be adversely affected if we, or any of our subsidiaries, or our investment advisory programs, are determined to have been subject to registration as an investment company under the 1940 Act.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Wealthfront Advisers LLC provides automated digital investment advisory services that are designed to offer clients discretionary portfolio management through software-based platforms. These services 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Sponsorship of 1940 Act-registered investment products, such as the Wealthfront Treasury Money Market Fund, carries regulatory, reputational, and market risks, which could adversely affect our business or financial condition.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subsidiary, Wealthfront Strategies, LLC, serves as the investment adviser to the Wealthfront Treasury Money Market Fund (the “Fund”), an investment company that is registered under the 1940 Act and operates as a “government money market fund” in reliance on Rule 2a-7 under the 1940 Act. In the future, we may sponsor one or more other investment products that are registered as investment companies under the 1940 Act. Our clients are able to purchase or sell shares of the Fund through our cash sweep program. The services we provide to the Fund expose us to additional legal, regulatory, and reputational risks that are distinct from those currently associated with our automated investment advisory business. In particular, under Rule 2a-7 and other rules and provisions of the 1940 Act, the Fund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subject to complex regulatory requirements relating to liquidity, credit quality, portfolio diversification, valuation, stress testing, fee provisions, and disclosure, each of which may present compliance challenges. Failure to comply with the 1940 Act or other regulatory obligations could result in SEC enforcement actions, reputational harm, or impact our business or financial condition.</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Wealthfront Strategies, LLC’s role as the Fund’s investment adviser presents perceived or actual conflicts of interest with our current investment advisory clients. In particular, because the Fund is an investment option in our cash sweep program, cash held by certain clients is automatically invested in the Fund and such clients’ resulting investments in the Fund generate additional revenue to us in the form of advisory fees that the Fund pays to Wealthfront Strategies, LLC. If clients or regulators believe that our operation of the Fund raises conflicts of interest that are not appropriately mitigated in accordance with applicable law, our reputation and client trust may be adversely affected. We also may face competitive pressures from larger, more established sponsors of money market funds, and there can be no assurance that the Fund will attract or retain sufficient assets to be economically viable. There also can be no assurance that the Fund will generate returns for its investors; an investment in a money market fund is not a bank account and is not insured or guaranteed by the FDIC or any other government agency. It is possible to lose money by investing in any money market fund, including the Fund.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Any of the foregoing risks, if realized, could materially and adversely affect our business or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Providing investment education tools could subject us to additional risks if such tools are construed to be investment advice or recommendations.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provide clients with a variety of educational materials, investment tools, and financial news and information, such as our blog.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including Wealthfront Brokerage LLC, to increase the frequency with which they perform required customer reserve account calculations and funding from weekly to daily, and compliance is required by June 2026.</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Mortgage Services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mortgage business depends on U.S. government-sponsored entities and government agencies, as well as our ability to comply with their guidelines and related investor requirements, and any changes in their roles or policies could materially and adversely affect our ability to market and sell mortgages.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begun to originate loans that are eligible for sale to Fannie Mae and Freddie Mac (collectively, the “GSEs”), which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 GSE restrictions were suspended in 2021, future changes remain uncertain and may affect the GSEs’ willingness or ability to purchase loans with certain risk characteristics.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spacing w:after="0" w:line="8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4"/>
          <w:szCs w:val="14"/>
          <w:color w:val="auto"/>
        </w:rPr>
        <w:t>For loans sold to GSEs and other purchasers, we make representations and warranties related to loan characteristics, underwriting standards, and compliance with applicable guidelines. If loans we sell contain defects in underwriting, documentation, or compliance, or fail to meet GSE or investor guidelines, we may be required to repurchase such loans or indemnify investors for losses. Any significant increase in our repurchase obligations could negatively impact our cash flows, liquidity,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reliance on a limited number of investor outlets could have a material adverse effect on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model depends heavily on our ability to sell or securitize the mortgage loans we originate through a small number of loan purchasers or aggregators. We have relied and expect to further rely on a few counterparties to purchase or securitize our loans. This concentration exposes us to significant counterparty risk, as our ability to sell loans, manage liquidity, and fund new originations is directly tied to the continued interest, capacity, and financial health of these few loan purchasers.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increase our exposure to credit and interest rate risk and potentially strain our liquidity and funding capacity.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exposed to credit risk arising from our mortgage product, expect to be exposed to credit risk as we develop mortgage products, and any defaults by our mortgage clients would result in harm to our business, operating results, and financial condition.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Regulatory and Legal Matters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operate in a highly regulated industry and,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FPSL,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 to our business model and potentially adversely impact our business, operating results, and financial condition.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87"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“Previous statements by lawmakers, regulators, and other public officials and proposed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420"/>
        <w:spacing w:after="0" w:line="255" w:lineRule="auto"/>
        <w:rPr>
          <w:sz w:val="20"/>
          <w:szCs w:val="20"/>
          <w:color w:val="auto"/>
        </w:rPr>
      </w:pPr>
      <w:r>
        <w:rPr>
          <w:rFonts w:ascii="Arial" w:cs="Arial" w:eastAsia="Arial" w:hAnsi="Arial"/>
          <w:sz w:val="14"/>
          <w:szCs w:val="14"/>
          <w:color w:val="auto"/>
        </w:rPr>
        <w:t>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 In addition, potential relaxation of regulations, especially at the federal level in the United States, could enable new competitors to emerge or could require us to incur additional costs to compete under the new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Broker-Dealer Regulations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Adviser Regulations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Mortgage-Related Regulations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mortgage business faces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federal oversight, we are and will be subject to state and local regulation. State attorneys general, regulators, and consumer protection offices have and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 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our platform for an extended period of time or indefinitely.</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anti-money laundering, anti-bribery, anti-corruption, and similar laws and non-compliance with such laws can subject us to criminal penalties or significant fines and harm our business and reputation.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and/or sanctions could harm our reputation, business, operating results, and financial condition.</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AML laws, countering the financing of terrorism (“CFT”) laws, and similar laws, and non-compliance with such laws can subject us to criminal penalties or significant fines and harm our business and reputation.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coverage, and other collateral consequences. Any investigations, actions, or sanctions could harm our reputation, business, operating results, and financial condition.</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governmental economic sanctions requirements and export and import controls that could subject us to liability if we are not in compliance with applicable laws.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regulations include restrictions or prohibitions on the sale or supply of certain products, technology, and services to prohibited countries, governments, persons, and entities and require authorization for the export of certain services.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 the past been, and may in the future become, involved in litigation and regulatory inquiries, examinations, or proceedings that could negatively affect us.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 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 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People</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many of our key personnel are vested in a substantial number of shares of our common stock, restricted stock units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are significantly above the trading price of our common stock.</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 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Platform, Systems, and Technology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Problems with the quality of, or disruptions in, our platform, products and services could adversely impact our brand and reputation and our business, operating results, and financial condition.</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 detect all issues that could interfere with, or weaken the efficiency and quality of, our platform, products, and services. Additionally, an inability to cure a defect could result in significant software re-engineering expenses.</w:t>
      </w: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increased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platform, products, and services:</w:t>
      </w:r>
    </w:p>
    <w:p>
      <w:pPr>
        <w:spacing w:after="0" w:line="136"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data hosting services with the necessary speed, data capacity, and security for providing reliable internet access and services;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by us to maintain and update our cloud and physical infrastructure to meet our data capacity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failure of our redundancy systems, in the event of a service disruption at one of our data centers, to provide failover to other data centers in our data center network;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failure of our or our service providers’ disaster recovery and business continuity arrangements.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incorporated AI Technologies into some of our internal processes and expect to further incorporate AI Technologies into some of our processes, products and services. These technologies may present business, compliance, and reputational risks.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Currently, we primarily use machine learning and artificial intelligence (“AI”) tools from third-party vendors in certain of our internal processes to help increase employee efficiency and productivity and to optimize software coding. Our financial planning product leverages an internally-developed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internally-developed AI models to evaluate fraud risk. These internally-developed AI models rely on client data. We currently expect to use AI across our business processes, products, and services in the future. In addition, we anticipate increased adoption of AI by our clients, service providers, counterparties, and other third parties.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 Even if we enhance our products, processes, and services to incorporate AI, there can be no assurance that these efforts will be successful or that we will innovate effectively to keep pace with this rapid innovation in AI.</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detection, and it becomes clear that the data that was used to train those models was biased, we could be accused of engaging in unfair, deceptive, or abusive practices in violation of the Dodd-Frank Act (as defined below)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operating results.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 unauthorized parties may attempt to copy aspects of our platform or obtain and use information we regard as proprietary. There can be no assurance that our intellectual property rights will be sufficient to protect 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 trademarks, copyrights, trade secrets, and other intellectual property and proprietary protection, which could make it difficult for us to prevent or stop any infringement, misappropriation, dilution, or other violation of our intellectual property rights. If we fail to maintain, protect, and enhance our intellectual property rights, our brand, business, operating results, and financial condition may be harmed.</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Third parties have claimed, and may claim in the future, that aspects of our platform or website infringe, misappropriate, or otherwise violate their intellectual property rights and such claims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could be time-consuming or costly to defend or settle, result in the loss of significant rights, or harm our relationships with our clients or reputation in the industry.</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we may use AI Technologies, including tools provided by third parties, to assist in the development of our own software code. While use of such tools makes our development process more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 or investors perceive these results to be negative, it could have a substantial adverse effect on the price of our common stock. Any of these results would adversely affect our business, operating results,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enter into licensing arrangements for certain of our products, and our inability to maintain those licenses could harm our business.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Third-party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Some of our technology incorporates “open source” software, which could under certain circumstances materially and adversely affect our ability to offer our platform, products, and services and subject us to possible litigation.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 operating results, and financial condition, as well as our reputation, including if we are required to take remedial action that may divert resources away from our development efforts.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Cybersecurity and Data Privacy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93" w:lineRule="exact"/>
        <w:rPr>
          <w:sz w:val="20"/>
          <w:szCs w:val="20"/>
          <w:color w:val="auto"/>
        </w:rPr>
      </w:pPr>
    </w:p>
    <w:p>
      <w:pPr>
        <w:ind w:right="60"/>
        <w:spacing w:after="0"/>
        <w:rPr>
          <w:sz w:val="20"/>
          <w:szCs w:val="20"/>
          <w:color w:val="auto"/>
        </w:rPr>
      </w:pPr>
      <w:r>
        <w:rPr>
          <w:rFonts w:ascii="Arial" w:cs="Arial" w:eastAsia="Arial" w:hAnsi="Arial"/>
          <w:sz w:val="14"/>
          <w:szCs w:val="14"/>
          <w:color w:val="auto"/>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 parties working remotely on less secure systems and environments. Further, we</w:t>
      </w:r>
    </w:p>
    <w:p>
      <w:pPr>
        <w:spacing w:after="0" w:line="3" w:lineRule="exact"/>
        <w:rPr>
          <w:sz w:val="20"/>
          <w:szCs w:val="20"/>
          <w:color w:val="auto"/>
        </w:rPr>
      </w:pPr>
    </w:p>
    <w:p>
      <w:pPr>
        <w:ind w:right="520"/>
        <w:spacing w:after="0" w:line="229" w:lineRule="auto"/>
        <w:rPr>
          <w:sz w:val="20"/>
          <w:szCs w:val="20"/>
          <w:color w:val="auto"/>
        </w:rPr>
      </w:pPr>
      <w:r>
        <w:rPr>
          <w:rFonts w:ascii="Arial" w:cs="Arial" w:eastAsia="Arial" w:hAnsi="Arial"/>
          <w:sz w:val="14"/>
          <w:szCs w:val="14"/>
          <w:color w:val="auto"/>
        </w:rPr>
        <w:t>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w:t>
      </w:r>
    </w:p>
    <w:p>
      <w:pPr>
        <w:ind w:right="160"/>
        <w:spacing w:after="0" w:line="242" w:lineRule="auto"/>
        <w:rPr>
          <w:sz w:val="20"/>
          <w:szCs w:val="20"/>
          <w:color w:val="auto"/>
        </w:rPr>
      </w:pPr>
      <w:r>
        <w:rPr>
          <w:rFonts w:ascii="Arial" w:cs="Arial" w:eastAsia="Arial" w:hAnsi="Arial"/>
          <w:sz w:val="14"/>
          <w:szCs w:val="14"/>
          <w:color w:val="auto"/>
        </w:rPr>
        <w:t>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While to date no incidents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have had a material impact on our operations or financial results, we cannot guarantee that material incidents will not occur in the future.</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 May 2024, the SEC adopted significant amendments to Regulation S-P, which became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 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Financial and Accounting Matters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on a timely basis.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file with the SEC after we cease to be an emerging growth company (and no longer qualify as a non-accelerated filer).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expect our independent registered public accounting firm will be required to formally attest to the effectiveness of our internal control over financial reporting commencing with our second annual report on Form 10-K to be filed in 2027.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have also engaged outside consultants, both of which will increase our operating expenses.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significant costs and use of management resources as result of operating as a public company.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public company, we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connection with our IPO, we adopted additional internal controls and disclosure controls and procedures, retained a transfer agent, and adopted an insider trading policy. As a public company, we bear internal and external costs in connection with preparing and distributing periodic public reports in compliance with our obligations under securities laws.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regulations and standards relating to corporate governance and public disclosure, including the Exchange Act, Sarbanes-Oxley Act, and rules and regulations implemented by the SEC, have increased legal and financial compliance costs and make some compliance activities more time-consuming. We have invested, and will continue to invest, resources to comply with evolving laws, regulations, and standards, and this investment has resulted, and will continue to result, in increased general and administrative expenses and may divert management’s time and attention from our other business activities. If our efforts to comply with new laws, regulations, and standards differ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insurance-related costs. Moreover,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additional tax liabilities and U.S. federal and global income tax reform could adversely affect us.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NOL carryforwards and certain other tax attributes may be limited.</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of January 31, 2026, we had aggregate U.S. federal and state net operating loss (“NOL”) carryforwards of $181.7 million and $ 202.3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 the TCJA and restoring the deductibility of domestic research and development expenditures. If not utilized, our California and other state NOL carryforwards will begin to expire in 2029,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2026, we had federal research and development credit carryforwards of $27.2 million, which will begin to expire in 2039, and California research and development credit carryforwards of $16.0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preparation of financial statements in conformity with U.S.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simple agreements for future equity (“SAFEs”), and the convertible note,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profitability, or cause an adverse deviation from our revenue and operating profit target, which may adversely affect our financial results.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Amended Revolver contains restrictive and financial covenants that may limit our operational flexibility. If we fail to meet our obligations under the Amended Revolver, our operations may be interrupted and our business, operating results, and financial condition could be adversely affected.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October 2025, we entered into the Amended Revolver (as defined below) by and among us and certain lenders, some of which are affiliated with certain members of our underwriting syndicate, to fund working capital and general corporate purpose expenditures. In December 2025, we borrowed approximately $200.0 million on the Amended Revolver in order to pay our anticipated tax withholding and remittance obligations associated with the net settlement of RSUs in connection with the IPO, and we used a portion of the net proceeds from the IPO to repay such indebtedness. The Amended Revolver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Amended Revolver. If we have amounts outstanding under the Amended Revolver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spacing w:after="0" w:line="99"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common stock may be volatile, and you could lose all or part of your investment.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cannot predict the prices at which our common stock will continue to trade. The market price of our common stock depends on a number of factors, including those described in this “Risk Factors” section, many of which are beyond our control and may not be related to our operating performance. In addition, the current limited public float of our common stock may increase the volatility of the trading price of our common stock, which may be further increased due to retail investor interest. These fluctuations could cause you to lose all or part of your investment in our common stock. Factors that could cause fluctuations in the market price of our common stock include, but are not limited to, the following:</w:t>
      </w:r>
    </w:p>
    <w:p>
      <w:pPr>
        <w:spacing w:after="0" w:line="95"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operating results;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incurrence of any material amounts of indebtedness;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produce timely and accurate financial statements;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announcements by us or our competitors of new offerings or new or terminated significant contracts, commercial relationships, acquisitions, or capital commitments;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 including fluctuations due to general economic trends or market sentiment;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sales of substantial amounts of our common stock in the public markets, particularly sales by our directors, executive officers, and principal stockholders, or the perception that such sales might occur;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overall performance of the stock market or technology companies;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expiration of market stand-off or contractual lock-up agreements and sales of shares of our common stock by us or our stockholders, as well as the anticipation of lock-up releases;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financial analysts’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litigation or other proceedings involving us, our industry, or both, or investigations by regulators into our operations or those of our competitors or others that may be associated with us;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third-party intellectual property or other proprietary rights that we rely on or have implemented into our platform;</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acts of war, terrorism, armed conflict, including the conflicts in the Middle East and Ukraine and tensions between China and Taiwan, or responses to these events;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actual or perceived cybersecurity incidents.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Sales of substantial amounts of our common stock in the public markets, or the perception that they might occur, could cause the market price of our common stock to decline.</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Upon the expiration of the Lock-up Period, as defined and described further below, certain shares of our common stock will be freely tradable without restrictions or further registration under the Securities Act, except that any shares held by our affiliates, as defined in Rule 144 under the Securities Act (including any shares that were purchased by any of our affiliates in the IPO), will only be able to be sold in compliance with Rule 144 under the Securities Act.</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IPO, we, all of our directors and executive officers, the selling stockholders in the IPO, and certain other holders are subject to market stand-off agreements or have agreed not to offer,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sell, or agree to sell, directly or indirectly, any shares of common stock without the permission of each of Goldman Sachs &amp; Co. LLC and J.P. Morgan Securities LLC, on behalf of the underwriters for the IPO, during the period ending the earlier of (i) the opening of trading on the second trading day following the date of our release of earnings for the fiscal quarter ending April 30, 2026, or (ii) the date that is 180 days after December 11, 2025, which is the date of the Final Prospectus filed with the SEC pursuant to Rule 424(b) under the Securities Act, on December 12, 2025 (such period, the “Lock-up Period”), subject to certain customary exceptions and certain provisions that provide for the release of certain shares of our common stock. When the Lock-up Period expires, we and our securityholders subject to a lock-up agreement or market stand-off agreement will be able to sell our shares in the public market. In addition, Goldman Sachs &amp; Co. LLC and J.P. Morgan Securities LLC may, in their sole discretion, release all or some portion of the shares subject to lock-up agreements prior to the expiration of the Lock-up Period. Sales of a substantial number of such shares upon expiration of the Lock-up Period, or the perception that such sales may occur, or early release of these agreements, could cause our market price to fall or make it more difficult for you to sell your common stock at a time and price that you deem appropriate.</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as of January 31, 2026, we had stock options and RSUs outstanding that, if fully exercised or vested and settled, as applicable, would result in the issuance of 23,755,365 shares of common stock and 15,676,155 shares of common stock, respectively, and we also had outstanding warrants exercisable for the purchase of 1,953,463 shares of common stock, as well as 437,415 shares of common stock issuable upon the conversion of outstanding SAFEs. All of the shares of common stock issuable upon the exercise, settlement, or conversion of stock options, warrants, or RSUs, and the shares reserved for future issuance under our equity incentive plans, are registered for public resale under the Securities Act. Accordingly, these shares will be able to be freely sold in the public market upon issuance subject to existing lock-up or market stand-off agreements and applicable vesting requirements.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holders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financial analysts issue inaccurate or unfavorable research regarding, or do not or cease to cover, our business and our common stock, our stock price and trading volume could decline.</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trading market for our common stock is influenced by the research and reports that financial analysts publish about us, our business, our market, and our competitors. We do not control these analysts or the content and opinions included in their reports. As a newly public company, the analysts who publish information about our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 of our common stock or fail to publish reports on us regularly, our visibility in the financial markets could decrease, which in turn could cause our stock price or trading volume to decline.</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for repurchases of shares of our common stock under our share repurchase program,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Amended Revolver from declaring or paying cash dividends. Accordingly, you must rely on sales of your common stock after price appreciation, which may never occur, as the only way to realize any future gains on your investment.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have incurred, and expect to further incur, substantial federal and state tax withholding and remittance obligations in connection with the settlement of RSUs. The manner in which we fund these tax liabilities may have an adverse effect on our financial condition.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incurred, and expect to further incur, substantial federal and state tax obligations in connection with the settlement of RSUs. A majority of the RSUs granted prior to the date of our IPO vest upon the satisfaction of service-based and performance-based vesting conditions. The performance-based vesting condition was satisfied in connection with our IPO, and a large number of RSUs vested and settled at the time of our IPO. Additional RSUs for which the performance-based vesting condition was satisfied in connection with our IPO will vest and settle during the 180-day period following the date of our IPO (or, subject to certain conditions, a shorter period). We used approximately $140.9 million to satisfy federal and state tax withholding and remittance obligations in connection with the net settlement of a portion of the RSUs outstanding as of October 31, 2025 for which the service-based vesting condition was satisfied before December 12, 2025 and for which the performance-based vesting condition was satisfied in connection with our IPO. In connection with the settlement of these RSUs, we withheld certain shares underlying RSUs and remitted federal and state taxes on behalf of the holders of such RSUs at an assumed 45% tax withholding rate based on the IPO price of $14.00 per share. For vested RSUs that have not settled, we may elect to satisfy related federal and state tax withholding and remittance obligations by (i) remitting cash on hand in connection with net settlement, which may include cash proceeds generated from our IPO, or (ii)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“Sales of substantial amounts of our common stock in the public markets, or the perception that they might occur, could cause the market price of our common stock to decline.” If we decide to or are required to remit tax obligations on behalf of our employees, we could have significant cash outlays that could have an adverse effect on our financial condition. If we require that RSU holders utilize sell-to-cover,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Shares sold by our executive officers, directors, and other employees in sell-to-cover transactions may have an adverse effect on the market price of our common stock.</w:t>
      </w:r>
    </w:p>
    <w:p>
      <w:pPr>
        <w:spacing w:after="0" w:line="27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the reduced reporting requirements applicable to emerging growth companies could make our common stock less attractive to investors.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and our periodic reports and proxy statements, and (iii) exemptions from the requirements of holding nonbinding advisory stockholder votes on executive compensation and stockholder approval of any golden parachute payments not previously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could be an emerging growth company for up to five years following the completion of our IPO, although circumstances could cause us to lose that status earlier, including if we are deemed to be a “large accelerated filer,” which occurs when the market value of our common stock that is held by non-affiliates equals or exceeds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cannot guarantee that our share repurchase program will be fully consummated or that it will enhance long-term stockholder value.</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2026, our board of directors authorized the share repurchase program, under which we may repurchase up to $ 100.0 million of shares of our outstanding common stock. The actual timing and amount of any repurchases will depend on a variety of factors, including stock price, trading volume, market and business conditions, regulatory requirements, and other considerations, all of which may be impacted by factors outside of our control. The share repurchase program could affect the trading price of our common stock, increase volatility, and any repurchases under the program could diminish our cash and cash equivalents and marketable securities available to fund working capital, capital expenditures, strategic acquisitions, investments, or business opportunities, and other general corporate purposes. The share repurchase program may be suspended, terminated or modified at any time for any reason, and we cannot guarantee that the share repurchase program will be fully consummated, or that it will enhance long-term stockholder value.</w:t>
      </w:r>
    </w:p>
    <w:p>
      <w:pPr>
        <w:spacing w:after="0" w:line="16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Provisions in our restated certificate of incorporation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will include provisions that:</w:t>
      </w:r>
    </w:p>
    <w:p>
      <w:pPr>
        <w:spacing w:after="0" w:line="95"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provide that our board of directors is classified into three classes of directors with staggered three-year terms;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permit our board of directors to establish the number of directors and fill any vacancies and newly created directorships;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of directors could use to implement a stockholder rights plan;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that only the chairperson of our board of directors, our chief executive officer, our lead independent director, or a majority of our board of directors will be authorized to call a special meeting of stockholders;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do not provide for cumulative voting;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provide that our board of directors is expressly authorized to make, alter, or repeal our restated bylaws;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of directors or for proposing matters that can be acted upon by stockholders at annual stockholder meetings.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restated bylaws contain exclusive forum provisions for certain claims, which may limit our stockholders’ ability to obtain a favorable judicial forum for disputes with us or our directors, officers, or employees.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restated bylaws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Moreover, 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Our stockholders will not be deemed to have waived our compliance with the federal securities laws and the regulations promulgated thereunder.</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Risk Factors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Natural disasters or other catastrophic events may cause damage or disruption to our operations, international commerce, and the global economy, and thus could have an adverse effect on us. Our 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and maintain an effective disaster recovery plan or our partners’ or clients’ disaster recovery plans prove to be inadequate.</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3039"/>
        <w:spacing w:after="0"/>
        <w:rPr>
          <w:sz w:val="20"/>
          <w:szCs w:val="20"/>
          <w:color w:val="auto"/>
        </w:rPr>
      </w:pPr>
      <w:r>
        <w:rPr>
          <w:rFonts w:ascii="Arial" w:cs="Arial" w:eastAsia="Arial" w:hAnsi="Arial"/>
          <w:sz w:val="14"/>
          <w:szCs w:val="14"/>
          <w:b w:val="1"/>
          <w:bCs w:val="1"/>
          <w:color w:val="auto"/>
        </w:rPr>
        <w:t>ITEM 1B. UNRESOLVED STAFF COMMENTS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210"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1C. CYBERSECURITY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rely on technology, including the internet and mobile services, to conduct much of our business activity and allow our clients to conduct financial transactions on our platform. As a result, our systems and operations as well as those of the third parties on which we rely to conduct certain key functions are vulnerable to cybersecurity incidents. We have developed and implemented a cybersecurity risk management program that has been integrated into our broader enterprise risk management framework. Our program is designed to protect our core platform, client assets, and sensitive data through a "Defense in Depth" architecture.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Continuous Security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To identify and mitigate emerging threats, we employ a multi-layered testing strategy:</w:t>
      </w:r>
    </w:p>
    <w:p>
      <w:pPr>
        <w:spacing w:after="0" w:line="136"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Detection. We utilize a Security Information and Event Management (SIEM) solution for 24/7 infrastructure monitoring and detection.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Assessment. We perform vulnerability scans, third-party penetration testing, and maintain a managed, third-party-hosted bug bounty program to encourage and compensate third-party security researchers.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Resilience. We maintain Business Continuity and Disaster Recovery (BCP and DR) plans that utilize geographic redundancy. Our resilience strategy includes annual tabletop exercises to verify our recovery protocols and communication chains.</w:t>
      </w:r>
    </w:p>
    <w:p>
      <w:pPr>
        <w:spacing w:after="0" w:line="77" w:lineRule="exact"/>
        <w:rPr>
          <w:rFonts w:ascii="Arial" w:cs="Arial" w:eastAsia="Arial" w:hAnsi="Arial"/>
          <w:sz w:val="14"/>
          <w:szCs w:val="14"/>
          <w:color w:val="auto"/>
        </w:rPr>
      </w:pPr>
    </w:p>
    <w:p>
      <w:pPr>
        <w:ind w:left="1020" w:hanging="251"/>
        <w:spacing w:after="0" w:line="290" w:lineRule="auto"/>
        <w:tabs>
          <w:tab w:leader="none" w:pos="1017" w:val="left"/>
        </w:tabs>
        <w:numPr>
          <w:ilvl w:val="1"/>
          <w:numId w:val="24"/>
        </w:numPr>
        <w:rPr>
          <w:rFonts w:ascii="Arial" w:cs="Arial" w:eastAsia="Arial" w:hAnsi="Arial"/>
          <w:sz w:val="14"/>
          <w:szCs w:val="14"/>
          <w:color w:val="auto"/>
        </w:rPr>
      </w:pPr>
      <w:r>
        <w:rPr>
          <w:rFonts w:ascii="Arial" w:cs="Arial" w:eastAsia="Arial" w:hAnsi="Arial"/>
          <w:sz w:val="14"/>
          <w:szCs w:val="14"/>
          <w:color w:val="auto"/>
        </w:rPr>
        <w:t>We also engage the assistance of third-party consultants to increase protection of our information, IT systems, and network to help secure long-term value for our stakeholders.</w:t>
      </w:r>
    </w:p>
    <w:p>
      <w:pPr>
        <w:spacing w:after="0" w:line="77" w:lineRule="exact"/>
        <w:rPr>
          <w:rFonts w:ascii="Arial" w:cs="Arial" w:eastAsia="Arial" w:hAnsi="Arial"/>
          <w:sz w:val="14"/>
          <w:szCs w:val="14"/>
          <w:color w:val="auto"/>
        </w:rPr>
      </w:pPr>
    </w:p>
    <w:p>
      <w:pPr>
        <w:ind w:left="1020" w:hanging="251"/>
        <w:spacing w:after="0" w:line="290" w:lineRule="auto"/>
        <w:tabs>
          <w:tab w:leader="none" w:pos="1017" w:val="left"/>
        </w:tabs>
        <w:numPr>
          <w:ilvl w:val="1"/>
          <w:numId w:val="24"/>
        </w:numPr>
        <w:rPr>
          <w:rFonts w:ascii="Arial" w:cs="Arial" w:eastAsia="Arial" w:hAnsi="Arial"/>
          <w:sz w:val="14"/>
          <w:szCs w:val="14"/>
          <w:color w:val="auto"/>
        </w:rPr>
      </w:pPr>
      <w:r>
        <w:rPr>
          <w:rFonts w:ascii="Arial" w:cs="Arial" w:eastAsia="Arial" w:hAnsi="Arial"/>
          <w:sz w:val="14"/>
          <w:szCs w:val="14"/>
          <w:color w:val="auto"/>
        </w:rPr>
        <w:t>Services provided by third-party consultants include, but are not limited to, regular assessments of our cybersecurity program, including cyber maturity assessments and penetration tests, and participating in incident response processes.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Incident Management and Materiality Process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maintain a formal Engineering Incident Management Policy to govern the detection, escalation, and remediation of operational and security events. We maintain 24/7 on-call rotations with defined service level agreements (SLAs) for executive escalation to the VP of Engineering and Chief Technology Officer for critical issues. Upon escalation of a significant incident, we initiate a cross-functional assessment process involving Engineering leadership, Legal, and Compliance. This team evaluates the incident’s materiality by considering quantitative factors (e.g., remediation costs and lost revenue) and qualitative factors (e.g., reputational harm, impact on client relationships, and regulatory implications). This process is designed to ensure that if an incident is deemed material, a determination is reached without unreasonable delay to facilitate timely disclosure. Following high-priority incidents, we conduct formal post-mortems to drive continuous improvement.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Standards and Certifications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security posture is informed by the following international standards:</w:t>
      </w:r>
    </w:p>
    <w:p>
      <w:pPr>
        <w:spacing w:after="0" w:line="13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ISO27001:2022 - We maintain an Information Security Management System (ISMS) that was ISO/IEC 27001:2022 certified in the fiscal year ended January 31, 2026.</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PCI DSS v4.0.1 - As part of our commitment to the security of the debit card functionality associated with the Cash Account service security, we successfully completed our annual assessment under PCI DSS v4.0.1 in the fiscal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Board of Directors Oversight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Audit Committee of the Board of Directors oversees our cybersecurity risk exposure. This committee receives quarterly briefings from our Head of Security regarding:</w:t>
      </w:r>
    </w:p>
    <w:p>
      <w:pPr>
        <w:spacing w:after="0" w:line="136"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status of our ISO 27001 and PCI DSS compliance postures.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Results of annual BCP/DR tabletop exercises and the performance of our vulnerability management programs.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Summaries of significant incidents and subsequent remediation efforts.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Management’s Role in Assessing and Managing Material Risks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cybersecurity strategy is executed by our Head of Security, who has over 15 years of experience in information security, and over 10 years of experience in the financial technology sector. The Head of Security oversees the administration of our Incident Management and BCP/DR policies, ensuring that security is integrated into the software development lifecycle.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Third-Party Risk: We maintain a Third-Party Risk Management Policy and conduct security reviews of vendors, including for potential fourth-party risks, prior to and during their contracts. We require all third-party service providers with access to sensitive information to implement and maintain cybersecurity practices consistent with applicable legal and industry standards. Any identified risks, including potential fourth-party risks, are highlighted to internal business owners to help make informed risk-based decisions. We also require critical service providers to provide evidence of independent security audits (such as SOC 2 or ISO 27001).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Cybersecurity Risk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While to date no risks from identified cybersecurity threats, including as a result of any previous cybersecurity incidents, have materially affected or are reasonably likely to materially affect us, including our business strategy, financial condition, or results of operations, our systems and those of our clients and third-party service providers have been and might in the future be vulnerable to cybersecurity threats. For more information about risks related to cybersecurity threats that have materially affected or are reasonably likely to materially affect our business, financial condition, and results of operations, see “Risk Factors–Risks Related to Cybersecurity and Data Privacy”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2. PROPERTIES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corporate headquarters is located in Palo Alto, California, where we currently have a lease commitment for a facility with an expiration date in 2028. We otherwise lease office facilities in San Francisco, California, and New York, New York.</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our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LEGAL PROCEEDINGS</w:t>
      </w:r>
    </w:p>
    <w:p>
      <w:pPr>
        <w:spacing w:after="0" w:line="147"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legal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4. MINE SAFETY DISCLOSURES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Common Stock</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common stock has been listed on the Nasdaq Global Select Market under the symbol “WLTH” since December 12, 2025. Prior to that time, there was no public market for our stock.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As of April 20, 2026, there were approximately 151 registered stockholders of our common stock. Because many shares of common stock are held by brokers and other institutions on behalf of stockholders, we are unable to precisely estimate the total number of stockholders represented by these record holders.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25"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We have never declared or paid any cash dividends on our common stock and do not expect to pay any cash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relevant to our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From February 1, 2025 through December 12, 2025 (the date of the filing of our registration statement on Form S-8, File No. 333-292124), we granted an aggregate of 5,915,681 RSUs under the 2017 Plan, which may vest and be settled for an equal number of shares of our common stock.</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believe the offers, sales, and issuance of the above securities were exempt from registration under the Securities Act (or Regulation D or Regulation S promulgated thereunder)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December 11, 2025, our registration statement on Form S-1 (File No 333-290583) relating to our IPO was declared effective by the SEC. Upon the closing of our IPO on December 15, 2025, we issued 21,468,038 shares of common stock at a public offering price of $14.00 per share, resulting in net proceeds of approximately $282.1 million, after deducting underwriting discounts and commissions but before deducting offering expenses payable by us. In addition, selling stockholders sold 13,147,346 shares of common stock in the IPO. We did not receive any proceeds from the sale of shares of common stock by the selling stockholders.</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Goldman Sachs &amp; Co. LLC and J.P. Morgan Securities LLC acted as representatives of the underwriters for the offering. None of the expenses associated with our IPO were paid, directly or indirectly, to any of our directors or officers, any persons owning 10% or more of any class of equity securities, or to any of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As described in the Final Prospectus, we used a portion of the net proceeds to repay the $200.0 million of outstanding indebtedness under the Amended Revolver. There has been no material change in the planned use of proceeds from the IPO as described in the Final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89"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color w:val="auto"/>
        </w:rPr>
        <w:t>In March 2026, the Company’s Board of Directors authorized a share repurchase program of up to $100.0 million of its common stock. No repurchases were made under the Share Repurchase Program during the fiscal year ended January 31, 2026.</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880485" cy="2452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80485"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80"/>
        <w:spacing w:after="0" w:line="274" w:lineRule="auto"/>
        <w:rPr>
          <w:sz w:val="20"/>
          <w:szCs w:val="20"/>
          <w:color w:val="auto"/>
        </w:rPr>
      </w:pPr>
      <w:r>
        <w:rPr>
          <w:rFonts w:ascii="Arial" w:cs="Arial" w:eastAsia="Arial" w:hAnsi="Arial"/>
          <w:sz w:val="14"/>
          <w:szCs w:val="14"/>
          <w:color w:val="auto"/>
        </w:rPr>
        <w:t>This performance graph shall not be deemed “soliciting material” or to be “filed” with the SEC, for purposes of Section 18 of the Exchange Act, or otherwise subject to liabilities under that Section, and shall not be deemed to be incorporated by reference into any of our filings under the Securities Act.</w:t>
      </w:r>
    </w:p>
    <w:p>
      <w:pPr>
        <w:spacing w:after="0" w:line="142"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This graph above compares the cumulative total stockholder return on our common stock with the cumulative total return of the KBW NASDAQ Financial Technology Index (“KFTX”) and the Standard &amp; Poor’s 500 Index (“S&amp;P 500”). The graph assumes (i) that $100 was invested at the market close on December 15, 2025, the date that our common stock commenced trading on the Nasdaq Global Select Market, the KBW Nasdaq Financial Technology Index, and the Standard &amp; Poor’s 500 Index and (ii) reinvestment of gross dividends. The graph uses the closing market price on December 15, 2025 of $ 13.95 per share as the initial value of our common stock. The stock price performance shown in the graph represents past performance and should not be considered an indication of future stock price performance.</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discussion and analysis of our financial condition and operating results should be read in conjunction with our audited consolidated financial statements and related notes included elsewhere in this Form 10-K. A discussion of the results of operations for fiscal year 2025 compared to fiscal year 2024 can be found in the section titled “Management’s Discussion and Analysis of Financial Condition and Results of Operations” in our final prospectus filed with the SEC on December 12, 2025. There have been no material changes to those results since that filing. In addition to our historical operating results and financial position, this discussion contains forward-looking statements that are subject to risks and uncertainties. You should read the sections titled “Cautionary Note Regarding Forward-Looking Statements” and “Risk Factors” included elsewhere in this Form 10-K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Company Overview</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Wealthfront is a technology-driven financial solutions platform specifically engineered to help digital native generations build long-term wealth through a broad, automated suite of investment, cash management, financial planning and borrowing and lending products. As of January 31, 2026, our platform served 1.4 million funded clients and had $94.1 billion in platform assets reflecting the deep trust we have established through fundamentally aligned incentives and a commitment to our clients' financial success.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family, and co-workers. Our cost structure and our organic growth are business model advantages, and have enabled us to achieve our historic profitability, which allows us to further invest in our platform.</w:t>
      </w:r>
    </w:p>
    <w:p>
      <w:pPr>
        <w:spacing w:after="0" w:line="95"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Our revenue, earned primarily from platform asset-based fees, grows as clients’ wealth increases and they trust us with more assets. This aligns our incentives directly with our clients’ long-term financial success, allowing us to focus solely on growing and maintaining their wealth. We primarily generate revenue from cash management and investment advisory products. Cash management revenue is primarily earned from fees received for the delivery of cash management services, including our cash sweep program.</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Investment advisory revenue consists of fees charged for investment advisory and portfolio management services. Investment advisory fees are earned based on the market value, less fee waivers, of investment advisory assets. Other revenue primarily consists of fees earned from clients’ borrowings on margin and proxy distribution revenue earned through a partnership with a third-party investor communications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77863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88" w:lineRule="exact"/>
        <w:rPr>
          <w:sz w:val="20"/>
          <w:szCs w:val="20"/>
          <w:color w:val="auto"/>
        </w:rPr>
      </w:pPr>
    </w:p>
    <w:p>
      <w:pPr>
        <w:ind w:left="260" w:hanging="255"/>
        <w:spacing w:after="0" w:line="232" w:lineRule="auto"/>
        <w:tabs>
          <w:tab w:leader="none" w:pos="94" w:val="left"/>
        </w:tabs>
        <w:numPr>
          <w:ilvl w:val="0"/>
          <w:numId w:val="27"/>
        </w:numPr>
        <w:rPr>
          <w:rFonts w:ascii="Arial" w:cs="Arial" w:eastAsia="Arial" w:hAnsi="Arial"/>
          <w:sz w:val="17"/>
          <w:szCs w:val="17"/>
          <w:color w:val="auto"/>
          <w:vertAlign w:val="superscript"/>
        </w:rPr>
      </w:pPr>
      <w:r>
        <w:rPr>
          <w:rFonts w:ascii="Arial" w:cs="Arial" w:eastAsia="Arial" w:hAnsi="Arial"/>
          <w:sz w:val="13"/>
          <w:szCs w:val="13"/>
          <w:color w:val="auto"/>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Key Business Metrics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monitor the following key business metrics to help us evaluate our business, identify trends, formulate business plans and make strategic decisions: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8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1"/>
                <w:szCs w:val="11"/>
                <w:b w:val="1"/>
                <w:bCs w:val="1"/>
                <w:color w:val="auto"/>
              </w:rPr>
              <w:t>Fiscal Year Ended January 31,</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0"/>
        </w:trPr>
        <w:tc>
          <w:tcPr>
            <w:tcW w:w="548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b w:val="1"/>
                <w:bCs w:val="1"/>
                <w:color w:val="auto"/>
              </w:rPr>
              <w:t>2026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3"/>
              <w:spacing w:after="0"/>
              <w:rPr>
                <w:sz w:val="20"/>
                <w:szCs w:val="20"/>
                <w:color w:val="auto"/>
              </w:rPr>
            </w:pPr>
            <w:r>
              <w:rPr>
                <w:rFonts w:ascii="Arial" w:cs="Arial" w:eastAsia="Arial" w:hAnsi="Arial"/>
                <w:sz w:val="11"/>
                <w:szCs w:val="11"/>
                <w:b w:val="1"/>
                <w:bCs w:val="1"/>
                <w:color w:val="auto"/>
              </w:rPr>
              <w:t>2025</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80"/>
              <w:spacing w:after="0"/>
              <w:rPr>
                <w:sz w:val="20"/>
                <w:szCs w:val="20"/>
                <w:color w:val="auto"/>
              </w:rPr>
            </w:pPr>
            <w:r>
              <w:rPr>
                <w:rFonts w:ascii="Arial" w:cs="Arial" w:eastAsia="Arial" w:hAnsi="Arial"/>
                <w:sz w:val="11"/>
                <w:szCs w:val="11"/>
                <w:b w:val="1"/>
                <w:bCs w:val="1"/>
                <w:color w:val="auto"/>
              </w:rPr>
              <w:t>$ Change</w:t>
            </w:r>
          </w:p>
        </w:tc>
        <w:tc>
          <w:tcPr>
            <w:tcW w:w="1460" w:type="dxa"/>
            <w:vAlign w:val="bottom"/>
          </w:tcPr>
          <w:p>
            <w:pPr>
              <w:jc w:val="right"/>
              <w:ind w:right="40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Platform assets ($ millions)</w:t>
            </w:r>
          </w:p>
        </w:tc>
        <w:tc>
          <w:tcPr>
            <w:tcW w:w="88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94,106</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80,175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13,931</w:t>
            </w: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17 %</w:t>
            </w:r>
          </w:p>
        </w:tc>
      </w:tr>
      <w:tr>
        <w:trPr>
          <w:trHeight w:val="156"/>
        </w:trPr>
        <w:tc>
          <w:tcPr>
            <w:tcW w:w="548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8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45,361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42,411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2,950</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7 %</w:t>
            </w:r>
          </w:p>
        </w:tc>
      </w:tr>
      <w:tr>
        <w:trPr>
          <w:trHeight w:val="162"/>
        </w:trPr>
        <w:tc>
          <w:tcPr>
            <w:tcW w:w="5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48,745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37,764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10,981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29 %</w:t>
            </w:r>
          </w:p>
        </w:tc>
      </w:tr>
      <w:tr>
        <w:trPr>
          <w:trHeight w:val="156"/>
        </w:trPr>
        <w:tc>
          <w:tcPr>
            <w:tcW w:w="5480" w:type="dxa"/>
            <w:vAlign w:val="bottom"/>
          </w:tcPr>
          <w:p>
            <w:pPr>
              <w:ind w:left="20"/>
              <w:spacing w:after="0"/>
              <w:rPr>
                <w:sz w:val="20"/>
                <w:szCs w:val="20"/>
                <w:color w:val="auto"/>
              </w:rPr>
            </w:pPr>
            <w:r>
              <w:rPr>
                <w:rFonts w:ascii="Arial" w:cs="Arial" w:eastAsia="Arial" w:hAnsi="Arial"/>
                <w:sz w:val="11"/>
                <w:szCs w:val="11"/>
                <w:color w:val="auto"/>
              </w:rPr>
              <w:t>Net deposits ($ millions)</w:t>
            </w:r>
          </w:p>
        </w:tc>
        <w:tc>
          <w:tcPr>
            <w:tcW w:w="880" w:type="dxa"/>
            <w:vAlign w:val="bottom"/>
          </w:tcPr>
          <w:p>
            <w:pPr>
              <w:jc w:val="right"/>
              <w:ind w:right="7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6,659</w:t>
            </w:r>
          </w:p>
        </w:tc>
        <w:tc>
          <w:tcPr>
            <w:tcW w:w="80" w:type="dxa"/>
            <w:vAlign w:val="bottom"/>
          </w:tcPr>
          <w:p>
            <w:pPr>
              <w:spacing w:after="0"/>
              <w:rPr>
                <w:sz w:val="13"/>
                <w:szCs w:val="13"/>
                <w:color w:val="auto"/>
              </w:rPr>
            </w:pPr>
          </w:p>
        </w:tc>
        <w:tc>
          <w:tcPr>
            <w:tcW w:w="880" w:type="dxa"/>
            <w:vAlign w:val="bottom"/>
          </w:tcPr>
          <w:p>
            <w:pPr>
              <w:jc w:val="right"/>
              <w:ind w:right="743"/>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17,714</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(11,055)</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(62)%</w:t>
            </w:r>
          </w:p>
        </w:tc>
      </w:tr>
      <w:tr>
        <w:trPr>
          <w:trHeight w:val="162"/>
        </w:trPr>
        <w:tc>
          <w:tcPr>
            <w:tcW w:w="5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Funded clients (thousands)</w:t>
            </w: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1,417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17 %</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 xml:space="preserve">Platform assets: </w:t>
      </w:r>
      <w:r>
        <w:rPr>
          <w:rFonts w:ascii="Arial" w:cs="Arial" w:eastAsia="Arial" w:hAnsi="Arial"/>
          <w:sz w:val="14"/>
          <w:szCs w:val="14"/>
          <w:color w:val="auto"/>
        </w:rPr>
        <w:t>We define “platform assets” as the total value of financial assets held by clients in their accounts as of a stated date on our platform. Net deposits and changes in</w:t>
      </w:r>
      <w:r>
        <w:rPr>
          <w:rFonts w:ascii="Arial" w:cs="Arial" w:eastAsia="Arial" w:hAnsi="Arial"/>
          <w:sz w:val="14"/>
          <w:szCs w:val="14"/>
          <w:b w:val="1"/>
          <w:bCs w:val="1"/>
          <w:color w:val="auto"/>
        </w:rPr>
        <w:t xml:space="preserve"> </w:t>
      </w:r>
      <w:r>
        <w:rPr>
          <w:rFonts w:ascii="Arial" w:cs="Arial" w:eastAsia="Arial" w:hAnsi="Arial"/>
          <w:sz w:val="14"/>
          <w:szCs w:val="14"/>
          <w:color w:val="auto"/>
        </w:rPr>
        <w:t>value attributable to financial market performance are included in the change in platform assets in any given period. We further break down platform assets into two categories of products: cash management and investment advisory.</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Platform assets were $94.1 billion as of January 31, 2026, an increase of $13.9 billion, or 17%, compared to January 31, 2025. The increase in platform assets was primarily due to a 7% year-over-year increase in cash management assets and a 29% year-over-year increase in investment advisory assets.</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4"/>
          <w:szCs w:val="14"/>
          <w:b w:val="1"/>
          <w:bCs w:val="1"/>
          <w:color w:val="auto"/>
        </w:rPr>
        <w:t xml:space="preserve">Net deposits: </w:t>
      </w:r>
      <w:r>
        <w:rPr>
          <w:rFonts w:ascii="Arial" w:cs="Arial" w:eastAsia="Arial" w:hAnsi="Arial"/>
          <w:sz w:val="14"/>
          <w:szCs w:val="14"/>
          <w:color w:val="auto"/>
        </w:rPr>
        <w:t>We define “net deposits” as the value of all assets clients have placed into products on our platform, net of withdrawals, over a defined period of time. We exclude</w:t>
      </w:r>
      <w:r>
        <w:rPr>
          <w:rFonts w:ascii="Arial" w:cs="Arial" w:eastAsia="Arial" w:hAnsi="Arial"/>
          <w:sz w:val="14"/>
          <w:szCs w:val="14"/>
          <w:b w:val="1"/>
          <w:bCs w:val="1"/>
          <w:color w:val="auto"/>
        </w:rPr>
        <w:t xml:space="preserve"> </w:t>
      </w:r>
      <w:r>
        <w:rPr>
          <w:rFonts w:ascii="Arial" w:cs="Arial" w:eastAsia="Arial" w:hAnsi="Arial"/>
          <w:sz w:val="14"/>
          <w:szCs w:val="14"/>
          <w:color w:val="auto"/>
        </w:rPr>
        <w:t>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Net deposits were $6.7 billion during the fiscal year ended January 31, 2026, a decrease of $11.1 billion, or 62%, compared to the prior fiscal year. The decline was primarily due to Cash Management net deposits as a lower absolute level of interest rates combined with Federal Reserve cuts toward the end of the fiscal year created a tough comparison to the prior fiscal year. When interest rates decline, we expect to see a slowdown in cash management asset growth but an increase in investment advisory asset growth, and vice versa. We refer to these periods as transition environments. Transition environments create an opportunity for us to grow cross product flows, that is cash management clients' cross account transfers to existing investment advisory accounts as well as cash management clients' cross product adoption of new investment advisory accounts, and vice versa. During the fiscal year ended January 31, 2026, we recorded the second-highest annual volume of cross product flows in our history enabling us to grow and retain platform assets through a transition environment.</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 xml:space="preserve">Funded clients: </w:t>
      </w:r>
      <w:r>
        <w:rPr>
          <w:rFonts w:ascii="Arial" w:cs="Arial" w:eastAsia="Arial" w:hAnsi="Arial"/>
          <w:sz w:val="14"/>
          <w:szCs w:val="14"/>
          <w:color w:val="auto"/>
        </w:rPr>
        <w:t>We define “funded clients” as clients who, across all accounts, have a balance greater than zero as of the measurement date or had a balance greater than zero in</w:t>
      </w:r>
      <w:r>
        <w:rPr>
          <w:rFonts w:ascii="Arial" w:cs="Arial" w:eastAsia="Arial" w:hAnsi="Arial"/>
          <w:sz w:val="14"/>
          <w:szCs w:val="14"/>
          <w:b w:val="1"/>
          <w:bCs w:val="1"/>
          <w:color w:val="auto"/>
        </w:rPr>
        <w:t xml:space="preserve"> </w:t>
      </w:r>
      <w:r>
        <w:rPr>
          <w:rFonts w:ascii="Arial" w:cs="Arial" w:eastAsia="Arial" w:hAnsi="Arial"/>
          <w:sz w:val="14"/>
          <w:szCs w:val="14"/>
          <w:color w:val="auto"/>
        </w:rPr>
        <w:t>at least one account at any time during the 45 consecutive calendar days ending as of the measurement date, including clients with a zero balance across all accounts as of the measurement date who met this criterion during that period. Individuals who shared funded joint accounts are each considered to be a separate funded client. The number of funded clients is as of a stated date and reflects our scale and monetization potential.</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Funded clients were 1.4 million as of January 31, 2026, an increase of 0.2 million , or 17%, compared to January 31, 2025. The increase in funded clients was primarily due to an increase in new cash management clients.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Non-GAAP Financial Measures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Adjusted EBITDA and Adjusted EBITDA Margin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collect and analyze operating and financial data to evaluate the health of our business, allocate our resources, and assess our performance. In addition to total revenue, net income (loss) and other results under GAAP, we utilize non-GAAP calculations of adjusted earnings before interest, taxes, depreciation, and amortization (“Adjusted EBITDA”). Adjusted EBITDA is defined as net income (loss), excluding:(i) interest expenses, (ii) provision for (benefit from) income taxes, (iii) depreciation and amortization, (iv) stock-based compensation expense, (v) change in fair value of 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total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Form 10-K because they are key measurements used by our management internally to make operating decisions, including those related to operating expenses, evaluate performance, identify trends affecting our business and perform strategic planning and annual budgeting.</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a reconciliation of net income (loss) and net income (loss) margin, the most directly comparable GAAP measures, to Adjusted EBITDA and Adjusted EBITDA margin,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Fiscal Year Ended January 31,</w:t>
            </w:r>
          </w:p>
        </w:tc>
        <w:tc>
          <w:tcPr>
            <w:tcW w:w="1060" w:type="dxa"/>
            <w:vAlign w:val="bottom"/>
            <w:tcBorders>
              <w:bottom w:val="single" w:sz="8" w:color="auto"/>
            </w:tcBorders>
          </w:tcPr>
          <w:p>
            <w:pPr>
              <w:spacing w:after="0"/>
              <w:rPr>
                <w:sz w:val="13"/>
                <w:szCs w:val="13"/>
                <w:color w:val="auto"/>
              </w:rPr>
            </w:pPr>
          </w:p>
        </w:tc>
      </w:tr>
      <w:tr>
        <w:trPr>
          <w:trHeight w:val="15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1"/>
              <w:spacing w:after="0"/>
              <w:rPr>
                <w:sz w:val="20"/>
                <w:szCs w:val="20"/>
                <w:color w:val="auto"/>
              </w:rPr>
            </w:pPr>
            <w:r>
              <w:rPr>
                <w:rFonts w:ascii="Arial" w:cs="Arial" w:eastAsia="Arial" w:hAnsi="Arial"/>
                <w:sz w:val="11"/>
                <w:szCs w:val="11"/>
                <w:b w:val="1"/>
                <w:bCs w:val="1"/>
                <w:color w:val="auto"/>
              </w:rPr>
              <w:t>2026</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2025</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(42,066)</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194,447</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Add:</w:t>
            </w: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891</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2,810</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Provision for (benefit from) income tax</w:t>
            </w:r>
          </w:p>
        </w:tc>
        <w:tc>
          <w:tcPr>
            <w:tcW w:w="440" w:type="dxa"/>
            <w:vAlign w:val="bottom"/>
          </w:tcPr>
          <w:p>
            <w:pPr>
              <w:spacing w:after="0"/>
              <w:rPr>
                <w:sz w:val="15"/>
                <w:szCs w:val="15"/>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(59,182)</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(55,218)</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 of property, software, and equipment, net</w:t>
            </w: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7,397</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6,236</w:t>
            </w:r>
          </w:p>
        </w:tc>
      </w:tr>
      <w:tr>
        <w:trPr>
          <w:trHeight w:val="171"/>
        </w:trPr>
        <w:tc>
          <w:tcPr>
            <w:tcW w:w="752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440" w:type="dxa"/>
            <w:vAlign w:val="bottom"/>
          </w:tcPr>
          <w:p>
            <w:pPr>
              <w:spacing w:after="0"/>
              <w:rPr>
                <w:sz w:val="14"/>
                <w:szCs w:val="14"/>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(92,960)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148,275</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259,824</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9,364</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Change in fair value of convertible note, warrant liabilities, and SAFEs</w:t>
            </w:r>
          </w:p>
        </w:tc>
        <w:tc>
          <w:tcPr>
            <w:tcW w:w="440" w:type="dxa"/>
            <w:vAlign w:val="bottom"/>
          </w:tcPr>
          <w:p>
            <w:pPr>
              <w:spacing w:after="0"/>
              <w:rPr>
                <w:sz w:val="15"/>
                <w:szCs w:val="15"/>
                <w:color w:val="auto"/>
              </w:rPr>
            </w:pPr>
          </w:p>
        </w:tc>
        <w:tc>
          <w:tcPr>
            <w:tcW w:w="1380" w:type="dxa"/>
            <w:vAlign w:val="bottom"/>
          </w:tcPr>
          <w:p>
            <w:pPr>
              <w:jc w:val="right"/>
              <w:ind w:right="31"/>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(14,951)</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Employer payroll taxes on IPO-triggered vesting of equity awards</w:t>
            </w: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5,275</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71"/>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EBITDA</w:t>
            </w: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170,689</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142,688</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364,993</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308,859</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Net income (loss) margin</w:t>
            </w: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63 %</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Margin</w:t>
            </w: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expense within our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From time to time we have also paid consideration to clients in connection with Cash Account referrals in the form of a fixed amount flat fee cash bonus.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 in connection with investing account referrals in the form of a partial deposit match on deposits placed in the new client’s account within a specified period of time. Such consideration paid to a referred client is accounted for as a reduction to investment advisory fees, while the consideration paid to clients for referring a new client is accounted for as a marketing expense within our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revenue primarily consists of net interest margin revenue and proxy distribution revenue. For the fiscal year ended January 31, 2026, other revenue decreased compared to the prior fiscal year due to the discontinuation of a product offering in November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primarily consists of expenses related to cash management, brokerage platform, and data costs, inclusive of amortization of internally-developed software.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our cost of revenue to fluctuate from period to period and increase on an absolute basis as we grow. However, as a percentage of revenue our cost of revenue has declined and we expect our existing products’ cost of revenue as a percentage of revenue to continue to decline in the long term as we benefit from the scalability of our platform.</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Marketing expense primarily consists of performance and brand advertising, client referral costs, personnel-related costs, including stock-based compensation, and allocated overhead. Consideration paid to clients for referrals, including promotional incentives and cash awards, is recognized as a marketing expense as incurred. The consideration paid to the client for the act of referring another individual represents a distinct service provided by that client.</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intend to continue investing in marketing to support client growth and expect marketing expense to fluctuate on an absolute and percentage of revenue basis from period to period depending on the attractiveness of efficient client acquisition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Operations and support expense primarily consists of personnel-related costs, including stock-based compensation and allocated overhead, inclusive of amortization of internally-developed software costs.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plan to continue to invest in operations and support expenses to adequately support significant client growth and expect operations and support to increase on an absolute basis. As a percentage of revenue, we expect operations and support expenses to decrease in the long term as we benefit from the scalability of our platform.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2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Interest expense for the fiscal year ended January 31, 2026 primarily consists of commitment fees recognized as interest expense in connection with the our credit agreements with a third party, as defined in Note 7.— Financing Activities to the consolidated financial statements included in this Form 10-K. Interest expense for the fiscal year ended January 31, 2025 primarily consists of interest expense related to the loan agreement entered into in January 2022 with an investor and member of our board of directors to borrow up to $20.0 million (the “Bridge Loan”). We borrowed $10.0 million under the Bridge Loan in each of January 2022 and March 2022 for a total of $20.0 million. Borrowings under the Bridge Loan agreement accrued simple interest on the outstanding amounts at an interest rate of 10.0% per annum, based upon a year of 365 days and actual days elapsed. The Bridge Loan agreement was amended in August 2023 to extend the maturity date from April 2, 2024 to September 30, 2025 and allow for interest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0"/>
        <w:spacing w:after="0" w:line="274" w:lineRule="auto"/>
        <w:rPr>
          <w:sz w:val="20"/>
          <w:szCs w:val="20"/>
          <w:color w:val="auto"/>
        </w:rPr>
      </w:pPr>
      <w:r>
        <w:rPr>
          <w:rFonts w:ascii="Arial" w:cs="Arial" w:eastAsia="Arial" w:hAnsi="Arial"/>
          <w:sz w:val="14"/>
          <w:szCs w:val="14"/>
          <w:color w:val="auto"/>
        </w:rPr>
        <w:t>to accrue on the outstanding balance of the Bridge Loan as of April 3, 2024 at a rate of 12.5% per annum, compounded annually from April 3, 2024 until September 30, 2025. The Bridge Loan was paid off in full in November 2024.</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expense (income), net primarily consists of fair value changes arising from remeasurements of our convertible note, warrant liabilities, SAFEs, and dividend income from our money market sweep program.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provision for (benefit from) income taxes primarily consists of federal, state and local, and foreign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research and development tax credits, stock-based compensation, executive compensation, certain one-time items, and changes in uncertain tax positions related to research and development tax credits.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40" w:type="dxa"/>
            <w:vAlign w:val="bottom"/>
          </w:tcPr>
          <w:p>
            <w:pPr>
              <w:ind w:left="4900"/>
              <w:spacing w:after="0"/>
              <w:rPr>
                <w:sz w:val="20"/>
                <w:szCs w:val="20"/>
                <w:color w:val="auto"/>
              </w:rPr>
            </w:pPr>
            <w:r>
              <w:rPr>
                <w:rFonts w:ascii="Arial" w:cs="Arial" w:eastAsia="Arial" w:hAnsi="Arial"/>
                <w:sz w:val="14"/>
                <w:szCs w:val="14"/>
                <w:b w:val="1"/>
                <w:bCs w:val="1"/>
                <w:color w:val="auto"/>
              </w:rPr>
              <w:t>Results of Operations</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89"/>
        </w:trPr>
        <w:tc>
          <w:tcPr>
            <w:tcW w:w="7240" w:type="dxa"/>
            <w:vAlign w:val="bottom"/>
          </w:tcPr>
          <w:p>
            <w:pPr>
              <w:spacing w:after="0"/>
              <w:rPr>
                <w:sz w:val="20"/>
                <w:szCs w:val="20"/>
                <w:color w:val="auto"/>
              </w:rPr>
            </w:pPr>
            <w:r>
              <w:rPr>
                <w:rFonts w:ascii="Arial" w:cs="Arial" w:eastAsia="Arial" w:hAnsi="Arial"/>
                <w:sz w:val="14"/>
                <w:szCs w:val="14"/>
                <w:color w:val="auto"/>
              </w:rPr>
              <w:t>The following table sets forth our consolidated statements of operations data for the periods indicated:</w:t>
            </w: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7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1"/>
                <w:szCs w:val="11"/>
                <w:b w:val="1"/>
                <w:bCs w:val="1"/>
                <w:color w:val="auto"/>
              </w:rPr>
              <w:t>Fiscal Year Ended January 31,</w:t>
            </w:r>
          </w:p>
        </w:tc>
        <w:tc>
          <w:tcPr>
            <w:tcW w:w="1160" w:type="dxa"/>
            <w:vAlign w:val="bottom"/>
            <w:tcBorders>
              <w:bottom w:val="single" w:sz="8" w:color="auto"/>
            </w:tcBorders>
          </w:tcPr>
          <w:p>
            <w:pPr>
              <w:spacing w:after="0"/>
              <w:rPr>
                <w:sz w:val="24"/>
                <w:szCs w:val="24"/>
                <w:color w:val="auto"/>
              </w:rPr>
            </w:pPr>
          </w:p>
        </w:tc>
      </w:tr>
      <w:tr>
        <w:trPr>
          <w:trHeight w:val="15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2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803"/>
              <w:spacing w:after="0"/>
              <w:rPr>
                <w:sz w:val="20"/>
                <w:szCs w:val="20"/>
                <w:color w:val="auto"/>
              </w:rPr>
            </w:pPr>
            <w:r>
              <w:rPr>
                <w:rFonts w:ascii="Arial" w:cs="Arial" w:eastAsia="Arial" w:hAnsi="Arial"/>
                <w:sz w:val="11"/>
                <w:szCs w:val="11"/>
                <w:b w:val="1"/>
                <w:bCs w:val="1"/>
                <w:color w:val="auto"/>
              </w:rPr>
              <w:t>2025</w:t>
            </w:r>
          </w:p>
        </w:tc>
      </w:tr>
      <w:tr>
        <w:trPr>
          <w:trHeight w:val="139"/>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56"/>
        </w:trPr>
        <w:tc>
          <w:tcPr>
            <w:tcW w:w="724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271,700</w:t>
            </w:r>
          </w:p>
        </w:tc>
        <w:tc>
          <w:tcPr>
            <w:tcW w:w="80" w:type="dxa"/>
            <w:vAlign w:val="bottom"/>
          </w:tcPr>
          <w:p>
            <w:pPr>
              <w:spacing w:after="0"/>
              <w:rPr>
                <w:sz w:val="13"/>
                <w:szCs w:val="13"/>
                <w:color w:val="auto"/>
              </w:rPr>
            </w:pPr>
          </w:p>
        </w:tc>
        <w:tc>
          <w:tcPr>
            <w:tcW w:w="820" w:type="dxa"/>
            <w:vAlign w:val="bottom"/>
          </w:tcPr>
          <w:p>
            <w:pPr>
              <w:jc w:val="right"/>
              <w:ind w:right="68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230,946</w:t>
            </w:r>
          </w:p>
        </w:tc>
      </w:tr>
      <w:tr>
        <w:trPr>
          <w:trHeight w:val="162"/>
        </w:trPr>
        <w:tc>
          <w:tcPr>
            <w:tcW w:w="7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91,899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73,045</w:t>
            </w:r>
          </w:p>
        </w:tc>
      </w:tr>
      <w:tr>
        <w:trPr>
          <w:trHeight w:val="156"/>
        </w:trPr>
        <w:tc>
          <w:tcPr>
            <w:tcW w:w="7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revenue</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1,394</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4,868</w:t>
            </w:r>
          </w:p>
        </w:tc>
      </w:tr>
      <w:tr>
        <w:trPr>
          <w:trHeight w:val="153"/>
        </w:trPr>
        <w:tc>
          <w:tcPr>
            <w:tcW w:w="72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revenue</w:t>
            </w:r>
          </w:p>
        </w:tc>
        <w:tc>
          <w:tcPr>
            <w:tcW w:w="46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364,993</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308,859</w:t>
            </w:r>
          </w:p>
        </w:tc>
      </w:tr>
      <w:tr>
        <w:trPr>
          <w:trHeight w:val="156"/>
        </w:trPr>
        <w:tc>
          <w:tcPr>
            <w:tcW w:w="724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7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revenue</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38,007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30,964</w:t>
            </w:r>
          </w:p>
        </w:tc>
      </w:tr>
      <w:tr>
        <w:trPr>
          <w:trHeight w:val="156"/>
        </w:trPr>
        <w:tc>
          <w:tcPr>
            <w:tcW w:w="7240" w:type="dxa"/>
            <w:vAlign w:val="bottom"/>
          </w:tcPr>
          <w:p>
            <w:pPr>
              <w:ind w:left="180"/>
              <w:spacing w:after="0"/>
              <w:rPr>
                <w:sz w:val="20"/>
                <w:szCs w:val="20"/>
                <w:color w:val="auto"/>
              </w:rPr>
            </w:pPr>
            <w:r>
              <w:rPr>
                <w:rFonts w:ascii="Arial" w:cs="Arial" w:eastAsia="Arial" w:hAnsi="Arial"/>
                <w:sz w:val="11"/>
                <w:szCs w:val="11"/>
                <w:color w:val="auto"/>
              </w:rPr>
              <w:t>Product development</w:t>
            </w:r>
          </w:p>
        </w:tc>
        <w:tc>
          <w:tcPr>
            <w:tcW w:w="46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212,437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64,515</w:t>
            </w:r>
          </w:p>
        </w:tc>
      </w:tr>
      <w:tr>
        <w:trPr>
          <w:trHeight w:val="162"/>
        </w:trPr>
        <w:tc>
          <w:tcPr>
            <w:tcW w:w="7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149,128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29,092</w:t>
            </w:r>
          </w:p>
        </w:tc>
      </w:tr>
      <w:tr>
        <w:trPr>
          <w:trHeight w:val="156"/>
        </w:trPr>
        <w:tc>
          <w:tcPr>
            <w:tcW w:w="7240" w:type="dxa"/>
            <w:vAlign w:val="bottom"/>
          </w:tcPr>
          <w:p>
            <w:pPr>
              <w:ind w:left="180"/>
              <w:spacing w:after="0"/>
              <w:rPr>
                <w:sz w:val="20"/>
                <w:szCs w:val="20"/>
                <w:color w:val="auto"/>
              </w:rPr>
            </w:pPr>
            <w:r>
              <w:rPr>
                <w:rFonts w:ascii="Arial" w:cs="Arial" w:eastAsia="Arial" w:hAnsi="Arial"/>
                <w:sz w:val="11"/>
                <w:szCs w:val="11"/>
                <w:color w:val="auto"/>
              </w:rPr>
              <w:t>Marketing</w:t>
            </w:r>
          </w:p>
        </w:tc>
        <w:tc>
          <w:tcPr>
            <w:tcW w:w="46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51,755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52,196</w:t>
            </w:r>
          </w:p>
        </w:tc>
      </w:tr>
      <w:tr>
        <w:trPr>
          <w:trHeight w:val="162"/>
        </w:trPr>
        <w:tc>
          <w:tcPr>
            <w:tcW w:w="7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Operations and support</w:t>
            </w:r>
          </w:p>
        </w:tc>
        <w:tc>
          <w:tcPr>
            <w:tcW w:w="4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24,836</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10,619</w:t>
            </w:r>
          </w:p>
        </w:tc>
      </w:tr>
      <w:tr>
        <w:trPr>
          <w:trHeight w:val="147"/>
        </w:trPr>
        <w:tc>
          <w:tcPr>
            <w:tcW w:w="7240" w:type="dxa"/>
            <w:vAlign w:val="bottom"/>
          </w:tcPr>
          <w:p>
            <w:pPr>
              <w:ind w:left="360"/>
              <w:spacing w:after="0"/>
              <w:rPr>
                <w:sz w:val="20"/>
                <w:szCs w:val="20"/>
                <w:color w:val="auto"/>
              </w:rPr>
            </w:pPr>
            <w:r>
              <w:rPr>
                <w:rFonts w:ascii="Arial" w:cs="Arial" w:eastAsia="Arial" w:hAnsi="Arial"/>
                <w:sz w:val="11"/>
                <w:szCs w:val="11"/>
                <w:color w:val="auto"/>
              </w:rPr>
              <w:t>Total costs and operating expenses</w:t>
            </w:r>
          </w:p>
        </w:tc>
        <w:tc>
          <w:tcPr>
            <w:tcW w:w="460" w:type="dxa"/>
            <w:vAlign w:val="bottom"/>
          </w:tcPr>
          <w:p>
            <w:pPr>
              <w:spacing w:after="0"/>
              <w:rPr>
                <w:sz w:val="12"/>
                <w:szCs w:val="12"/>
                <w:color w:val="auto"/>
              </w:rPr>
            </w:pPr>
          </w:p>
        </w:tc>
        <w:tc>
          <w:tcPr>
            <w:tcW w:w="1520" w:type="dxa"/>
            <w:vAlign w:val="bottom"/>
          </w:tcPr>
          <w:p>
            <w:pPr>
              <w:jc w:val="right"/>
              <w:ind w:right="3"/>
              <w:spacing w:after="0"/>
              <w:rPr>
                <w:sz w:val="20"/>
                <w:szCs w:val="20"/>
                <w:color w:val="auto"/>
              </w:rPr>
            </w:pPr>
            <w:r>
              <w:rPr>
                <w:rFonts w:ascii="Arial" w:cs="Arial" w:eastAsia="Arial" w:hAnsi="Arial"/>
                <w:sz w:val="11"/>
                <w:szCs w:val="11"/>
                <w:color w:val="auto"/>
              </w:rPr>
              <w:t>476,163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187,386</w:t>
            </w:r>
          </w:p>
        </w:tc>
      </w:tr>
      <w:tr>
        <w:trPr>
          <w:trHeight w:val="162"/>
        </w:trPr>
        <w:tc>
          <w:tcPr>
            <w:tcW w:w="7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46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2,810</w:t>
            </w:r>
          </w:p>
        </w:tc>
      </w:tr>
      <w:tr>
        <w:trPr>
          <w:trHeight w:val="15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(10,813)</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(20,566)</w:t>
            </w:r>
          </w:p>
        </w:tc>
      </w:tr>
      <w:tr>
        <w:trPr>
          <w:trHeight w:val="153"/>
        </w:trPr>
        <w:tc>
          <w:tcPr>
            <w:tcW w:w="7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Income (loss) before income taxes</w:t>
            </w:r>
          </w:p>
        </w:tc>
        <w:tc>
          <w:tcPr>
            <w:tcW w:w="4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(101,248)</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139,229</w:t>
            </w:r>
          </w:p>
        </w:tc>
      </w:tr>
      <w:tr>
        <w:trPr>
          <w:trHeight w:val="14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(59,182)</w:t>
            </w: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(55,218)</w:t>
            </w:r>
          </w:p>
        </w:tc>
      </w:tr>
      <w:tr>
        <w:trPr>
          <w:trHeight w:val="17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(42,066)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194,447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stock-based compensation expense for the periods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2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Fiscal Year Ended January 31,</w:t>
            </w:r>
          </w:p>
        </w:tc>
        <w:tc>
          <w:tcPr>
            <w:tcW w:w="1140" w:type="dxa"/>
            <w:vAlign w:val="bottom"/>
            <w:tcBorders>
              <w:bottom w:val="single" w:sz="8" w:color="auto"/>
            </w:tcBorders>
          </w:tcPr>
          <w:p>
            <w:pPr>
              <w:spacing w:after="0"/>
              <w:rPr>
                <w:sz w:val="13"/>
                <w:szCs w:val="13"/>
                <w:color w:val="auto"/>
              </w:rPr>
            </w:pPr>
          </w:p>
        </w:tc>
      </w:tr>
      <w:tr>
        <w:trPr>
          <w:trHeight w:val="15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83"/>
              <w:spacing w:after="0"/>
              <w:rPr>
                <w:sz w:val="20"/>
                <w:szCs w:val="20"/>
                <w:color w:val="auto"/>
              </w:rPr>
            </w:pPr>
            <w:r>
              <w:rPr>
                <w:rFonts w:ascii="Arial" w:cs="Arial" w:eastAsia="Arial" w:hAnsi="Arial"/>
                <w:sz w:val="11"/>
                <w:szCs w:val="11"/>
                <w:b w:val="1"/>
                <w:bCs w:val="1"/>
                <w:color w:val="auto"/>
              </w:rPr>
              <w:t>2025</w:t>
            </w:r>
          </w:p>
        </w:tc>
      </w:tr>
      <w:tr>
        <w:trPr>
          <w:trHeight w:val="150"/>
        </w:trPr>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Product development</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127,414</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7,325</w:t>
            </w:r>
          </w:p>
        </w:tc>
      </w:tr>
      <w:tr>
        <w:trPr>
          <w:trHeight w:val="156"/>
        </w:trPr>
        <w:tc>
          <w:tcPr>
            <w:tcW w:w="7280" w:type="dxa"/>
            <w:vAlign w:val="bottom"/>
          </w:tcPr>
          <w:p>
            <w:pPr>
              <w:ind w:left="20"/>
              <w:spacing w:after="0"/>
              <w:rPr>
                <w:sz w:val="20"/>
                <w:szCs w:val="20"/>
                <w:color w:val="auto"/>
              </w:rPr>
            </w:pPr>
            <w:r>
              <w:rPr>
                <w:rFonts w:ascii="Arial" w:cs="Arial" w:eastAsia="Arial" w:hAnsi="Arial"/>
                <w:sz w:val="11"/>
                <w:szCs w:val="11"/>
                <w:color w:val="auto"/>
              </w:rPr>
              <w:t>General and administrative</w:t>
            </w:r>
          </w:p>
        </w:tc>
        <w:tc>
          <w:tcPr>
            <w:tcW w:w="46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110,677</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2,041</w:t>
            </w:r>
          </w:p>
        </w:tc>
      </w:tr>
      <w:tr>
        <w:trPr>
          <w:trHeight w:val="162"/>
        </w:trPr>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Marketing</w:t>
            </w:r>
          </w:p>
        </w:tc>
        <w:tc>
          <w:tcPr>
            <w:tcW w:w="4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8,472</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536</w:t>
            </w:r>
          </w:p>
        </w:tc>
      </w:tr>
      <w:tr>
        <w:trPr>
          <w:trHeight w:val="15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Operations and support</w:t>
            </w: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13,261</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1,099</w:t>
            </w:r>
          </w:p>
        </w:tc>
      </w:tr>
      <w:tr>
        <w:trPr>
          <w:trHeight w:val="153"/>
        </w:trPr>
        <w:tc>
          <w:tcPr>
            <w:tcW w:w="7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stock-based compensation expense</w:t>
            </w:r>
          </w:p>
        </w:tc>
        <w:tc>
          <w:tcPr>
            <w:tcW w:w="4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259,824</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11,001</w:t>
            </w:r>
          </w:p>
        </w:tc>
      </w:tr>
      <w:tr>
        <w:trPr>
          <w:trHeight w:val="156"/>
        </w:trPr>
        <w:tc>
          <w:tcPr>
            <w:tcW w:w="7280" w:type="dxa"/>
            <w:vAlign w:val="bottom"/>
          </w:tcPr>
          <w:p>
            <w:pPr>
              <w:ind w:left="20"/>
              <w:spacing w:after="0"/>
              <w:rPr>
                <w:sz w:val="20"/>
                <w:szCs w:val="20"/>
                <w:color w:val="auto"/>
              </w:rPr>
            </w:pPr>
            <w:r>
              <w:rPr>
                <w:rFonts w:ascii="Arial" w:cs="Arial" w:eastAsia="Arial" w:hAnsi="Arial"/>
                <w:sz w:val="11"/>
                <w:szCs w:val="11"/>
                <w:color w:val="auto"/>
              </w:rPr>
              <w:t>Capitalized stock-based compensation expense</w:t>
            </w:r>
          </w:p>
        </w:tc>
        <w:tc>
          <w:tcPr>
            <w:tcW w:w="460" w:type="dxa"/>
            <w:vAlign w:val="bottom"/>
          </w:tcPr>
          <w:p>
            <w:pPr>
              <w:spacing w:after="0"/>
              <w:rPr>
                <w:sz w:val="13"/>
                <w:szCs w:val="13"/>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(1,637)</w:t>
            </w:r>
          </w:p>
        </w:tc>
      </w:tr>
      <w:tr>
        <w:trPr>
          <w:trHeight w:val="17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stock-based compensation expense, net of amounts capitalized</w:t>
            </w: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259,824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9,364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fiscal year ended January 31, 2026, we recognized share-based compensation for awards with performance-based conditions that vested and settled upon completion of the IPO. During the fiscal year ended January 31, 2025, share-based compensation for these awards was not yet recognized because the qualifying event, such as an IPO, had not occurred and therefore could not be considered probable. See Note 12. — Stock-Based Compensation of our consolidated financial statements included in this Form 10-K for more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components of our consolidated statements of operations data, for each of the periods presented, as a percent of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880" w:type="dxa"/>
            <w:vAlign w:val="bottom"/>
          </w:tcPr>
          <w:p>
            <w:pPr>
              <w:spacing w:after="0"/>
              <w:rPr>
                <w:sz w:val="13"/>
                <w:szCs w:val="13"/>
                <w:color w:val="auto"/>
              </w:rPr>
            </w:pPr>
          </w:p>
        </w:tc>
        <w:tc>
          <w:tcPr>
            <w:tcW w:w="3740" w:type="dxa"/>
            <w:vAlign w:val="bottom"/>
            <w:tcBorders>
              <w:bottom w:val="single" w:sz="8" w:color="auto"/>
            </w:tcBorders>
            <w:gridSpan w:val="3"/>
          </w:tcPr>
          <w:p>
            <w:pPr>
              <w:ind w:left="1880"/>
              <w:spacing w:after="0"/>
              <w:rPr>
                <w:sz w:val="20"/>
                <w:szCs w:val="20"/>
                <w:color w:val="auto"/>
              </w:rPr>
            </w:pPr>
            <w:r>
              <w:rPr>
                <w:rFonts w:ascii="Arial" w:cs="Arial" w:eastAsia="Arial" w:hAnsi="Arial"/>
                <w:sz w:val="11"/>
                <w:szCs w:val="11"/>
                <w:b w:val="1"/>
                <w:bCs w:val="1"/>
                <w:color w:val="auto"/>
              </w:rPr>
              <w:t>Fiscal Year Ended January 31,</w:t>
            </w:r>
          </w:p>
        </w:tc>
        <w:tc>
          <w:tcPr>
            <w:tcW w:w="1660" w:type="dxa"/>
            <w:vAlign w:val="bottom"/>
            <w:tcBorders>
              <w:bottom w:val="single" w:sz="8" w:color="auto"/>
            </w:tcBorders>
          </w:tcPr>
          <w:p>
            <w:pPr>
              <w:spacing w:after="0"/>
              <w:rPr>
                <w:sz w:val="13"/>
                <w:szCs w:val="13"/>
                <w:color w:val="auto"/>
              </w:rPr>
            </w:pPr>
          </w:p>
        </w:tc>
      </w:tr>
      <w:tr>
        <w:trPr>
          <w:trHeight w:val="15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(as a percentage of revenue)</w:t>
            </w:r>
          </w:p>
        </w:tc>
        <w:tc>
          <w:tcPr>
            <w:tcW w:w="2620" w:type="dxa"/>
            <w:vAlign w:val="bottom"/>
            <w:tcBorders>
              <w:bottom w:val="single" w:sz="8" w:color="auto"/>
            </w:tcBorders>
          </w:tcPr>
          <w:p>
            <w:pPr>
              <w:jc w:val="right"/>
              <w:ind w:right="1143"/>
              <w:spacing w:after="0"/>
              <w:rPr>
                <w:sz w:val="20"/>
                <w:szCs w:val="20"/>
                <w:color w:val="auto"/>
              </w:rPr>
            </w:pPr>
            <w:r>
              <w:rPr>
                <w:rFonts w:ascii="Arial" w:cs="Arial" w:eastAsia="Arial" w:hAnsi="Arial"/>
                <w:sz w:val="11"/>
                <w:szCs w:val="11"/>
                <w:b w:val="1"/>
                <w:bCs w:val="1"/>
                <w:color w:val="auto"/>
              </w:rPr>
              <w:t>2026</w:t>
            </w: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123"/>
              <w:spacing w:after="0"/>
              <w:rPr>
                <w:sz w:val="20"/>
                <w:szCs w:val="20"/>
                <w:color w:val="auto"/>
              </w:rPr>
            </w:pPr>
            <w:r>
              <w:rPr>
                <w:rFonts w:ascii="Arial" w:cs="Arial" w:eastAsia="Arial" w:hAnsi="Arial"/>
                <w:sz w:val="11"/>
                <w:szCs w:val="11"/>
                <w:b w:val="1"/>
                <w:bCs w:val="1"/>
                <w:color w:val="auto"/>
              </w:rPr>
              <w:t>2025</w:t>
            </w:r>
          </w:p>
        </w:tc>
      </w:tr>
      <w:tr>
        <w:trPr>
          <w:trHeight w:val="139"/>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2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56"/>
        </w:trPr>
        <w:tc>
          <w:tcPr>
            <w:tcW w:w="5880" w:type="dxa"/>
            <w:vAlign w:val="bottom"/>
          </w:tcPr>
          <w:p>
            <w:pPr>
              <w:ind w:left="20"/>
              <w:spacing w:after="0"/>
              <w:rPr>
                <w:sz w:val="20"/>
                <w:szCs w:val="20"/>
                <w:color w:val="auto"/>
              </w:rPr>
            </w:pPr>
            <w:r>
              <w:rPr>
                <w:rFonts w:ascii="Arial" w:cs="Arial" w:eastAsia="Arial" w:hAnsi="Arial"/>
                <w:sz w:val="11"/>
                <w:szCs w:val="11"/>
                <w:color w:val="auto"/>
              </w:rPr>
              <w:t>Cash management</w:t>
            </w:r>
          </w:p>
        </w:tc>
        <w:tc>
          <w:tcPr>
            <w:tcW w:w="2620" w:type="dxa"/>
            <w:vAlign w:val="bottom"/>
          </w:tcPr>
          <w:p>
            <w:pPr>
              <w:jc w:val="right"/>
              <w:spacing w:after="0"/>
              <w:rPr>
                <w:sz w:val="20"/>
                <w:szCs w:val="20"/>
                <w:color w:val="auto"/>
              </w:rPr>
            </w:pPr>
            <w:r>
              <w:rPr>
                <w:rFonts w:ascii="Arial" w:cs="Arial" w:eastAsia="Arial" w:hAnsi="Arial"/>
                <w:sz w:val="11"/>
                <w:szCs w:val="11"/>
                <w:color w:val="auto"/>
              </w:rPr>
              <w:t>75 %</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74 %</w:t>
            </w:r>
          </w:p>
        </w:tc>
      </w:tr>
      <w:tr>
        <w:trPr>
          <w:trHeight w:val="162"/>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advisory</w:t>
            </w:r>
          </w:p>
        </w:tc>
        <w:tc>
          <w:tcPr>
            <w:tcW w:w="2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24 %</w:t>
            </w:r>
          </w:p>
        </w:tc>
      </w:tr>
      <w:tr>
        <w:trPr>
          <w:trHeight w:val="156"/>
        </w:trPr>
        <w:tc>
          <w:tcPr>
            <w:tcW w:w="5880" w:type="dxa"/>
            <w:vAlign w:val="bottom"/>
          </w:tcPr>
          <w:p>
            <w:pPr>
              <w:ind w:left="20"/>
              <w:spacing w:after="0"/>
              <w:rPr>
                <w:sz w:val="20"/>
                <w:szCs w:val="20"/>
                <w:color w:val="auto"/>
              </w:rPr>
            </w:pPr>
            <w:r>
              <w:rPr>
                <w:rFonts w:ascii="Arial" w:cs="Arial" w:eastAsia="Arial" w:hAnsi="Arial"/>
                <w:sz w:val="11"/>
                <w:szCs w:val="11"/>
                <w:color w:val="auto"/>
              </w:rPr>
              <w:t>Other revenue</w:t>
            </w:r>
          </w:p>
        </w:tc>
        <w:tc>
          <w:tcPr>
            <w:tcW w:w="3740" w:type="dxa"/>
            <w:vAlign w:val="bottom"/>
            <w:gridSpan w:val="3"/>
          </w:tcPr>
          <w:p>
            <w:pPr>
              <w:jc w:val="right"/>
              <w:ind w:right="1140"/>
              <w:spacing w:after="0"/>
              <w:rPr>
                <w:sz w:val="20"/>
                <w:szCs w:val="20"/>
                <w:color w:val="auto"/>
              </w:rPr>
            </w:pPr>
            <w:r>
              <w:rPr>
                <w:rFonts w:ascii="Arial" w:cs="Arial" w:eastAsia="Arial" w:hAnsi="Arial"/>
                <w:sz w:val="11"/>
                <w:szCs w:val="11"/>
                <w:color w:val="auto"/>
              </w:rPr>
              <w:t>— %</w:t>
            </w:r>
          </w:p>
        </w:tc>
        <w:tc>
          <w:tcPr>
            <w:tcW w:w="1660" w:type="dxa"/>
            <w:vAlign w:val="bottom"/>
          </w:tcPr>
          <w:p>
            <w:pPr>
              <w:jc w:val="right"/>
              <w:spacing w:after="0"/>
              <w:rPr>
                <w:sz w:val="20"/>
                <w:szCs w:val="20"/>
                <w:color w:val="auto"/>
              </w:rPr>
            </w:pPr>
            <w:r>
              <w:rPr>
                <w:rFonts w:ascii="Arial" w:cs="Arial" w:eastAsia="Arial" w:hAnsi="Arial"/>
                <w:sz w:val="11"/>
                <w:szCs w:val="11"/>
                <w:color w:val="auto"/>
              </w:rPr>
              <w:t>2 %</w:t>
            </w:r>
          </w:p>
        </w:tc>
      </w:tr>
      <w:tr>
        <w:trPr>
          <w:trHeight w:val="15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c>
          <w:tcPr>
            <w:tcW w:w="1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100 %</w:t>
            </w:r>
          </w:p>
        </w:tc>
      </w:tr>
      <w:tr>
        <w:trPr>
          <w:trHeight w:val="156"/>
        </w:trPr>
        <w:tc>
          <w:tcPr>
            <w:tcW w:w="588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2"/>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2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10 %</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10 %</w:t>
            </w:r>
          </w:p>
        </w:tc>
      </w:tr>
      <w:tr>
        <w:trPr>
          <w:trHeight w:val="156"/>
        </w:trPr>
        <w:tc>
          <w:tcPr>
            <w:tcW w:w="588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2620" w:type="dxa"/>
            <w:vAlign w:val="bottom"/>
          </w:tcPr>
          <w:p>
            <w:pPr>
              <w:jc w:val="right"/>
              <w:spacing w:after="0"/>
              <w:rPr>
                <w:sz w:val="20"/>
                <w:szCs w:val="20"/>
                <w:color w:val="auto"/>
              </w:rPr>
            </w:pPr>
            <w:r>
              <w:rPr>
                <w:rFonts w:ascii="Arial" w:cs="Arial" w:eastAsia="Arial" w:hAnsi="Arial"/>
                <w:sz w:val="11"/>
                <w:szCs w:val="11"/>
                <w:color w:val="auto"/>
              </w:rPr>
              <w:t>58 %</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21 %</w:t>
            </w:r>
          </w:p>
        </w:tc>
      </w:tr>
      <w:tr>
        <w:trPr>
          <w:trHeight w:val="162"/>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2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41 %</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9 %</w:t>
            </w:r>
          </w:p>
        </w:tc>
      </w:tr>
      <w:tr>
        <w:trPr>
          <w:trHeight w:val="156"/>
        </w:trPr>
        <w:tc>
          <w:tcPr>
            <w:tcW w:w="5880" w:type="dxa"/>
            <w:vAlign w:val="bottom"/>
          </w:tcPr>
          <w:p>
            <w:pPr>
              <w:ind w:left="20"/>
              <w:spacing w:after="0"/>
              <w:rPr>
                <w:sz w:val="20"/>
                <w:szCs w:val="20"/>
                <w:color w:val="auto"/>
              </w:rPr>
            </w:pPr>
            <w:r>
              <w:rPr>
                <w:rFonts w:ascii="Arial" w:cs="Arial" w:eastAsia="Arial" w:hAnsi="Arial"/>
                <w:sz w:val="11"/>
                <w:szCs w:val="11"/>
                <w:color w:val="auto"/>
              </w:rPr>
              <w:t>Marketing</w:t>
            </w:r>
          </w:p>
        </w:tc>
        <w:tc>
          <w:tcPr>
            <w:tcW w:w="2620" w:type="dxa"/>
            <w:vAlign w:val="bottom"/>
          </w:tcPr>
          <w:p>
            <w:pPr>
              <w:jc w:val="right"/>
              <w:spacing w:after="0"/>
              <w:rPr>
                <w:sz w:val="20"/>
                <w:szCs w:val="20"/>
                <w:color w:val="auto"/>
              </w:rPr>
            </w:pPr>
            <w:r>
              <w:rPr>
                <w:rFonts w:ascii="Arial" w:cs="Arial" w:eastAsia="Arial" w:hAnsi="Arial"/>
                <w:sz w:val="11"/>
                <w:szCs w:val="11"/>
                <w:color w:val="auto"/>
              </w:rPr>
              <w:t>14 %</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17 %</w:t>
            </w:r>
          </w:p>
        </w:tc>
      </w:tr>
      <w:tr>
        <w:trPr>
          <w:trHeight w:val="162"/>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7 %</w:t>
            </w:r>
          </w:p>
        </w:tc>
        <w:tc>
          <w:tcPr>
            <w:tcW w:w="1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3 %</w:t>
            </w:r>
          </w:p>
        </w:tc>
      </w:tr>
      <w:tr>
        <w:trPr>
          <w:trHeight w:val="147"/>
        </w:trPr>
        <w:tc>
          <w:tcPr>
            <w:tcW w:w="588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2620" w:type="dxa"/>
            <w:vAlign w:val="bottom"/>
          </w:tcPr>
          <w:p>
            <w:pPr>
              <w:jc w:val="right"/>
              <w:spacing w:after="0"/>
              <w:rPr>
                <w:sz w:val="20"/>
                <w:szCs w:val="20"/>
                <w:color w:val="auto"/>
              </w:rPr>
            </w:pPr>
            <w:r>
              <w:rPr>
                <w:rFonts w:ascii="Arial" w:cs="Arial" w:eastAsia="Arial" w:hAnsi="Arial"/>
                <w:sz w:val="11"/>
                <w:szCs w:val="11"/>
                <w:color w:val="auto"/>
              </w:rPr>
              <w:t>130 %</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60 %</w:t>
            </w:r>
          </w:p>
        </w:tc>
      </w:tr>
      <w:tr>
        <w:trPr>
          <w:trHeight w:val="162"/>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740" w:type="dxa"/>
            <w:vAlign w:val="bottom"/>
            <w:gridSpan w:val="3"/>
            <w:shd w:val="clear" w:color="auto" w:fill="CCEEFF"/>
          </w:tcPr>
          <w:p>
            <w:pPr>
              <w:jc w:val="right"/>
              <w:ind w:right="1140"/>
              <w:spacing w:after="0"/>
              <w:rPr>
                <w:sz w:val="20"/>
                <w:szCs w:val="20"/>
                <w:color w:val="auto"/>
              </w:rPr>
            </w:pPr>
            <w:r>
              <w:rPr>
                <w:rFonts w:ascii="Arial" w:cs="Arial" w:eastAsia="Arial" w:hAnsi="Arial"/>
                <w:sz w:val="11"/>
                <w:szCs w:val="11"/>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1 %</w:t>
            </w:r>
          </w:p>
        </w:tc>
      </w:tr>
      <w:tr>
        <w:trPr>
          <w:trHeight w:val="15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r>
      <w:tr>
        <w:trPr>
          <w:trHeight w:val="153"/>
        </w:trPr>
        <w:tc>
          <w:tcPr>
            <w:tcW w:w="5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(loss) before income taxes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46 %</w:t>
            </w:r>
          </w:p>
        </w:tc>
      </w:tr>
      <w:tr>
        <w:trPr>
          <w:trHeight w:val="147"/>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w:t>
            </w:r>
          </w:p>
        </w:tc>
      </w:tr>
      <w:tr>
        <w:trPr>
          <w:trHeight w:val="17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Comparison of the Fiscal Years Ended January 31, 2026 and January 31, 2025</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Fiscal Year Ended January 31,</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r>
      <w:tr>
        <w:trPr>
          <w:trHeight w:val="150"/>
        </w:trPr>
        <w:tc>
          <w:tcPr>
            <w:tcW w:w="34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440" w:type="dxa"/>
            <w:vAlign w:val="bottom"/>
          </w:tcPr>
          <w:p>
            <w:pPr>
              <w:spacing w:after="0"/>
              <w:rPr>
                <w:sz w:val="13"/>
                <w:szCs w:val="13"/>
                <w:color w:val="auto"/>
              </w:rPr>
            </w:pPr>
          </w:p>
        </w:tc>
        <w:tc>
          <w:tcPr>
            <w:tcW w:w="1400" w:type="dxa"/>
            <w:vAlign w:val="bottom"/>
          </w:tcPr>
          <w:p>
            <w:pPr>
              <w:jc w:val="right"/>
              <w:ind w:right="743"/>
              <w:spacing w:after="0"/>
              <w:rPr>
                <w:sz w:val="20"/>
                <w:szCs w:val="20"/>
                <w:color w:val="auto"/>
              </w:rPr>
            </w:pPr>
            <w:r>
              <w:rPr>
                <w:rFonts w:ascii="Arial" w:cs="Arial" w:eastAsia="Arial" w:hAnsi="Arial"/>
                <w:sz w:val="11"/>
                <w:szCs w:val="11"/>
                <w:b w:val="1"/>
                <w:bCs w:val="1"/>
                <w:color w:val="auto"/>
              </w:rPr>
              <w:t>2026</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ind w:right="763"/>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80"/>
              <w:spacing w:after="0"/>
              <w:rPr>
                <w:sz w:val="20"/>
                <w:szCs w:val="20"/>
                <w:color w:val="auto"/>
              </w:rPr>
            </w:pPr>
            <w:r>
              <w:rPr>
                <w:rFonts w:ascii="Arial" w:cs="Arial" w:eastAsia="Arial" w:hAnsi="Arial"/>
                <w:sz w:val="11"/>
                <w:szCs w:val="11"/>
                <w:b w:val="1"/>
                <w:bCs w:val="1"/>
                <w:color w:val="auto"/>
              </w:rPr>
              <w:t>$ Change</w:t>
            </w:r>
          </w:p>
        </w:tc>
        <w:tc>
          <w:tcPr>
            <w:tcW w:w="1960" w:type="dxa"/>
            <w:vAlign w:val="bottom"/>
          </w:tcPr>
          <w:p>
            <w:pPr>
              <w:jc w:val="right"/>
              <w:ind w:right="64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management</w:t>
            </w:r>
          </w:p>
        </w:tc>
        <w:tc>
          <w:tcPr>
            <w:tcW w:w="44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271,700</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ind w:right="643"/>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230,946</w:t>
            </w: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40,754</w:t>
            </w:r>
          </w:p>
        </w:tc>
        <w:tc>
          <w:tcPr>
            <w:tcW w:w="8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18 %</w:t>
            </w:r>
          </w:p>
        </w:tc>
      </w:tr>
      <w:tr>
        <w:trPr>
          <w:trHeight w:val="156"/>
        </w:trPr>
        <w:tc>
          <w:tcPr>
            <w:tcW w:w="3440" w:type="dxa"/>
            <w:vAlign w:val="bottom"/>
          </w:tcPr>
          <w:p>
            <w:pPr>
              <w:ind w:left="20"/>
              <w:spacing w:after="0"/>
              <w:rPr>
                <w:sz w:val="20"/>
                <w:szCs w:val="20"/>
                <w:color w:val="auto"/>
              </w:rPr>
            </w:pPr>
            <w:r>
              <w:rPr>
                <w:rFonts w:ascii="Arial" w:cs="Arial" w:eastAsia="Arial" w:hAnsi="Arial"/>
                <w:sz w:val="11"/>
                <w:szCs w:val="11"/>
                <w:color w:val="auto"/>
              </w:rPr>
              <w:t>Investment advisory</w:t>
            </w:r>
          </w:p>
        </w:tc>
        <w:tc>
          <w:tcPr>
            <w:tcW w:w="4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91,899</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1"/>
                <w:szCs w:val="11"/>
                <w:color w:val="auto"/>
              </w:rPr>
              <w:t>73,045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18,854</w:t>
            </w:r>
          </w:p>
        </w:tc>
        <w:tc>
          <w:tcPr>
            <w:tcW w:w="80" w:type="dxa"/>
            <w:vAlign w:val="bottom"/>
          </w:tcPr>
          <w:p>
            <w:pPr>
              <w:spacing w:after="0"/>
              <w:rPr>
                <w:sz w:val="13"/>
                <w:szCs w:val="13"/>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26 %</w:t>
            </w:r>
          </w:p>
        </w:tc>
      </w:tr>
      <w:tr>
        <w:trPr>
          <w:trHeight w:val="159"/>
        </w:trPr>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revenue</w:t>
            </w:r>
          </w:p>
        </w:tc>
        <w:tc>
          <w:tcPr>
            <w:tcW w:w="4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1,394</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4,868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(3,474)</w:t>
            </w:r>
          </w:p>
        </w:tc>
        <w:tc>
          <w:tcPr>
            <w:tcW w:w="80" w:type="dxa"/>
            <w:vAlign w:val="bottom"/>
            <w:shd w:val="clear" w:color="auto" w:fill="CCEEFF"/>
          </w:tcPr>
          <w:p>
            <w:pPr>
              <w:spacing w:after="0"/>
              <w:rPr>
                <w:sz w:val="13"/>
                <w:szCs w:val="13"/>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w:t>
            </w:r>
          </w:p>
        </w:tc>
      </w:tr>
      <w:tr>
        <w:trPr>
          <w:trHeight w:val="153"/>
        </w:trPr>
        <w:tc>
          <w:tcPr>
            <w:tcW w:w="3440" w:type="dxa"/>
            <w:vAlign w:val="bottom"/>
          </w:tcPr>
          <w:p>
            <w:pPr>
              <w:ind w:left="20"/>
              <w:spacing w:after="0"/>
              <w:rPr>
                <w:sz w:val="20"/>
                <w:szCs w:val="20"/>
                <w:color w:val="auto"/>
              </w:rPr>
            </w:pPr>
            <w:r>
              <w:rPr>
                <w:rFonts w:ascii="Arial" w:cs="Arial" w:eastAsia="Arial" w:hAnsi="Arial"/>
                <w:sz w:val="11"/>
                <w:szCs w:val="11"/>
                <w:color w:val="auto"/>
              </w:rPr>
              <w:t>Total revenue</w:t>
            </w: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364,993</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64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308,859</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56,134</w:t>
            </w:r>
          </w:p>
        </w:tc>
        <w:tc>
          <w:tcPr>
            <w:tcW w:w="80" w:type="dxa"/>
            <w:vAlign w:val="bottom"/>
          </w:tcPr>
          <w:p>
            <w:pPr>
              <w:spacing w:after="0"/>
              <w:rPr>
                <w:sz w:val="13"/>
                <w:szCs w:val="1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18 %</w:t>
            </w:r>
          </w:p>
        </w:tc>
      </w:tr>
      <w:tr>
        <w:trPr>
          <w:trHeight w:val="20"/>
        </w:trPr>
        <w:tc>
          <w:tcPr>
            <w:tcW w:w="3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Total revenue increased by $56.1 million, or 18% for the fiscal year ended January 31, 2026 compared to the prior fiscal year, primarily driven by an increase in cash management and investment advisory assets.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Cash Management</w:t>
      </w:r>
      <w:r>
        <w:rPr>
          <w:rFonts w:ascii="Arial" w:cs="Arial" w:eastAsia="Arial" w:hAnsi="Arial"/>
          <w:sz w:val="18"/>
          <w:szCs w:val="18"/>
          <w:i w:val="1"/>
          <w:iCs w:val="1"/>
          <w:color w:val="auto"/>
          <w:vertAlign w:val="superscript"/>
        </w:rPr>
        <w:t>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ind w:left="180"/>
              <w:spacing w:after="0"/>
              <w:rPr>
                <w:sz w:val="20"/>
                <w:szCs w:val="20"/>
                <w:color w:val="auto"/>
              </w:rPr>
            </w:pPr>
            <w:r>
              <w:rPr>
                <w:rFonts w:ascii="Arial" w:cs="Arial" w:eastAsia="Arial" w:hAnsi="Arial"/>
                <w:sz w:val="11"/>
                <w:szCs w:val="11"/>
                <w:b w:val="1"/>
                <w:bCs w:val="1"/>
                <w:color w:val="auto"/>
              </w:rPr>
              <w:t>Fiscal Year Ended January 31,</w:t>
            </w: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millions, except annualized rate and percentages)</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Change</w:t>
            </w: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6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management assets (off-balance sheet), beginning of the period</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42,411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29,361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13,050</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44 %</w:t>
            </w:r>
          </w:p>
        </w:tc>
      </w:tr>
      <w:tr>
        <w:trPr>
          <w:trHeight w:val="156"/>
        </w:trPr>
        <w:tc>
          <w:tcPr>
            <w:tcW w:w="6120" w:type="dxa"/>
            <w:vAlign w:val="bottom"/>
          </w:tcPr>
          <w:p>
            <w:pPr>
              <w:ind w:left="20"/>
              <w:spacing w:after="0"/>
              <w:rPr>
                <w:sz w:val="20"/>
                <w:szCs w:val="20"/>
                <w:color w:val="auto"/>
              </w:rPr>
            </w:pPr>
            <w:r>
              <w:rPr>
                <w:rFonts w:ascii="Arial" w:cs="Arial" w:eastAsia="Arial" w:hAnsi="Arial"/>
                <w:sz w:val="11"/>
                <w:szCs w:val="11"/>
                <w:color w:val="auto"/>
              </w:rPr>
              <w:t>Cash management assets (off-balance sheet), end of the period</w:t>
            </w:r>
          </w:p>
        </w:tc>
        <w:tc>
          <w:tcPr>
            <w:tcW w:w="260" w:type="dxa"/>
            <w:vAlign w:val="bottom"/>
          </w:tcPr>
          <w:p>
            <w:pPr>
              <w:spacing w:after="0"/>
              <w:rPr>
                <w:sz w:val="13"/>
                <w:szCs w:val="13"/>
                <w:color w:val="auto"/>
              </w:rPr>
            </w:pP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45,361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42,411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03"/>
              <w:spacing w:after="0"/>
              <w:rPr>
                <w:sz w:val="20"/>
                <w:szCs w:val="20"/>
                <w:color w:val="auto"/>
              </w:rPr>
            </w:pPr>
            <w:r>
              <w:rPr>
                <w:rFonts w:ascii="Arial" w:cs="Arial" w:eastAsia="Arial" w:hAnsi="Arial"/>
                <w:sz w:val="11"/>
                <w:szCs w:val="11"/>
                <w:color w:val="auto"/>
              </w:rPr>
              <w:t>2,950</w:t>
            </w:r>
          </w:p>
        </w:tc>
        <w:tc>
          <w:tcPr>
            <w:tcW w:w="1100" w:type="dxa"/>
            <w:vAlign w:val="bottom"/>
          </w:tcPr>
          <w:p>
            <w:pPr>
              <w:jc w:val="right"/>
              <w:spacing w:after="0"/>
              <w:rPr>
                <w:sz w:val="20"/>
                <w:szCs w:val="20"/>
                <w:color w:val="auto"/>
              </w:rPr>
            </w:pPr>
            <w:r>
              <w:rPr>
                <w:rFonts w:ascii="Arial" w:cs="Arial" w:eastAsia="Arial" w:hAnsi="Arial"/>
                <w:sz w:val="11"/>
                <w:szCs w:val="11"/>
                <w:color w:val="auto"/>
              </w:rPr>
              <w:t>7 %</w:t>
            </w:r>
          </w:p>
        </w:tc>
      </w:tr>
      <w:tr>
        <w:trPr>
          <w:trHeight w:val="162"/>
        </w:trPr>
        <w:tc>
          <w:tcPr>
            <w:tcW w:w="6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w:t>
            </w:r>
            <w:r>
              <w:rPr>
                <w:rFonts w:ascii="Arial" w:cs="Arial" w:eastAsia="Arial" w:hAnsi="Arial"/>
                <w:sz w:val="14"/>
                <w:szCs w:val="14"/>
                <w:color w:val="auto"/>
                <w:vertAlign w:val="superscript"/>
              </w:rPr>
              <w:t>(1)</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43,886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35,886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rPr>
              <w:t>8,000</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22 %</w:t>
            </w:r>
          </w:p>
        </w:tc>
      </w:tr>
      <w:tr>
        <w:trPr>
          <w:trHeight w:val="156"/>
        </w:trPr>
        <w:tc>
          <w:tcPr>
            <w:tcW w:w="6120" w:type="dxa"/>
            <w:vAlign w:val="bottom"/>
          </w:tcPr>
          <w:p>
            <w:pPr>
              <w:ind w:left="20"/>
              <w:spacing w:after="0"/>
              <w:rPr>
                <w:sz w:val="20"/>
                <w:szCs w:val="20"/>
                <w:color w:val="auto"/>
              </w:rPr>
            </w:pPr>
            <w:r>
              <w:rPr>
                <w:rFonts w:ascii="Arial" w:cs="Arial" w:eastAsia="Arial" w:hAnsi="Arial"/>
                <w:sz w:val="11"/>
                <w:szCs w:val="11"/>
                <w:color w:val="auto"/>
              </w:rPr>
              <w:t>Cash management revenue</w:t>
            </w:r>
          </w:p>
        </w:tc>
        <w:tc>
          <w:tcPr>
            <w:tcW w:w="260" w:type="dxa"/>
            <w:vAlign w:val="bottom"/>
          </w:tcPr>
          <w:p>
            <w:pPr>
              <w:spacing w:after="0"/>
              <w:rPr>
                <w:sz w:val="13"/>
                <w:szCs w:val="13"/>
                <w:color w:val="auto"/>
              </w:rPr>
            </w:pP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271.7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230.9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03"/>
              <w:spacing w:after="0"/>
              <w:rPr>
                <w:sz w:val="20"/>
                <w:szCs w:val="20"/>
                <w:color w:val="auto"/>
              </w:rPr>
            </w:pPr>
            <w:r>
              <w:rPr>
                <w:rFonts w:ascii="Arial" w:cs="Arial" w:eastAsia="Arial" w:hAnsi="Arial"/>
                <w:sz w:val="11"/>
                <w:szCs w:val="11"/>
                <w:color w:val="auto"/>
              </w:rPr>
              <w:t>40.8</w:t>
            </w:r>
          </w:p>
        </w:tc>
        <w:tc>
          <w:tcPr>
            <w:tcW w:w="110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162"/>
        </w:trPr>
        <w:tc>
          <w:tcPr>
            <w:tcW w:w="6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Annualized cash management fee rate </w:t>
            </w:r>
            <w:r>
              <w:rPr>
                <w:rFonts w:ascii="Arial" w:cs="Arial" w:eastAsia="Arial" w:hAnsi="Arial"/>
                <w:sz w:val="14"/>
                <w:szCs w:val="14"/>
                <w:color w:val="auto"/>
                <w:vertAlign w:val="superscript"/>
              </w:rPr>
              <w:t>(2)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0.62 %</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(0.02)%</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ind w:left="260" w:hanging="255"/>
        <w:spacing w:after="0"/>
        <w:tabs>
          <w:tab w:leader="none" w:pos="2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Annualized cash management fee rate is calculated by annualizing revenue for the given period and dividing by the applicable average asset balance.</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Cash management revenue increased by $40.8 million, or 18%, for the fiscal year ended January 31, 2026 compared to the prior fiscal year. The increase in cash management revenue was primarily attributable to a 22% increase in the average balance of cash management assets for the fiscal year ended January 31, 2026 compared to the prior fiscal year. The annualized cash management fee rate declined by 4% for the fiscal year ended January 31, 2026 compared to the prior year. The compression in our cash management fee rate during the period primarily resulted from two factors: our strategic practice of maintaining client interest rates for a standard grace period (typically seven calendar days) following a Federal Reserve rate cut, and the inherent mathematical impact of converting annual percentage rates (APR) to annual percentage yields (APY) in a declining rate environment. These temporary yield protections are designed to enhance client trust and retention, though they result in a short-term reduction in the net fee captured.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Investment Advisory</w:t>
      </w:r>
      <w:r>
        <w:rPr>
          <w:rFonts w:ascii="Arial" w:cs="Arial" w:eastAsia="Arial" w:hAnsi="Arial"/>
          <w:sz w:val="18"/>
          <w:szCs w:val="18"/>
          <w:i w:val="1"/>
          <w:iCs w:val="1"/>
          <w:color w:val="auto"/>
          <w:vertAlign w:val="superscript"/>
        </w:rPr>
        <w:t>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80" w:type="dxa"/>
            <w:vAlign w:val="bottom"/>
          </w:tcPr>
          <w:p>
            <w:pPr>
              <w:spacing w:after="0"/>
              <w:rPr>
                <w:sz w:val="13"/>
                <w:szCs w:val="13"/>
                <w:color w:val="auto"/>
              </w:rPr>
            </w:pPr>
          </w:p>
        </w:tc>
        <w:tc>
          <w:tcPr>
            <w:tcW w:w="2680" w:type="dxa"/>
            <w:vAlign w:val="bottom"/>
            <w:tcBorders>
              <w:bottom w:val="single" w:sz="8" w:color="auto"/>
            </w:tcBorders>
            <w:gridSpan w:val="4"/>
          </w:tcPr>
          <w:p>
            <w:pPr>
              <w:ind w:left="460"/>
              <w:spacing w:after="0"/>
              <w:rPr>
                <w:sz w:val="20"/>
                <w:szCs w:val="20"/>
                <w:color w:val="auto"/>
              </w:rPr>
            </w:pPr>
            <w:r>
              <w:rPr>
                <w:rFonts w:ascii="Arial" w:cs="Arial" w:eastAsia="Arial" w:hAnsi="Arial"/>
                <w:sz w:val="11"/>
                <w:szCs w:val="11"/>
                <w:b w:val="1"/>
                <w:bCs w:val="1"/>
                <w:color w:val="auto"/>
              </w:rPr>
              <w:t>Fiscal Year Ended January 31,</w:t>
            </w:r>
          </w:p>
        </w:tc>
        <w:tc>
          <w:tcPr>
            <w:tcW w:w="1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 except annualized rate and percentages)</w:t>
            </w:r>
          </w:p>
        </w:tc>
        <w:tc>
          <w:tcPr>
            <w:tcW w:w="1200" w:type="dxa"/>
            <w:vAlign w:val="bottom"/>
            <w:tcBorders>
              <w:bottom w:val="single" w:sz="8" w:color="929292"/>
            </w:tcBorders>
          </w:tcPr>
          <w:p>
            <w:pPr>
              <w:ind w:left="480"/>
              <w:spacing w:after="0"/>
              <w:rPr>
                <w:sz w:val="20"/>
                <w:szCs w:val="20"/>
                <w:color w:val="auto"/>
              </w:rPr>
            </w:pPr>
            <w:r>
              <w:rPr>
                <w:rFonts w:ascii="Arial" w:cs="Arial" w:eastAsia="Arial" w:hAnsi="Arial"/>
                <w:sz w:val="11"/>
                <w:szCs w:val="11"/>
                <w:b w:val="1"/>
                <w:bCs w:val="1"/>
                <w:color w:val="auto"/>
              </w:rPr>
              <w:t>2026</w:t>
            </w:r>
          </w:p>
        </w:tc>
        <w:tc>
          <w:tcPr>
            <w:tcW w:w="140" w:type="dxa"/>
            <w:vAlign w:val="bottom"/>
            <w:tcBorders>
              <w:bottom w:val="single" w:sz="8" w:color="CCEEFF"/>
            </w:tcBorders>
          </w:tcPr>
          <w:p>
            <w:pPr>
              <w:spacing w:after="0"/>
              <w:rPr>
                <w:sz w:val="13"/>
                <w:szCs w:val="13"/>
                <w:color w:val="auto"/>
              </w:rPr>
            </w:pPr>
          </w:p>
        </w:tc>
        <w:tc>
          <w:tcPr>
            <w:tcW w:w="1180" w:type="dxa"/>
            <w:vAlign w:val="bottom"/>
            <w:tcBorders>
              <w:bottom w:val="single" w:sz="8" w:color="929292"/>
            </w:tcBorders>
          </w:tcPr>
          <w:p>
            <w:pPr>
              <w:jc w:val="right"/>
              <w:ind w:right="403"/>
              <w:spacing w:after="0"/>
              <w:rPr>
                <w:sz w:val="20"/>
                <w:szCs w:val="20"/>
                <w:color w:val="auto"/>
              </w:rPr>
            </w:pPr>
            <w:r>
              <w:rPr>
                <w:rFonts w:ascii="Arial" w:cs="Arial" w:eastAsia="Arial" w:hAnsi="Arial"/>
                <w:sz w:val="11"/>
                <w:szCs w:val="11"/>
                <w:b w:val="1"/>
                <w:bCs w:val="1"/>
                <w:color w:val="auto"/>
              </w:rPr>
              <w:t>2025</w:t>
            </w:r>
          </w:p>
        </w:tc>
        <w:tc>
          <w:tcPr>
            <w:tcW w:w="160" w:type="dxa"/>
            <w:vAlign w:val="bottom"/>
            <w:tcBorders>
              <w:bottom w:val="single" w:sz="8" w:color="CCEEFF"/>
            </w:tcBorders>
          </w:tcPr>
          <w:p>
            <w:pPr>
              <w:spacing w:after="0"/>
              <w:rPr>
                <w:sz w:val="13"/>
                <w:szCs w:val="13"/>
                <w:color w:val="auto"/>
              </w:rPr>
            </w:pPr>
          </w:p>
        </w:tc>
        <w:tc>
          <w:tcPr>
            <w:tcW w:w="1420" w:type="dxa"/>
            <w:vAlign w:val="bottom"/>
            <w:tcBorders>
              <w:bottom w:val="single" w:sz="8" w:color="929292"/>
            </w:tcBorders>
          </w:tcPr>
          <w:p>
            <w:pPr>
              <w:jc w:val="right"/>
              <w:ind w:right="563"/>
              <w:spacing w:after="0"/>
              <w:rPr>
                <w:sz w:val="20"/>
                <w:szCs w:val="20"/>
                <w:color w:val="auto"/>
              </w:rPr>
            </w:pPr>
            <w:r>
              <w:rPr>
                <w:rFonts w:ascii="Arial" w:cs="Arial" w:eastAsia="Arial" w:hAnsi="Arial"/>
                <w:sz w:val="11"/>
                <w:szCs w:val="11"/>
                <w:b w:val="1"/>
                <w:bCs w:val="1"/>
                <w:color w:val="auto"/>
              </w:rPr>
              <w:t>Change</w:t>
            </w:r>
          </w:p>
        </w:tc>
        <w:tc>
          <w:tcPr>
            <w:tcW w:w="1100" w:type="dxa"/>
            <w:vAlign w:val="bottom"/>
            <w:tcBorders>
              <w:bottom w:val="single" w:sz="8" w:color="929292"/>
            </w:tcBorders>
          </w:tcPr>
          <w:p>
            <w:pPr>
              <w:jc w:val="right"/>
              <w:ind w:right="26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6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Investment advisory assets (off-balance sheet), beginning of the period</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$37,764</w:t>
            </w: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$28,240</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$9,524</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34 %</w:t>
            </w:r>
          </w:p>
        </w:tc>
      </w:tr>
      <w:tr>
        <w:trPr>
          <w:trHeight w:val="156"/>
        </w:trPr>
        <w:tc>
          <w:tcPr>
            <w:tcW w:w="6080" w:type="dxa"/>
            <w:vAlign w:val="bottom"/>
          </w:tcPr>
          <w:p>
            <w:pPr>
              <w:ind w:left="20"/>
              <w:spacing w:after="0"/>
              <w:rPr>
                <w:sz w:val="20"/>
                <w:szCs w:val="20"/>
                <w:color w:val="auto"/>
              </w:rPr>
            </w:pPr>
            <w:r>
              <w:rPr>
                <w:rFonts w:ascii="Arial" w:cs="Arial" w:eastAsia="Arial" w:hAnsi="Arial"/>
                <w:sz w:val="11"/>
                <w:szCs w:val="11"/>
                <w:color w:val="auto"/>
              </w:rPr>
              <w:t>Investment advisory assets (off-balance sheet), end of the period</w:t>
            </w:r>
          </w:p>
        </w:tc>
        <w:tc>
          <w:tcPr>
            <w:tcW w:w="1200" w:type="dxa"/>
            <w:vAlign w:val="bottom"/>
          </w:tcPr>
          <w:p>
            <w:pPr>
              <w:jc w:val="right"/>
              <w:ind w:right="103"/>
              <w:spacing w:after="0"/>
              <w:rPr>
                <w:sz w:val="20"/>
                <w:szCs w:val="20"/>
                <w:color w:val="auto"/>
              </w:rPr>
            </w:pPr>
            <w:r>
              <w:rPr>
                <w:rFonts w:ascii="Arial" w:cs="Arial" w:eastAsia="Arial" w:hAnsi="Arial"/>
                <w:sz w:val="11"/>
                <w:szCs w:val="11"/>
                <w:color w:val="auto"/>
              </w:rPr>
              <w:t>48,745</w:t>
            </w:r>
          </w:p>
        </w:tc>
        <w:tc>
          <w:tcPr>
            <w:tcW w:w="14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37,764</w:t>
            </w:r>
          </w:p>
        </w:tc>
        <w:tc>
          <w:tcPr>
            <w:tcW w:w="160" w:type="dxa"/>
            <w:vAlign w:val="bottom"/>
          </w:tcPr>
          <w:p>
            <w:pPr>
              <w:spacing w:after="0"/>
              <w:rPr>
                <w:sz w:val="13"/>
                <w:szCs w:val="13"/>
                <w:color w:val="auto"/>
              </w:rPr>
            </w:pPr>
          </w:p>
        </w:tc>
        <w:tc>
          <w:tcPr>
            <w:tcW w:w="1420" w:type="dxa"/>
            <w:vAlign w:val="bottom"/>
          </w:tcPr>
          <w:p>
            <w:pPr>
              <w:jc w:val="right"/>
              <w:ind w:right="323"/>
              <w:spacing w:after="0"/>
              <w:rPr>
                <w:sz w:val="20"/>
                <w:szCs w:val="20"/>
                <w:color w:val="auto"/>
              </w:rPr>
            </w:pPr>
            <w:r>
              <w:rPr>
                <w:rFonts w:ascii="Arial" w:cs="Arial" w:eastAsia="Arial" w:hAnsi="Arial"/>
                <w:sz w:val="11"/>
                <w:szCs w:val="11"/>
                <w:color w:val="auto"/>
              </w:rPr>
              <w:t>10,981</w:t>
            </w:r>
          </w:p>
        </w:tc>
        <w:tc>
          <w:tcPr>
            <w:tcW w:w="1100" w:type="dxa"/>
            <w:vAlign w:val="bottom"/>
          </w:tcPr>
          <w:p>
            <w:pPr>
              <w:jc w:val="right"/>
              <w:spacing w:after="0"/>
              <w:rPr>
                <w:sz w:val="20"/>
                <w:szCs w:val="20"/>
                <w:color w:val="auto"/>
              </w:rPr>
            </w:pPr>
            <w:r>
              <w:rPr>
                <w:rFonts w:ascii="Arial" w:cs="Arial" w:eastAsia="Arial" w:hAnsi="Arial"/>
                <w:sz w:val="11"/>
                <w:szCs w:val="11"/>
                <w:color w:val="auto"/>
              </w:rPr>
              <w:t>29 %</w:t>
            </w:r>
          </w:p>
        </w:tc>
      </w:tr>
      <w:tr>
        <w:trPr>
          <w:trHeight w:val="162"/>
        </w:trPr>
        <w:tc>
          <w:tcPr>
            <w:tcW w:w="6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Average(1)</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43,255</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33,002</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10,253</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31 %</w:t>
            </w:r>
          </w:p>
        </w:tc>
      </w:tr>
      <w:tr>
        <w:trPr>
          <w:trHeight w:val="156"/>
        </w:trPr>
        <w:tc>
          <w:tcPr>
            <w:tcW w:w="6080" w:type="dxa"/>
            <w:vAlign w:val="bottom"/>
          </w:tcPr>
          <w:p>
            <w:pPr>
              <w:ind w:left="20"/>
              <w:spacing w:after="0"/>
              <w:rPr>
                <w:sz w:val="20"/>
                <w:szCs w:val="20"/>
                <w:color w:val="auto"/>
              </w:rPr>
            </w:pPr>
            <w:r>
              <w:rPr>
                <w:rFonts w:ascii="Arial" w:cs="Arial" w:eastAsia="Arial" w:hAnsi="Arial"/>
                <w:sz w:val="11"/>
                <w:szCs w:val="11"/>
                <w:color w:val="auto"/>
              </w:rPr>
              <w:t>Investment advisory revenue</w:t>
            </w:r>
          </w:p>
        </w:tc>
        <w:tc>
          <w:tcPr>
            <w:tcW w:w="1200" w:type="dxa"/>
            <w:vAlign w:val="bottom"/>
          </w:tcPr>
          <w:p>
            <w:pPr>
              <w:jc w:val="right"/>
              <w:ind w:right="103"/>
              <w:spacing w:after="0"/>
              <w:rPr>
                <w:sz w:val="20"/>
                <w:szCs w:val="20"/>
                <w:color w:val="auto"/>
              </w:rPr>
            </w:pPr>
            <w:r>
              <w:rPr>
                <w:rFonts w:ascii="Arial" w:cs="Arial" w:eastAsia="Arial" w:hAnsi="Arial"/>
                <w:sz w:val="11"/>
                <w:szCs w:val="11"/>
                <w:color w:val="auto"/>
              </w:rPr>
              <w:t>91.9</w:t>
            </w:r>
          </w:p>
        </w:tc>
        <w:tc>
          <w:tcPr>
            <w:tcW w:w="140" w:type="dxa"/>
            <w:vAlign w:val="bottom"/>
          </w:tcPr>
          <w:p>
            <w:pPr>
              <w:spacing w:after="0"/>
              <w:rPr>
                <w:sz w:val="13"/>
                <w:szCs w:val="13"/>
                <w:color w:val="auto"/>
              </w:rPr>
            </w:pPr>
          </w:p>
        </w:tc>
        <w:tc>
          <w:tcPr>
            <w:tcW w:w="1180" w:type="dxa"/>
            <w:vAlign w:val="bottom"/>
          </w:tcPr>
          <w:p>
            <w:pPr>
              <w:jc w:val="right"/>
              <w:ind w:right="83"/>
              <w:spacing w:after="0"/>
              <w:rPr>
                <w:sz w:val="20"/>
                <w:szCs w:val="20"/>
                <w:color w:val="auto"/>
              </w:rPr>
            </w:pPr>
            <w:r>
              <w:rPr>
                <w:rFonts w:ascii="Arial" w:cs="Arial" w:eastAsia="Arial" w:hAnsi="Arial"/>
                <w:sz w:val="11"/>
                <w:szCs w:val="11"/>
                <w:color w:val="auto"/>
              </w:rPr>
              <w:t>73.0</w:t>
            </w:r>
          </w:p>
        </w:tc>
        <w:tc>
          <w:tcPr>
            <w:tcW w:w="160" w:type="dxa"/>
            <w:vAlign w:val="bottom"/>
          </w:tcPr>
          <w:p>
            <w:pPr>
              <w:spacing w:after="0"/>
              <w:rPr>
                <w:sz w:val="13"/>
                <w:szCs w:val="13"/>
                <w:color w:val="auto"/>
              </w:rPr>
            </w:pPr>
          </w:p>
        </w:tc>
        <w:tc>
          <w:tcPr>
            <w:tcW w:w="1420" w:type="dxa"/>
            <w:vAlign w:val="bottom"/>
          </w:tcPr>
          <w:p>
            <w:pPr>
              <w:jc w:val="right"/>
              <w:ind w:right="323"/>
              <w:spacing w:after="0"/>
              <w:rPr>
                <w:sz w:val="20"/>
                <w:szCs w:val="20"/>
                <w:color w:val="auto"/>
              </w:rPr>
            </w:pPr>
            <w:r>
              <w:rPr>
                <w:rFonts w:ascii="Arial" w:cs="Arial" w:eastAsia="Arial" w:hAnsi="Arial"/>
                <w:sz w:val="11"/>
                <w:szCs w:val="11"/>
                <w:color w:val="auto"/>
              </w:rPr>
              <w:t>18.9</w:t>
            </w:r>
          </w:p>
        </w:tc>
        <w:tc>
          <w:tcPr>
            <w:tcW w:w="1100" w:type="dxa"/>
            <w:vAlign w:val="bottom"/>
          </w:tcPr>
          <w:p>
            <w:pPr>
              <w:jc w:val="right"/>
              <w:spacing w:after="0"/>
              <w:rPr>
                <w:sz w:val="20"/>
                <w:szCs w:val="20"/>
                <w:color w:val="auto"/>
              </w:rPr>
            </w:pPr>
            <w:r>
              <w:rPr>
                <w:rFonts w:ascii="Arial" w:cs="Arial" w:eastAsia="Arial" w:hAnsi="Arial"/>
                <w:sz w:val="11"/>
                <w:szCs w:val="11"/>
                <w:color w:val="auto"/>
              </w:rPr>
              <w:t>26 %</w:t>
            </w:r>
          </w:p>
        </w:tc>
      </w:tr>
      <w:tr>
        <w:trPr>
          <w:trHeight w:val="162"/>
        </w:trPr>
        <w:tc>
          <w:tcPr>
            <w:tcW w:w="6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Annualized investment advisory fee rate (2)</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0.21 %</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0.22 %</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(0.01)%</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Annualized investment advisory fee rate is calculated by annualizing revenue for the given period and dividing by the applicable average asset balance.</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Investment advisory revenue increased by $18.9 million, or 26%, for the fiscal year ended January 31, 2026 compared to the prior fiscal year. The increase in investment advisory revenue was primarily driven by a 31% increase in the average balance of investment advisory assets for the fiscal year ended January 31, 2026 compared to the prior fiscal year. The annualized investment advisory fee rate declined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77863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78635" cy="6985"/>
                    </a:xfrm>
                    <a:prstGeom prst="rect">
                      <a:avLst/>
                    </a:prstGeom>
                    <a:noFill/>
                  </pic:spPr>
                </pic:pic>
              </a:graphicData>
            </a:graphic>
          </wp:anchor>
        </w:drawing>
      </w:r>
    </w:p>
    <w:p>
      <w:pPr>
        <w:spacing w:after="0" w:line="136" w:lineRule="exact"/>
        <w:rPr>
          <w:sz w:val="20"/>
          <w:szCs w:val="20"/>
          <w:color w:val="auto"/>
        </w:rPr>
      </w:pPr>
    </w:p>
    <w:p>
      <w:pPr>
        <w:ind w:left="80" w:hanging="75"/>
        <w:spacing w:after="0"/>
        <w:tabs>
          <w:tab w:leader="none" w:pos="80"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We accrue and/or recognize cash management revenue on a daily basis. The chart shows resulting averages for the periods presented.</w:t>
      </w:r>
    </w:p>
    <w:p>
      <w:pPr>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4</w:t>
      </w:r>
      <w:r>
        <w:rPr>
          <w:rFonts w:ascii="Arial" w:cs="Arial" w:eastAsia="Arial" w:hAnsi="Arial"/>
          <w:sz w:val="13"/>
          <w:szCs w:val="13"/>
          <w:color w:val="auto"/>
        </w:rPr>
        <w:t xml:space="preserve"> We accrue and/or recognize investment advisory revenue on a daily basis. The chart shows resulting averages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by 4% for the fiscal year ended January 31, 2026, compared to the prior fiscal year. The annualized investment advisory fee rate for the fiscal year ended January 31, 2026 was consistent with the prior year when using the daily average balance instead of the simple average. Utilizing daily average balances neutralizes the impact of significant investment advisory asset appreciation and net deposits that were concentrated in the latter portion of the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revenue decreased by approximately $3.5 million, or 71% for the fiscal year ended January 31, 2026 compared to the prior fiscal year. The decline in other revenue was primarily due to the discontinuation of a product offering in November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Costs and Operating Expenses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ind w:left="340"/>
              <w:spacing w:after="0"/>
              <w:rPr>
                <w:sz w:val="20"/>
                <w:szCs w:val="20"/>
                <w:color w:val="auto"/>
              </w:rPr>
            </w:pPr>
            <w:r>
              <w:rPr>
                <w:rFonts w:ascii="Arial" w:cs="Arial" w:eastAsia="Arial" w:hAnsi="Arial"/>
                <w:sz w:val="11"/>
                <w:szCs w:val="11"/>
                <w:b w:val="1"/>
                <w:bCs w:val="1"/>
                <w:color w:val="auto"/>
              </w:rPr>
              <w:t>Fiscal Year Ended January 31,</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71"/>
        </w:trPr>
        <w:tc>
          <w:tcPr>
            <w:tcW w:w="50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40" w:type="dxa"/>
            <w:vAlign w:val="bottom"/>
          </w:tcPr>
          <w:p>
            <w:pPr>
              <w:spacing w:after="0"/>
              <w:rPr>
                <w:sz w:val="14"/>
                <w:szCs w:val="14"/>
                <w:color w:val="auto"/>
              </w:rPr>
            </w:pPr>
          </w:p>
        </w:tc>
        <w:tc>
          <w:tcPr>
            <w:tcW w:w="1120" w:type="dxa"/>
            <w:vAlign w:val="bottom"/>
          </w:tcPr>
          <w:p>
            <w:pPr>
              <w:jc w:val="right"/>
              <w:ind w:right="54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4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560" w:type="dxa"/>
            <w:vAlign w:val="bottom"/>
          </w:tcPr>
          <w:p>
            <w:pPr>
              <w:jc w:val="right"/>
              <w:ind w:right="44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3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38,007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30,964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7,043</w:t>
            </w: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23 %</w:t>
            </w:r>
          </w:p>
        </w:tc>
      </w:tr>
      <w:tr>
        <w:trPr>
          <w:trHeight w:val="156"/>
        </w:trPr>
        <w:tc>
          <w:tcPr>
            <w:tcW w:w="5020" w:type="dxa"/>
            <w:vAlign w:val="bottom"/>
          </w:tcPr>
          <w:p>
            <w:pPr>
              <w:ind w:left="20"/>
              <w:spacing w:after="0"/>
              <w:rPr>
                <w:sz w:val="20"/>
                <w:szCs w:val="20"/>
                <w:color w:val="auto"/>
              </w:rPr>
            </w:pPr>
            <w:r>
              <w:rPr>
                <w:rFonts w:ascii="Arial" w:cs="Arial" w:eastAsia="Arial" w:hAnsi="Arial"/>
                <w:sz w:val="11"/>
                <w:szCs w:val="11"/>
                <w:color w:val="auto"/>
              </w:rPr>
              <w:t>Product development</w:t>
            </w:r>
          </w:p>
        </w:tc>
        <w:tc>
          <w:tcPr>
            <w:tcW w:w="3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212,437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64,515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Arial" w:cs="Arial" w:eastAsia="Arial" w:hAnsi="Arial"/>
                <w:sz w:val="11"/>
                <w:szCs w:val="11"/>
                <w:color w:val="auto"/>
              </w:rPr>
              <w:t>147,922</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229 %</w:t>
            </w:r>
          </w:p>
        </w:tc>
      </w:tr>
      <w:tr>
        <w:trPr>
          <w:trHeight w:val="162"/>
        </w:trPr>
        <w:tc>
          <w:tcPr>
            <w:tcW w:w="5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149,128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29,092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120,036</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413 %</w:t>
            </w:r>
          </w:p>
        </w:tc>
      </w:tr>
      <w:tr>
        <w:trPr>
          <w:trHeight w:val="156"/>
        </w:trPr>
        <w:tc>
          <w:tcPr>
            <w:tcW w:w="5020" w:type="dxa"/>
            <w:vAlign w:val="bottom"/>
          </w:tcPr>
          <w:p>
            <w:pPr>
              <w:ind w:left="20"/>
              <w:spacing w:after="0"/>
              <w:rPr>
                <w:sz w:val="20"/>
                <w:szCs w:val="20"/>
                <w:color w:val="auto"/>
              </w:rPr>
            </w:pPr>
            <w:r>
              <w:rPr>
                <w:rFonts w:ascii="Arial" w:cs="Arial" w:eastAsia="Arial" w:hAnsi="Arial"/>
                <w:sz w:val="11"/>
                <w:szCs w:val="11"/>
                <w:color w:val="auto"/>
              </w:rPr>
              <w:t>Marketing</w:t>
            </w:r>
          </w:p>
        </w:tc>
        <w:tc>
          <w:tcPr>
            <w:tcW w:w="3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51,755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52,196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(441)</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59"/>
        </w:trPr>
        <w:tc>
          <w:tcPr>
            <w:tcW w:w="50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Operations and support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24,836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10,619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14,217</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134 %</w:t>
            </w:r>
          </w:p>
        </w:tc>
      </w:tr>
      <w:tr>
        <w:trPr>
          <w:trHeight w:val="153"/>
        </w:trPr>
        <w:tc>
          <w:tcPr>
            <w:tcW w:w="5020" w:type="dxa"/>
            <w:vAlign w:val="bottom"/>
          </w:tcPr>
          <w:p>
            <w:pPr>
              <w:ind w:left="20"/>
              <w:spacing w:after="0"/>
              <w:rPr>
                <w:sz w:val="20"/>
                <w:szCs w:val="20"/>
                <w:color w:val="auto"/>
              </w:rPr>
            </w:pPr>
            <w:r>
              <w:rPr>
                <w:rFonts w:ascii="Arial" w:cs="Arial" w:eastAsia="Arial" w:hAnsi="Arial"/>
                <w:sz w:val="11"/>
                <w:szCs w:val="11"/>
                <w:color w:val="auto"/>
              </w:rPr>
              <w:t>Total costs and operating expenses</w:t>
            </w: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476,163</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187,386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288,777</w:t>
            </w:r>
          </w:p>
        </w:tc>
        <w:tc>
          <w:tcPr>
            <w:tcW w:w="80" w:type="dxa"/>
            <w:vAlign w:val="bottom"/>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154 %</w:t>
            </w: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increased by $7.0 million, or 23%, for the fiscal year ended January 31, 2026 compared to the prior fiscal year. The increase was primarily due to:</w:t>
      </w:r>
    </w:p>
    <w:p>
      <w:pPr>
        <w:spacing w:after="0" w:line="136" w:lineRule="exact"/>
        <w:rPr>
          <w:sz w:val="20"/>
          <w:szCs w:val="20"/>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increase of $3.2 million in cash management costs for the fiscal year ended January 31, 2026 compared to the prior fiscal year. The increase in cash management costs was primarily due to increased cash assets held by clients in the cash sweep program;</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increase of $2.3 million in brokerage platform fees for the fiscal year ended January 31, 2026 compared to the prior fiscal year. The increase in brokerage platform costs was primarily due to an increase in money movement volumes, clients and accounts; and</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 increase of $1.6 million in other cost of revenue for the fiscal year ended January 31, 2026 compared to the prior fiscal year due primarily to increased amortization of internally developed software.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“Components of Operations—Costs and Operating Expenses”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Product development expenses increased by $147.9 million, or 229%, for the fiscal year ended January 31, 2026 compared to the prior fiscal year. The increase was primarily due to an increase of $120.1 million in stock-based compensation due to IPO-triggered vesting of equity awards during the period. The increase was also due to an increase of $26.3 million in personnel-related expenses due to increased headcount,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General and administrative expenses increased by $120.0 million, or 413%, for the fiscal year ended January 31, 2026 compared to the prior fiscal year. The increase was primarily due to an increase of $108.6 million in stock-based compensation due to IPO-triggered vesting of equity awards during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00"/>
        <w:spacing w:after="0" w:line="472" w:lineRule="auto"/>
        <w:rPr>
          <w:sz w:val="20"/>
          <w:szCs w:val="20"/>
          <w:color w:val="auto"/>
        </w:rPr>
      </w:pPr>
      <w:r>
        <w:rPr>
          <w:rFonts w:ascii="Arial" w:cs="Arial" w:eastAsia="Arial" w:hAnsi="Arial"/>
          <w:sz w:val="14"/>
          <w:szCs w:val="14"/>
          <w:color w:val="auto"/>
        </w:rPr>
        <w:t xml:space="preserve">period. The increase was also due to an increase of $5.3 million in personnel-related expenses due to increased headcount and an increase of $3.6 million in professional fees. </w:t>
      </w:r>
      <w:r>
        <w:rPr>
          <w:rFonts w:ascii="Arial" w:cs="Arial" w:eastAsia="Arial" w:hAnsi="Arial"/>
          <w:sz w:val="14"/>
          <w:szCs w:val="14"/>
          <w:i w:val="1"/>
          <w:iCs w:val="1"/>
          <w:color w:val="auto"/>
        </w:rPr>
        <w:t>Marketing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Fiscal Year Ended January 31,</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71"/>
        </w:trPr>
        <w:tc>
          <w:tcPr>
            <w:tcW w:w="52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340" w:type="dxa"/>
            <w:vAlign w:val="bottom"/>
          </w:tcPr>
          <w:p>
            <w:pPr>
              <w:spacing w:after="0"/>
              <w:rPr>
                <w:sz w:val="14"/>
                <w:szCs w:val="14"/>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4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520" w:type="dxa"/>
            <w:vAlign w:val="bottom"/>
          </w:tcPr>
          <w:p>
            <w:pPr>
              <w:jc w:val="right"/>
              <w:ind w:right="42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Performance and brand advertising</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27,048</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30,953</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(3,905)</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56"/>
        </w:trPr>
        <w:tc>
          <w:tcPr>
            <w:tcW w:w="5200" w:type="dxa"/>
            <w:vAlign w:val="bottom"/>
          </w:tcPr>
          <w:p>
            <w:pPr>
              <w:ind w:left="20"/>
              <w:spacing w:after="0"/>
              <w:rPr>
                <w:sz w:val="20"/>
                <w:szCs w:val="20"/>
                <w:color w:val="auto"/>
              </w:rPr>
            </w:pPr>
            <w:r>
              <w:rPr>
                <w:rFonts w:ascii="Arial" w:cs="Arial" w:eastAsia="Arial" w:hAnsi="Arial"/>
                <w:sz w:val="11"/>
                <w:szCs w:val="11"/>
                <w:color w:val="auto"/>
              </w:rPr>
              <w:t>Client referral costs</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8,626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12,799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(4,174)</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62"/>
        </w:trPr>
        <w:tc>
          <w:tcPr>
            <w:tcW w:w="5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Personnel-related costs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9,145</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213 %</w:t>
            </w:r>
          </w:p>
        </w:tc>
      </w:tr>
      <w:tr>
        <w:trPr>
          <w:trHeight w:val="156"/>
        </w:trPr>
        <w:tc>
          <w:tcPr>
            <w:tcW w:w="5200" w:type="dxa"/>
            <w:vAlign w:val="bottom"/>
          </w:tcPr>
          <w:p>
            <w:pPr>
              <w:ind w:left="20"/>
              <w:spacing w:after="0"/>
              <w:rPr>
                <w:sz w:val="20"/>
                <w:szCs w:val="20"/>
                <w:color w:val="auto"/>
              </w:rPr>
            </w:pPr>
            <w:r>
              <w:rPr>
                <w:rFonts w:ascii="Arial" w:cs="Arial" w:eastAsia="Arial" w:hAnsi="Arial"/>
                <w:sz w:val="11"/>
                <w:szCs w:val="11"/>
                <w:color w:val="auto"/>
              </w:rPr>
              <w:t>Other marketing</w:t>
            </w: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1,958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3,619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(1,661)</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(46)%</w:t>
            </w:r>
          </w:p>
        </w:tc>
      </w:tr>
      <w:tr>
        <w:trPr>
          <w:trHeight w:val="159"/>
        </w:trPr>
        <w:tc>
          <w:tcPr>
            <w:tcW w:w="5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Allocated overhead</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695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541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154</w:t>
            </w:r>
          </w:p>
        </w:tc>
        <w:tc>
          <w:tcPr>
            <w:tcW w:w="8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28 %</w:t>
            </w:r>
          </w:p>
        </w:tc>
      </w:tr>
      <w:tr>
        <w:trPr>
          <w:trHeight w:val="153"/>
        </w:trPr>
        <w:tc>
          <w:tcPr>
            <w:tcW w:w="5200" w:type="dxa"/>
            <w:vAlign w:val="bottom"/>
          </w:tcPr>
          <w:p>
            <w:pPr>
              <w:ind w:left="20"/>
              <w:spacing w:after="0"/>
              <w:rPr>
                <w:sz w:val="20"/>
                <w:szCs w:val="20"/>
                <w:color w:val="auto"/>
              </w:rPr>
            </w:pPr>
            <w:r>
              <w:rPr>
                <w:rFonts w:ascii="Arial" w:cs="Arial" w:eastAsia="Arial" w:hAnsi="Arial"/>
                <w:sz w:val="11"/>
                <w:szCs w:val="11"/>
                <w:color w:val="auto"/>
              </w:rPr>
              <w:t>Total</w:t>
            </w: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51,755</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52,196</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(441)</w:t>
            </w:r>
          </w:p>
        </w:tc>
        <w:tc>
          <w:tcPr>
            <w:tcW w:w="80" w:type="dxa"/>
            <w:vAlign w:val="bottom"/>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Marketing expenses decreased by $ 0.4 million, or 1%, for the fiscal year ended January 31, 2026 compared to the prior fiscal year. The decrease was primarily due to a decrease of $8.1 million in advertising and client referral costs for the fiscal year ended January 31, 2026 compared to the prior fiscal year, partially offset by an increase of $7.9 million in stock-based compensation due to IPO-triggered vesting of equity awards.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Operations and Support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Operations and support expenses increased by $14.2 million, or 134%, for the fiscal year ended January 31, 2026 compared to the prior fiscal year. The increase was primarily due to an increase of $12.2 million in stock-based compensation due to IPO-triggered vesting of equity awards as well as an increase of $2.1 million in personnel-related expenses due to increased headcount.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80" w:type="dxa"/>
            <w:vAlign w:val="bottom"/>
          </w:tcPr>
          <w:p>
            <w:pPr>
              <w:spacing w:after="0"/>
              <w:rPr>
                <w:sz w:val="13"/>
                <w:szCs w:val="13"/>
                <w:color w:val="auto"/>
              </w:rPr>
            </w:pPr>
          </w:p>
        </w:tc>
        <w:tc>
          <w:tcPr>
            <w:tcW w:w="248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1"/>
                <w:szCs w:val="11"/>
                <w:b w:val="1"/>
                <w:bCs w:val="1"/>
                <w:color w:val="auto"/>
              </w:rPr>
              <w:t>Fiscal Year Ended January 31,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0"/>
        </w:trPr>
        <w:tc>
          <w:tcPr>
            <w:tcW w:w="518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1020" w:type="dxa"/>
            <w:vAlign w:val="bottom"/>
          </w:tcPr>
          <w:p>
            <w:pPr>
              <w:jc w:val="right"/>
              <w:ind w:right="123"/>
              <w:spacing w:after="0"/>
              <w:rPr>
                <w:sz w:val="20"/>
                <w:szCs w:val="20"/>
                <w:color w:val="auto"/>
              </w:rPr>
            </w:pPr>
            <w:r>
              <w:rPr>
                <w:rFonts w:ascii="Arial" w:cs="Arial" w:eastAsia="Arial" w:hAnsi="Arial"/>
                <w:sz w:val="11"/>
                <w:szCs w:val="11"/>
                <w:b w:val="1"/>
                <w:bCs w:val="1"/>
                <w:color w:val="auto"/>
              </w:rPr>
              <w:t>2026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b w:val="1"/>
                <w:bCs w:val="1"/>
                <w:color w:val="auto"/>
              </w:rPr>
              <w:t>2025</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520" w:type="dxa"/>
            <w:vAlign w:val="bottom"/>
          </w:tcPr>
          <w:p>
            <w:pPr>
              <w:jc w:val="right"/>
              <w:ind w:right="42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1020" w:type="dxa"/>
            <w:vAlign w:val="bottom"/>
            <w:tcBorders>
              <w:top w:val="single" w:sz="8" w:color="auto"/>
            </w:tcBorders>
            <w:shd w:val="clear" w:color="auto" w:fill="CCEEFF"/>
          </w:tcPr>
          <w:p>
            <w:pPr>
              <w:jc w:val="right"/>
              <w:ind w:right="8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891</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ind w:right="823"/>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2,810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(1,919)</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w:t>
            </w: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Interest expense decreased by $1.9 million, or 68%, for the fiscal year ended January 31, 2026 compared to the prior fiscal year. The decrease was primarily due to the repayment of the Bridge Loan in November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 (Income),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2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1"/>
                <w:szCs w:val="11"/>
                <w:b w:val="1"/>
                <w:bCs w:val="1"/>
                <w:color w:val="auto"/>
              </w:rPr>
              <w:t>Fiscal Year Ended January 31,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0"/>
        </w:trPr>
        <w:tc>
          <w:tcPr>
            <w:tcW w:w="52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900" w:type="dxa"/>
            <w:vAlign w:val="bottom"/>
          </w:tcPr>
          <w:p>
            <w:pPr>
              <w:jc w:val="right"/>
              <w:ind w:right="3"/>
              <w:spacing w:after="0"/>
              <w:rPr>
                <w:sz w:val="20"/>
                <w:szCs w:val="20"/>
                <w:color w:val="auto"/>
              </w:rPr>
            </w:pPr>
            <w:r>
              <w:rPr>
                <w:rFonts w:ascii="Arial" w:cs="Arial" w:eastAsia="Arial" w:hAnsi="Arial"/>
                <w:sz w:val="11"/>
                <w:szCs w:val="11"/>
                <w:b w:val="1"/>
                <w:bCs w:val="1"/>
                <w:color w:val="auto"/>
              </w:rPr>
              <w:t>2026</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Arial" w:cs="Arial" w:eastAsia="Arial" w:hAnsi="Arial"/>
                <w:sz w:val="11"/>
                <w:szCs w:val="11"/>
                <w:b w:val="1"/>
                <w:bCs w:val="1"/>
                <w:color w:val="auto"/>
              </w:rPr>
              <w:t>2025</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1"/>
                <w:szCs w:val="11"/>
                <w:b w:val="1"/>
                <w:bCs w:val="1"/>
                <w:color w:val="auto"/>
              </w:rPr>
              <w:t>$ Change</w:t>
            </w:r>
          </w:p>
        </w:tc>
        <w:tc>
          <w:tcPr>
            <w:tcW w:w="1500" w:type="dxa"/>
            <w:vAlign w:val="bottom"/>
          </w:tcPr>
          <w:p>
            <w:pPr>
              <w:jc w:val="right"/>
              <w:ind w:right="423"/>
              <w:spacing w:after="0"/>
              <w:rPr>
                <w:sz w:val="20"/>
                <w:szCs w:val="20"/>
                <w:color w:val="auto"/>
              </w:rPr>
            </w:pPr>
            <w:r>
              <w:rPr>
                <w:rFonts w:ascii="Arial" w:cs="Arial" w:eastAsia="Arial" w:hAnsi="Arial"/>
                <w:sz w:val="11"/>
                <w:szCs w:val="11"/>
                <w:b w:val="1"/>
                <w:bCs w:val="1"/>
                <w:color w:val="auto"/>
              </w:rPr>
              <w:t>% Change</w:t>
            </w:r>
          </w:p>
        </w:tc>
      </w:tr>
      <w:tr>
        <w:trPr>
          <w:trHeight w:val="15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expense (income), net</w:t>
            </w:r>
          </w:p>
        </w:tc>
        <w:tc>
          <w:tcPr>
            <w:tcW w:w="90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(10,813)</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(20,566)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9,753</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47 %</w:t>
            </w: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Other expense (income), net increased by $9.8 million, or 47%, for the fiscal year ended January 31, 2026 compared to the prior fiscal year. The increase was primarily due to an increase of $13.5 million in fair value change in convertible note, warrant liabilities, and SAFEs partially offset by an increase of $3.7 million in dividend income from corporate cash swept into a money market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(Benefit From)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34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66"/>
              <w:spacing w:after="0"/>
              <w:rPr>
                <w:sz w:val="20"/>
                <w:szCs w:val="20"/>
                <w:color w:val="auto"/>
              </w:rPr>
            </w:pPr>
            <w:r>
              <w:rPr>
                <w:rFonts w:ascii="Arial" w:cs="Arial" w:eastAsia="Arial" w:hAnsi="Arial"/>
                <w:sz w:val="11"/>
                <w:szCs w:val="11"/>
                <w:b w:val="1"/>
                <w:bCs w:val="1"/>
                <w:color w:val="auto"/>
              </w:rPr>
              <w:t>Fiscal Year Ended January 31,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53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2026</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b w:val="1"/>
                <w:bCs w:val="1"/>
                <w:color w:val="auto"/>
              </w:rPr>
              <w:t>2025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 Change</w:t>
            </w:r>
          </w:p>
        </w:tc>
        <w:tc>
          <w:tcPr>
            <w:tcW w:w="1360" w:type="dxa"/>
            <w:vAlign w:val="bottom"/>
          </w:tcPr>
          <w:p>
            <w:pPr>
              <w:ind w:left="400"/>
              <w:spacing w:after="0"/>
              <w:rPr>
                <w:sz w:val="20"/>
                <w:szCs w:val="20"/>
                <w:color w:val="auto"/>
              </w:rPr>
            </w:pPr>
            <w:r>
              <w:rPr>
                <w:rFonts w:ascii="Arial" w:cs="Arial" w:eastAsia="Arial" w:hAnsi="Arial"/>
                <w:sz w:val="11"/>
                <w:szCs w:val="11"/>
                <w:b w:val="1"/>
                <w:bCs w:val="1"/>
                <w:color w:val="auto"/>
              </w:rPr>
              <w:t>% Change</w:t>
            </w:r>
          </w:p>
        </w:tc>
      </w:tr>
      <w:tr>
        <w:trPr>
          <w:trHeight w:val="161"/>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900" w:type="dxa"/>
            <w:vAlign w:val="bottom"/>
            <w:tcBorders>
              <w:top w:val="single" w:sz="8" w:color="auto"/>
            </w:tcBorders>
            <w:shd w:val="clear" w:color="auto" w:fill="CCEEFF"/>
          </w:tcPr>
          <w:p>
            <w:pPr>
              <w:jc w:val="right"/>
              <w:ind w:right="763"/>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(59,182)</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766"/>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(55,218)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(3,964)</w:t>
            </w:r>
          </w:p>
        </w:tc>
        <w:tc>
          <w:tcPr>
            <w:tcW w:w="10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1"/>
                <w:szCs w:val="11"/>
                <w:color w:val="auto"/>
                <w:w w:val="93"/>
              </w:rPr>
              <w:t>NM</w:t>
            </w:r>
          </w:p>
        </w:tc>
      </w:tr>
      <w:tr>
        <w:trPr>
          <w:trHeight w:val="153"/>
        </w:trPr>
        <w:tc>
          <w:tcPr>
            <w:tcW w:w="5340" w:type="dxa"/>
            <w:vAlign w:val="bottom"/>
          </w:tcPr>
          <w:p>
            <w:pPr>
              <w:ind w:left="20"/>
              <w:spacing w:after="0"/>
              <w:rPr>
                <w:sz w:val="20"/>
                <w:szCs w:val="20"/>
                <w:color w:val="auto"/>
              </w:rPr>
            </w:pPr>
            <w:r>
              <w:rPr>
                <w:rFonts w:ascii="Arial" w:cs="Arial" w:eastAsia="Arial" w:hAnsi="Arial"/>
                <w:sz w:val="11"/>
                <w:szCs w:val="11"/>
                <w:color w:val="auto"/>
              </w:rPr>
              <w:t>Effective income tax rate</w:t>
            </w:r>
          </w:p>
        </w:tc>
        <w:tc>
          <w:tcPr>
            <w:tcW w:w="9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provision for (benefit from) income taxes decreased by $4.0 million for the fiscal year ended January 31, 2026 compared to the prior fiscal year, primarily due to the income tax benefit recorded on pre-tax losses for the fiscal year ended January 31, 2026, compared to the release of the valuation allowance on our U.S. federal and state deferred tax assets for the fiscal year ended January 31, 2025. For additional information, refer to Note 14. — Income Taxes to our consolidated financial statements included in this Form 10-K.</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Since inception, prior to our IPO, we have financed operations primarily through issuances of redeemable convertible preferred stock, borrowings, and cash flow from operating activities. On December 15, 2025, we completed our IPO, in which we issued 21,468,038 shares of common stock at a public offering price of $14.00 per share, resulting in net proceeds to us of approximately $282.1 million after deducting underwriting discounts and commissions but before deducting net settlement of equity awards in connection with the IPO and offering expenses payable by us. In addition, selling stockholders sold 13,147,346 shares of common stock in the IPO. We did not receive any proceeds from the sale of shares of common stock by selling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our primary sources of liquidity were our unrestricted cash and cash equivalents of $440.8 million.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we were party to a credit agreement with a third-party financial institution to provide a revolving line of up to $250.0 million with a maturity date of October 13, 2028 (the “Amended Revolver”). No amounts were outstanding under the Amended Revolver as of January 31, 2026</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Credit Facility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October 31, 2024, we entered into a credit agreement (the “Credit Agreement”) with Wells Fargo Bank, N.A., as administrative agent, Wells Fargo Securities, LLC, as sole lead arranger and sole bookrunner, the letter of credit issuers from time to time party thereto, and the lenders from time to time party thereto to provide a revolving line of up to $50.0 million with a maturity date of October 30, 2025. On October 14, 2025, the Credit Agreement was amended and restated (the “Amended and Restated Credit Agreement”) to provide for a revolving credit facility of up to $250.0 million, including a subfacility of up to $25.0 million for letters of credit. The Amended Revolver provided us with the right to increase commitments under the Amended Revolver in an aggregate principal amount not to exceed $100.0 million.</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under the Amended Revolver will incur interest, at our option at a rate per annum equal to either (i) a base rate determined by reference to the highest of (x) prime rate, (y) the federal funds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effective rate plus 0.50%, and (z) the adjusted daily Secured Overnight Financing Rate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0.25% per annum on the undrawn portion of the commitments under the Amended Revolver based on a consolidated total net leverage ratio less than 2.00 to 1.00, which increases to 0.375% per annum based on a consolidated total net leverage ratio greater than or equal to 2.00 to 1.00 but less than 3.00 to 1.00 and 0.50% per annum based on a consolidated total net leverage ratio greater than or equal to 3.00 to 1.00.</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Amended and Restated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Amended and Restated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Amended Revolver are guaranteed by certain wholly owned subsidiaries, including Wealthfront Advisers LLC and Wealthfront Software LLC, and subject to certain customary and other exceptions, are secured by liens on substantially all of our and the guarantors’ assets. The Amended Revolver is not guaranteed by Wealthfront Brokerage LLC, Wealthfront Home Lending LLC, or Wealthfront Strategies LLC, or secured by a lien on any of their assets. The Amended Revolver matures on October 13, 2028.</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December 5, 2025, we drew $200.0 million on the Amended Revolver in order to pay $140.9 million of anticipated tax withholding, inclusive of both employee and employer payroll taxes, and remittance obligations in connection with the RSU Net Settlement and used a portion of the net proceeds from the IPO to repay such indebtedness. The $140.9 million of anticipated tax withholding and remittance obligations in connection with the RSU Net Settlement reduced the net proceeds from the IPO that we retained. No amounts were outstanding under the Amended Revolver as of January 31, 2026.</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summarized consolidated cash flow information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7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b w:val="1"/>
                <w:bCs w:val="1"/>
                <w:color w:val="auto"/>
              </w:rPr>
              <w:t>Fiscal Year Ended January 31,</w:t>
            </w:r>
          </w:p>
        </w:tc>
        <w:tc>
          <w:tcPr>
            <w:tcW w:w="1340" w:type="dxa"/>
            <w:vAlign w:val="bottom"/>
            <w:tcBorders>
              <w:bottom w:val="single" w:sz="8" w:color="auto"/>
            </w:tcBorders>
          </w:tcPr>
          <w:p>
            <w:pPr>
              <w:spacing w:after="0"/>
              <w:rPr>
                <w:sz w:val="13"/>
                <w:szCs w:val="13"/>
                <w:color w:val="auto"/>
              </w:rPr>
            </w:pPr>
          </w:p>
        </w:tc>
      </w:tr>
      <w:tr>
        <w:trPr>
          <w:trHeight w:val="15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i w:val="1"/>
                <w:iCs w:val="1"/>
                <w:color w:val="auto"/>
              </w:rPr>
              <w:t>(in thousands, except percentages)</w:t>
            </w: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923"/>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23"/>
              <w:spacing w:after="0"/>
              <w:rPr>
                <w:sz w:val="20"/>
                <w:szCs w:val="20"/>
                <w:color w:val="auto"/>
              </w:rPr>
            </w:pPr>
            <w:r>
              <w:rPr>
                <w:rFonts w:ascii="Arial" w:cs="Arial" w:eastAsia="Arial" w:hAnsi="Arial"/>
                <w:sz w:val="11"/>
                <w:szCs w:val="11"/>
                <w:b w:val="1"/>
                <w:bCs w:val="1"/>
                <w:color w:val="auto"/>
              </w:rPr>
              <w:t>2025</w:t>
            </w: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540" w:type="dxa"/>
            <w:vAlign w:val="bottom"/>
            <w:shd w:val="clear" w:color="auto" w:fill="CCEEFF"/>
          </w:tcPr>
          <w:p>
            <w:pPr>
              <w:jc w:val="right"/>
              <w:ind w:right="403"/>
              <w:spacing w:after="0"/>
              <w:rPr>
                <w:sz w:val="20"/>
                <w:szCs w:val="20"/>
                <w:color w:val="auto"/>
              </w:rPr>
            </w:pPr>
            <w:r>
              <w:rPr>
                <w:rFonts w:ascii="Arial" w:cs="Arial" w:eastAsia="Arial" w:hAnsi="Arial"/>
                <w:sz w:val="11"/>
                <w:szCs w:val="11"/>
                <w:color w:val="auto"/>
                <w:w w:val="97"/>
              </w:rPr>
              <w:t>$</w:t>
            </w: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152,189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123,150</w:t>
            </w:r>
          </w:p>
        </w:tc>
      </w:tr>
      <w:tr>
        <w:trPr>
          <w:trHeight w:val="177"/>
        </w:trPr>
        <w:tc>
          <w:tcPr>
            <w:tcW w:w="678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5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1"/>
                <w:szCs w:val="11"/>
                <w:color w:val="auto"/>
              </w:rPr>
              <w:t>(1,138)</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(5,843)</w:t>
            </w:r>
          </w:p>
        </w:tc>
      </w:tr>
      <w:tr>
        <w:trPr>
          <w:trHeight w:val="184"/>
        </w:trPr>
        <w:tc>
          <w:tcPr>
            <w:tcW w:w="6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54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148,186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43053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05300" cy="698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operating activities was $152.2 million for the fiscal year ended January 31, 2026, primarily due to non-cash adjustments of $210.2 million, offset by net loss of $42.1 million and $15.9 million of changes in operating assets and liabilities. Non-cash adjustments of $210.2 million primarily reflect deferred income taxes, stock-based compensation, depreciation and amortization, non-cash lease expense, and fair value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operating activities was $ 123.2 million for the fiscal year ended January 31, 2025, primarily due to the net income of $194.4 million and changes in operating assets and liabilities of $10.0 million, offset by $54.2 million non-cash adjustments. Non-cash adjustments of $54.2 million primarily reflect deferred income taxes, stock-based compensation, depreciation and amortization, non-cash lease expense, and fair value changes.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used in investing activities was $1.1 million and $5.8 million, respectively, for the fiscal year ended January 31, 2026 and January 31, 2025, primarily due to $1.1 million of purchase of property, software, and equipment in the fiscal year ended January 31, 2026 and capitalized internally developed software of $5.3 million in the fiscal year ended January 31, 2025,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provided by financing activities was $148.2 million for the fiscal year ended January 31, 2026, primarily due to net proceeds from the issuance of common stock related to the IPO of $282.1 million, the issuance of common stock related to the ESPP of $0.2 million, and the exercise of stock options of $12.4 million, offset by taxes paid related to the net settlement of RSUs of $136.9 million, representing employee tax obligations, and equity issuance costs of $9.2 million.</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used in financing activities was $58.5 million for the fiscal year ended January 31, 2025, primarily due to repayment of our outstanding borrowings of $29.1 million and repurchases of common stock of $37.0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March 2026, our board of directors approved a share repurchase program with authorization to purchase up to $100.0 million of our outstanding common stock. Repurchases under the share repurchase program may be made in the open market, in privately negotiated transactions, or by other methods, with the amount and timing of repurchases to be determined at our discretion, depending on market conditions and corporate needs. Open market repurchases will be structured to occur in accordance with applicable federal securities laws, including within the pricing and volume requirements of Rule 10b-18 under the Exchange Act. We may also, from time to time, enter into Rule 10b5-1 plans to facilitate repurchases of our shares under this authorization. The share repurchase program does not obligate us to acquire any particular amount of our common stock, and may be modified, suspended, or terminated at any time at the discretion of our board of directors. We expect to fund repurchases with existing cash and cash equivalents and cash from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One of our subsidiaries, Wealthfront Brokerage LLC, is a broker-dealer subject to the SEC Uniform Net Capital Rule (Rule 15c3-1 under the Exchange Act), administered by the SEC and FINRA,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$250,000 or 2.0% of aggregate client debits (e.g., client-related receivables) as computed per Rule 15c3-3’s reserve formula. As of January 31, 2026, Wealthfront Brokerage LLC’s net capital was $150.3 million, which exceeded the alternative method minimum net capital requirement by $145.2 million.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principal contractual obligations as of January 31, 2026 include payments on minimum lease payments for operating leases. See Note 6. — Leases to the consolidated financial statements for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442" w:lineRule="auto"/>
        <w:rPr>
          <w:sz w:val="20"/>
          <w:szCs w:val="20"/>
          <w:color w:val="auto"/>
        </w:rPr>
      </w:pPr>
      <w:r>
        <w:rPr>
          <w:rFonts w:ascii="Arial" w:cs="Arial" w:eastAsia="Arial" w:hAnsi="Arial"/>
          <w:sz w:val="14"/>
          <w:szCs w:val="14"/>
          <w:color w:val="auto"/>
        </w:rPr>
        <w:t xml:space="preserve">fiscal years ended January 31, 2026 and 2025 included in this Form 10-K. As of January 31, 2026, the total future minimum lease payments for operating leases was $11.1 million. </w:t>
      </w:r>
      <w:r>
        <w:rPr>
          <w:rFonts w:ascii="Arial" w:cs="Arial" w:eastAsia="Arial" w:hAnsi="Arial"/>
          <w:sz w:val="14"/>
          <w:szCs w:val="14"/>
          <w:i w:val="1"/>
          <w:iCs w:val="1"/>
          <w:color w:val="auto"/>
        </w:rPr>
        <w:t>Purchase Commitments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enter into guarantees and other similar arrangements in the ordinary course of business. For information on these arrangements, see Note 8. — Commitments and Contingencies to the consolidated financial statements for the fiscal years ended January 31, 2026 and 2025 included in this Form 10-K. As of January 31, 2026, our non-cancelable purchase commitments primarily relate to our cloud computing services consisting of total future minimum service payments of $14.2 million.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Off-Balance Sheet Arrangements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Recent Accounting Pronouncements</w:t>
      </w:r>
    </w:p>
    <w:p>
      <w:pPr>
        <w:spacing w:after="0" w:line="147" w:lineRule="exact"/>
        <w:rPr>
          <w:sz w:val="20"/>
          <w:szCs w:val="20"/>
          <w:color w:val="auto"/>
        </w:rPr>
      </w:pPr>
    </w:p>
    <w:p>
      <w:pPr>
        <w:jc w:val="both"/>
        <w:spacing w:after="0" w:line="337" w:lineRule="auto"/>
        <w:rPr>
          <w:sz w:val="20"/>
          <w:szCs w:val="20"/>
          <w:color w:val="auto"/>
        </w:rPr>
      </w:pPr>
      <w:r>
        <w:rPr>
          <w:rFonts w:ascii="Arial" w:cs="Arial" w:eastAsia="Arial" w:hAnsi="Arial"/>
          <w:sz w:val="14"/>
          <w:szCs w:val="14"/>
          <w:color w:val="auto"/>
        </w:rPr>
        <w:t>See Note 2. — Summary of Significant Accounting Policies to the consolidated financial statements included in this Form 10-K for recently adopted accounting pronouncements and recently issued accounting pronouncements not yet adopted as of the date of this Form 10-K.</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Management’s discussion and analysis of our financial condition and results of operations is based on our consolidated financial statements and the related notes thereto, which have been prepared in accordance with GAAP. In preparing the consolidated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make significant judgments and estimates to determine any valuation allowance recorded against deferred tax assets.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as a component of income tax expense or benefit. We make adjustments to these uncertain tax positions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cash and cash equivalents as of January 31, 2026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spacing w:after="0" w:line="10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Market-Related Credit Risk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104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Audited Consolidated Financial Statements as of and for the Fiscal Years Ended January 31, 2026 and 2025</w:t>
            </w:r>
          </w:p>
        </w:tc>
        <w:tc>
          <w:tcPr>
            <w:tcW w:w="8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57"/>
        </w:trPr>
        <w:tc>
          <w:tcPr>
            <w:tcW w:w="10420" w:type="dxa"/>
            <w:vAlign w:val="bottom"/>
            <w:gridSpan w:val="7"/>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420" w:type="dxa"/>
            <w:vAlign w:val="bottom"/>
            <w:gridSpan w:val="7"/>
          </w:tcPr>
          <w:p>
            <w:pPr>
              <w:spacing w:after="0" w:line="153"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42)</w:t>
            </w:r>
          </w:p>
        </w:tc>
        <w:tc>
          <w:tcPr>
            <w:tcW w:w="840" w:type="dxa"/>
            <w:vAlign w:val="bottom"/>
            <w:gridSpan w:val="4"/>
          </w:tcPr>
          <w:p>
            <w:pPr>
              <w:jc w:val="right"/>
              <w:ind w:right="20"/>
              <w:spacing w:after="0" w:line="153" w:lineRule="exact"/>
              <w:rPr>
                <w:sz w:val="20"/>
                <w:szCs w:val="20"/>
                <w:color w:val="auto"/>
              </w:rPr>
            </w:pPr>
            <w:r>
              <w:rPr>
                <w:rFonts w:ascii="Arial" w:cs="Arial" w:eastAsia="Arial" w:hAnsi="Arial"/>
                <w:sz w:val="14"/>
                <w:szCs w:val="14"/>
                <w:color w:val="0000FF"/>
              </w:rPr>
              <w:t>95</w:t>
            </w: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60" w:type="dxa"/>
            <w:vAlign w:val="bottom"/>
          </w:tcPr>
          <w:p>
            <w:pPr>
              <w:spacing w:after="0"/>
              <w:rPr>
                <w:sz w:val="20"/>
                <w:szCs w:val="20"/>
                <w:color w:val="auto"/>
              </w:rPr>
            </w:pPr>
            <w:r>
              <w:rPr>
                <w:rFonts w:ascii="Arial" w:cs="Arial" w:eastAsia="Arial" w:hAnsi="Arial"/>
                <w:sz w:val="14"/>
                <w:szCs w:val="14"/>
                <w:color w:val="0000FF"/>
              </w:rPr>
              <w:t>Consolidated Balance Sheets</w:t>
            </w:r>
          </w:p>
        </w:tc>
        <w:tc>
          <w:tcPr>
            <w:tcW w:w="1760" w:type="dxa"/>
            <w:vAlign w:val="bottom"/>
            <w:gridSpan w:val="4"/>
          </w:tcPr>
          <w:p>
            <w:pPr>
              <w:spacing w:after="0"/>
              <w:rPr>
                <w:sz w:val="13"/>
                <w:szCs w:val="13"/>
                <w:color w:val="auto"/>
              </w:rPr>
            </w:pPr>
          </w:p>
        </w:tc>
        <w:tc>
          <w:tcPr>
            <w:tcW w:w="6800" w:type="dxa"/>
            <w:vAlign w:val="bottom"/>
            <w:gridSpan w:val="2"/>
          </w:tcPr>
          <w:p>
            <w:pPr>
              <w:spacing w:after="0"/>
              <w:rPr>
                <w:sz w:val="13"/>
                <w:szCs w:val="13"/>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0000FF"/>
              </w:rPr>
              <w:t>96</w:t>
            </w: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20" w:type="dxa"/>
            <w:vAlign w:val="bottom"/>
            <w:gridSpan w:val="7"/>
          </w:tcPr>
          <w:p>
            <w:pPr>
              <w:spacing w:after="0"/>
              <w:rPr>
                <w:sz w:val="20"/>
                <w:szCs w:val="20"/>
                <w:color w:val="auto"/>
              </w:rPr>
            </w:pPr>
            <w:r>
              <w:rPr>
                <w:rFonts w:ascii="Arial" w:cs="Arial" w:eastAsia="Arial" w:hAnsi="Arial"/>
                <w:sz w:val="14"/>
                <w:szCs w:val="14"/>
                <w:color w:val="0000FF"/>
              </w:rPr>
              <w:t>Consolidated Statements of Operations</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0000FF"/>
              </w:rPr>
              <w:t>97</w:t>
            </w: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20" w:type="dxa"/>
            <w:vAlign w:val="bottom"/>
            <w:gridSpan w:val="7"/>
          </w:tcPr>
          <w:p>
            <w:pPr>
              <w:spacing w:after="0"/>
              <w:rPr>
                <w:sz w:val="20"/>
                <w:szCs w:val="20"/>
                <w:color w:val="auto"/>
              </w:rPr>
            </w:pPr>
            <w:r>
              <w:rPr>
                <w:rFonts w:ascii="Arial" w:cs="Arial" w:eastAsia="Arial" w:hAnsi="Arial"/>
                <w:sz w:val="14"/>
                <w:szCs w:val="14"/>
                <w:color w:val="0000FF"/>
              </w:rPr>
              <w:t>Consolidated Statements of Redeemable Convertible Preferred Stock and Stockholders’ Equity (Deficit</w:t>
            </w:r>
            <w:r>
              <w:rPr>
                <w:rFonts w:ascii="Arial" w:cs="Arial" w:eastAsia="Arial" w:hAnsi="Arial"/>
                <w:sz w:val="14"/>
                <w:szCs w:val="14"/>
                <w:color w:val="000000"/>
              </w:rPr>
              <w:t>)</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0000FF"/>
              </w:rPr>
              <w:t>98</w:t>
            </w: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520" w:type="dxa"/>
            <w:vAlign w:val="bottom"/>
            <w:gridSpan w:val="3"/>
          </w:tcPr>
          <w:p>
            <w:pPr>
              <w:spacing w:after="0"/>
              <w:rPr>
                <w:sz w:val="20"/>
                <w:szCs w:val="20"/>
                <w:color w:val="auto"/>
              </w:rPr>
            </w:pPr>
            <w:r>
              <w:rPr>
                <w:rFonts w:ascii="Arial" w:cs="Arial" w:eastAsia="Arial" w:hAnsi="Arial"/>
                <w:sz w:val="14"/>
                <w:szCs w:val="14"/>
                <w:color w:val="0000FF"/>
              </w:rPr>
              <w:t>Consolidated Statements of Cash Flows</w:t>
            </w:r>
          </w:p>
        </w:tc>
        <w:tc>
          <w:tcPr>
            <w:tcW w:w="3900" w:type="dxa"/>
            <w:vAlign w:val="bottom"/>
            <w:gridSpan w:val="3"/>
          </w:tcPr>
          <w:p>
            <w:pPr>
              <w:spacing w:after="0"/>
              <w:rPr>
                <w:sz w:val="13"/>
                <w:szCs w:val="13"/>
                <w:color w:val="auto"/>
              </w:rPr>
            </w:pPr>
          </w:p>
        </w:tc>
        <w:tc>
          <w:tcPr>
            <w:tcW w:w="4000" w:type="dxa"/>
            <w:vAlign w:val="bottom"/>
          </w:tcPr>
          <w:p>
            <w:pPr>
              <w:spacing w:after="0"/>
              <w:rPr>
                <w:sz w:val="13"/>
                <w:szCs w:val="13"/>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color w:val="0000FF"/>
              </w:rPr>
              <w:t>99</w:t>
            </w: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760" w:type="dxa"/>
            <w:vAlign w:val="bottom"/>
            <w:gridSpan w:val="4"/>
          </w:tcPr>
          <w:p>
            <w:pPr>
              <w:spacing w:after="0"/>
              <w:rPr>
                <w:sz w:val="20"/>
                <w:szCs w:val="20"/>
                <w:color w:val="auto"/>
              </w:rPr>
            </w:pPr>
            <w:r>
              <w:rPr>
                <w:rFonts w:ascii="Arial" w:cs="Arial" w:eastAsia="Arial" w:hAnsi="Arial"/>
                <w:sz w:val="14"/>
                <w:szCs w:val="14"/>
                <w:color w:val="0000FF"/>
              </w:rPr>
              <w:t>Notes to Consolidated Financial Statements</w:t>
            </w:r>
          </w:p>
        </w:tc>
        <w:tc>
          <w:tcPr>
            <w:tcW w:w="7660" w:type="dxa"/>
            <w:vAlign w:val="bottom"/>
            <w:gridSpan w:val="3"/>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0000FF"/>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40" w:firstLine="3247"/>
        <w:spacing w:after="0" w:line="543"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Stockholders and the Board of Directors of Wealthfront Corporation </w:t>
      </w:r>
      <w:r>
        <w:rPr>
          <w:rFonts w:ascii="Arial" w:cs="Arial" w:eastAsia="Arial" w:hAnsi="Arial"/>
          <w:sz w:val="14"/>
          <w:szCs w:val="14"/>
          <w:b w:val="1"/>
          <w:bCs w:val="1"/>
          <w:color w:val="auto"/>
        </w:rPr>
        <w:t>Opinion on the Financial Statements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Wealthfront Corporation (the Company) as of January 31, 2026 and 2025, the related consolidated statements of operations, redeemable convertible preferred stock and stockholders’ equity (deficit)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2025, and the results of its operations and its cash flows for each of the three years in the period ended January 31, 2026, in conformity with U.S. generally accepted accounting principles.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April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540" w:type="dxa"/>
            <w:vAlign w:val="bottom"/>
          </w:tcPr>
          <w:p>
            <w:pPr>
              <w:ind w:left="40"/>
              <w:spacing w:after="0"/>
              <w:rPr>
                <w:sz w:val="20"/>
                <w:szCs w:val="20"/>
                <w:color w:val="auto"/>
              </w:rPr>
            </w:pPr>
            <w:r>
              <w:rPr>
                <w:rFonts w:ascii="Arial" w:cs="Arial" w:eastAsia="Arial" w:hAnsi="Arial"/>
                <w:sz w:val="11"/>
                <w:szCs w:val="11"/>
                <w:i w:val="1"/>
                <w:iCs w:val="1"/>
                <w:color w:val="auto"/>
              </w:rPr>
              <w:t>(in thousands, except shares and per share data)</w:t>
            </w:r>
          </w:p>
        </w:tc>
        <w:tc>
          <w:tcPr>
            <w:tcW w:w="220" w:type="dxa"/>
            <w:vAlign w:val="bottom"/>
          </w:tcPr>
          <w:p>
            <w:pPr>
              <w:spacing w:after="0"/>
              <w:rPr>
                <w:sz w:val="12"/>
                <w:szCs w:val="12"/>
                <w:color w:val="auto"/>
              </w:rPr>
            </w:pP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20" w:type="dxa"/>
            <w:vAlign w:val="bottom"/>
          </w:tcPr>
          <w:p>
            <w:pPr>
              <w:spacing w:after="0"/>
              <w:rPr>
                <w:sz w:val="12"/>
                <w:szCs w:val="12"/>
                <w:color w:val="auto"/>
              </w:rPr>
            </w:pPr>
          </w:p>
        </w:tc>
        <w:tc>
          <w:tcPr>
            <w:tcW w:w="1100" w:type="dxa"/>
            <w:vAlign w:val="bottom"/>
          </w:tcPr>
          <w:p>
            <w:pPr>
              <w:jc w:val="right"/>
              <w:ind w:right="307"/>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1"/>
        </w:trPr>
        <w:tc>
          <w:tcPr>
            <w:tcW w:w="8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7"/>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7"/>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31"/>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440,805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142,860</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Cash segregated and on deposit for regulatory purposes</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10,375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9,083</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from clients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227,413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118,518</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Accounts receivable</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33,127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29,127</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Client-held fractional shares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514,877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44"/>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current assets</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49,187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18,805</w:t>
            </w:r>
          </w:p>
        </w:tc>
        <w:tc>
          <w:tcPr>
            <w:tcW w:w="0" w:type="dxa"/>
            <w:vAlign w:val="bottom"/>
          </w:tcPr>
          <w:p>
            <w:pPr>
              <w:spacing w:after="0"/>
              <w:rPr>
                <w:sz w:val="1"/>
                <w:szCs w:val="1"/>
                <w:color w:val="auto"/>
              </w:rPr>
            </w:pPr>
          </w:p>
        </w:tc>
      </w:tr>
      <w:tr>
        <w:trPr>
          <w:trHeight w:val="143"/>
        </w:trPr>
        <w:tc>
          <w:tcPr>
            <w:tcW w:w="85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assets</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1,275,784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346,450</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Deferred tax assets, net</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119,749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60,194</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8,696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11,229</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Property, software, and equipment, net</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7,755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14,723</w:t>
            </w:r>
          </w:p>
        </w:tc>
        <w:tc>
          <w:tcPr>
            <w:tcW w:w="0" w:type="dxa"/>
            <w:vAlign w:val="bottom"/>
          </w:tcPr>
          <w:p>
            <w:pPr>
              <w:spacing w:after="0"/>
              <w:rPr>
                <w:sz w:val="1"/>
                <w:szCs w:val="1"/>
                <w:color w:val="auto"/>
              </w:rPr>
            </w:pPr>
          </w:p>
        </w:tc>
      </w:tr>
      <w:tr>
        <w:trPr>
          <w:trHeight w:val="149"/>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3,745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2,610</w:t>
            </w:r>
          </w:p>
        </w:tc>
        <w:tc>
          <w:tcPr>
            <w:tcW w:w="0" w:type="dxa"/>
            <w:vAlign w:val="bottom"/>
          </w:tcPr>
          <w:p>
            <w:pPr>
              <w:spacing w:after="0"/>
              <w:rPr>
                <w:sz w:val="1"/>
                <w:szCs w:val="1"/>
                <w:color w:val="auto"/>
              </w:rPr>
            </w:pPr>
          </w:p>
        </w:tc>
      </w:tr>
      <w:tr>
        <w:trPr>
          <w:trHeight w:val="143"/>
        </w:trPr>
        <w:tc>
          <w:tcPr>
            <w:tcW w:w="8540" w:type="dxa"/>
            <w:vAlign w:val="bottom"/>
          </w:tcPr>
          <w:p>
            <w:pPr>
              <w:ind w:left="360"/>
              <w:spacing w:after="0"/>
              <w:rPr>
                <w:sz w:val="20"/>
                <w:szCs w:val="20"/>
                <w:color w:val="auto"/>
              </w:rPr>
            </w:pPr>
            <w:r>
              <w:rPr>
                <w:rFonts w:ascii="Arial" w:cs="Arial" w:eastAsia="Arial" w:hAnsi="Arial"/>
                <w:sz w:val="11"/>
                <w:szCs w:val="11"/>
                <w:color w:val="auto"/>
              </w:rPr>
              <w:t>Total assets</w:t>
            </w: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1,415,729</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54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b w:val="1"/>
                <w:bCs w:val="1"/>
                <w:color w:val="auto"/>
              </w:rPr>
              <w:t>Liabilities, redeemable convertible preferred stock, and stockholders’ equity</w:t>
            </w: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7,299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6,467</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8,830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7,517</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to clients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30,209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9,452</w:t>
            </w:r>
          </w:p>
        </w:tc>
        <w:tc>
          <w:tcPr>
            <w:tcW w:w="0" w:type="dxa"/>
            <w:vAlign w:val="bottom"/>
          </w:tcPr>
          <w:p>
            <w:pPr>
              <w:spacing w:after="0"/>
              <w:rPr>
                <w:sz w:val="1"/>
                <w:szCs w:val="1"/>
                <w:color w:val="auto"/>
              </w:rPr>
            </w:pPr>
          </w:p>
        </w:tc>
      </w:tr>
      <w:tr>
        <w:trPr>
          <w:trHeight w:val="144"/>
        </w:trPr>
        <w:tc>
          <w:tcPr>
            <w:tcW w:w="8540" w:type="dxa"/>
            <w:vAlign w:val="bottom"/>
          </w:tcPr>
          <w:p>
            <w:pPr>
              <w:ind w:left="180"/>
              <w:spacing w:after="0"/>
              <w:rPr>
                <w:sz w:val="20"/>
                <w:szCs w:val="20"/>
                <w:color w:val="auto"/>
              </w:rPr>
            </w:pPr>
            <w:r>
              <w:rPr>
                <w:rFonts w:ascii="Arial" w:cs="Arial" w:eastAsia="Arial" w:hAnsi="Arial"/>
                <w:sz w:val="11"/>
                <w:szCs w:val="11"/>
                <w:color w:val="auto"/>
              </w:rPr>
              <w:t>Payable to clearing broker</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227,439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118,174</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Current portion of operating lease liabilities</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4,101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3,556</w:t>
            </w:r>
          </w:p>
        </w:tc>
        <w:tc>
          <w:tcPr>
            <w:tcW w:w="0" w:type="dxa"/>
            <w:vAlign w:val="bottom"/>
          </w:tcPr>
          <w:p>
            <w:pPr>
              <w:spacing w:after="0"/>
              <w:rPr>
                <w:sz w:val="1"/>
                <w:szCs w:val="1"/>
                <w:color w:val="auto"/>
              </w:rPr>
            </w:pPr>
          </w:p>
        </w:tc>
      </w:tr>
      <w:tr>
        <w:trPr>
          <w:trHeight w:val="144"/>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Fractional shares repurchase obligation</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514,877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28,057</w:t>
            </w:r>
          </w:p>
        </w:tc>
        <w:tc>
          <w:tcPr>
            <w:tcW w:w="0" w:type="dxa"/>
            <w:vAlign w:val="bottom"/>
          </w:tcPr>
          <w:p>
            <w:pPr>
              <w:spacing w:after="0"/>
              <w:rPr>
                <w:sz w:val="1"/>
                <w:szCs w:val="1"/>
                <w:color w:val="auto"/>
              </w:rPr>
            </w:pPr>
          </w:p>
        </w:tc>
      </w:tr>
      <w:tr>
        <w:trPr>
          <w:trHeight w:val="143"/>
        </w:trPr>
        <w:tc>
          <w:tcPr>
            <w:tcW w:w="854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current liabilities</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792,755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173,223</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Operating lease liabilities, net of current portion</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6,292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9,796</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noncurrent liabilities</w:t>
            </w: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1,993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9,651</w:t>
            </w:r>
          </w:p>
        </w:tc>
        <w:tc>
          <w:tcPr>
            <w:tcW w:w="0" w:type="dxa"/>
            <w:vAlign w:val="bottom"/>
          </w:tcPr>
          <w:p>
            <w:pPr>
              <w:spacing w:after="0"/>
              <w:rPr>
                <w:sz w:val="1"/>
                <w:szCs w:val="1"/>
                <w:color w:val="auto"/>
              </w:rPr>
            </w:pPr>
          </w:p>
        </w:tc>
      </w:tr>
      <w:tr>
        <w:trPr>
          <w:trHeight w:val="135"/>
        </w:trPr>
        <w:tc>
          <w:tcPr>
            <w:tcW w:w="854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liabilities</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801,040</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192,670</w:t>
            </w:r>
          </w:p>
        </w:tc>
        <w:tc>
          <w:tcPr>
            <w:tcW w:w="0" w:type="dxa"/>
            <w:vAlign w:val="bottom"/>
          </w:tcPr>
          <w:p>
            <w:pPr>
              <w:spacing w:after="0"/>
              <w:rPr>
                <w:sz w:val="1"/>
                <w:szCs w:val="1"/>
                <w:color w:val="auto"/>
              </w:rPr>
            </w:pPr>
          </w:p>
        </w:tc>
      </w:tr>
      <w:tr>
        <w:trPr>
          <w:trHeight w:val="133"/>
        </w:trPr>
        <w:tc>
          <w:tcPr>
            <w:tcW w:w="85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Commitments and contingencies (Note 8)</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20"/>
              <w:spacing w:after="0" w:line="106" w:lineRule="exact"/>
              <w:rPr>
                <w:sz w:val="20"/>
                <w:szCs w:val="20"/>
                <w:color w:val="auto"/>
              </w:rPr>
            </w:pPr>
            <w:r>
              <w:rPr>
                <w:rFonts w:ascii="Arial" w:cs="Arial" w:eastAsia="Arial" w:hAnsi="Arial"/>
                <w:sz w:val="11"/>
                <w:szCs w:val="11"/>
                <w:color w:val="auto"/>
              </w:rPr>
              <w:t>Redeemable convertible preferred stock, $0.0001 par value per share; 0 and 85,490,483 shares authorized as of January 31, 2026 and January 31, 2025, respectively; 0 and</w:t>
            </w: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140"/>
              <w:spacing w:after="0" w:line="106" w:lineRule="exact"/>
              <w:rPr>
                <w:sz w:val="20"/>
                <w:szCs w:val="20"/>
                <w:color w:val="auto"/>
              </w:rPr>
            </w:pPr>
            <w:r>
              <w:rPr>
                <w:rFonts w:ascii="Arial" w:cs="Arial" w:eastAsia="Arial" w:hAnsi="Arial"/>
                <w:sz w:val="11"/>
                <w:szCs w:val="11"/>
                <w:color w:val="auto"/>
                <w:w w:val="99"/>
              </w:rPr>
              <w:t>69,914,359 shares issued and outstanding as of January 31, 2026 and January 31, 2025, respectively; aggregate liquidation preference of $0 and $229,543 as of January 31,</w:t>
            </w:r>
          </w:p>
        </w:tc>
        <w:tc>
          <w:tcPr>
            <w:tcW w:w="220" w:type="dxa"/>
            <w:vAlign w:val="bottom"/>
          </w:tcPr>
          <w:p>
            <w:pPr>
              <w:spacing w:after="0"/>
              <w:rPr>
                <w:sz w:val="9"/>
                <w:szCs w:val="9"/>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227,198</w:t>
            </w:r>
          </w:p>
        </w:tc>
        <w:tc>
          <w:tcPr>
            <w:tcW w:w="0" w:type="dxa"/>
            <w:vAlign w:val="bottom"/>
          </w:tcPr>
          <w:p>
            <w:pPr>
              <w:spacing w:after="0"/>
              <w:rPr>
                <w:sz w:val="1"/>
                <w:szCs w:val="1"/>
                <w:color w:val="auto"/>
              </w:rPr>
            </w:pPr>
          </w:p>
        </w:tc>
      </w:tr>
      <w:tr>
        <w:trPr>
          <w:trHeight w:val="144"/>
        </w:trPr>
        <w:tc>
          <w:tcPr>
            <w:tcW w:w="8540" w:type="dxa"/>
            <w:vAlign w:val="bottom"/>
          </w:tcPr>
          <w:p>
            <w:pPr>
              <w:ind w:left="140"/>
              <w:spacing w:after="0"/>
              <w:rPr>
                <w:sz w:val="20"/>
                <w:szCs w:val="20"/>
                <w:color w:val="auto"/>
              </w:rPr>
            </w:pPr>
            <w:r>
              <w:rPr>
                <w:rFonts w:ascii="Arial" w:cs="Arial" w:eastAsia="Arial" w:hAnsi="Arial"/>
                <w:sz w:val="11"/>
                <w:szCs w:val="11"/>
                <w:color w:val="auto"/>
              </w:rPr>
              <w:t>2026 and January 31, 2025, respectively</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540" w:type="dxa"/>
            <w:vAlign w:val="bottom"/>
          </w:tcPr>
          <w:p>
            <w:pPr>
              <w:ind w:left="20"/>
              <w:spacing w:after="0" w:line="106" w:lineRule="exact"/>
              <w:rPr>
                <w:sz w:val="20"/>
                <w:szCs w:val="20"/>
                <w:color w:val="auto"/>
              </w:rPr>
            </w:pPr>
            <w:r>
              <w:rPr>
                <w:rFonts w:ascii="Arial" w:cs="Arial" w:eastAsia="Arial" w:hAnsi="Arial"/>
                <w:sz w:val="11"/>
                <w:szCs w:val="11"/>
                <w:color w:val="auto"/>
              </w:rPr>
              <w:t>Common stock, $0.0001 par value per share; 214,611,134 shares authorized as of January 31, 2026 and January 31, 2025; 151,782,411 and 41,532,599 shares issued as of</w:t>
            </w:r>
          </w:p>
        </w:tc>
        <w:tc>
          <w:tcPr>
            <w:tcW w:w="220" w:type="dxa"/>
            <w:vAlign w:val="bottom"/>
          </w:tcPr>
          <w:p>
            <w:pPr>
              <w:spacing w:after="0"/>
              <w:rPr>
                <w:sz w:val="9"/>
                <w:szCs w:val="9"/>
                <w:color w:val="auto"/>
              </w:rPr>
            </w:pPr>
          </w:p>
        </w:tc>
        <w:tc>
          <w:tcPr>
            <w:tcW w:w="1120" w:type="dxa"/>
            <w:vAlign w:val="bottom"/>
            <w:vMerge w:val="restart"/>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4"/>
        </w:trPr>
        <w:tc>
          <w:tcPr>
            <w:tcW w:w="8540" w:type="dxa"/>
            <w:vAlign w:val="bottom"/>
          </w:tcPr>
          <w:p>
            <w:pPr>
              <w:ind w:left="140"/>
              <w:spacing w:after="0"/>
              <w:rPr>
                <w:sz w:val="20"/>
                <w:szCs w:val="20"/>
                <w:color w:val="auto"/>
              </w:rPr>
            </w:pPr>
            <w:r>
              <w:rPr>
                <w:rFonts w:ascii="Arial" w:cs="Arial" w:eastAsia="Arial" w:hAnsi="Arial"/>
                <w:sz w:val="11"/>
                <w:szCs w:val="11"/>
                <w:color w:val="auto"/>
              </w:rPr>
              <w:t>January 31, 2026 and January 31, 2025; 150,305,463 and 40,110,106 shares outstanding as of January 31, 2026 and January 31, 2025, respectively</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Treasury stock, at cost; 1,476,948 and 1,422,493 shares held as of January 31, 2026 and January 31, 2025, respectively</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0" w:type="dxa"/>
            <w:vAlign w:val="bottom"/>
          </w:tcPr>
          <w:p>
            <w:pPr>
              <w:spacing w:after="0"/>
              <w:rPr>
                <w:sz w:val="1"/>
                <w:szCs w:val="1"/>
                <w:color w:val="auto"/>
              </w:rPr>
            </w:pPr>
          </w:p>
        </w:tc>
      </w:tr>
      <w:tr>
        <w:trPr>
          <w:trHeight w:val="144"/>
        </w:trPr>
        <w:tc>
          <w:tcPr>
            <w:tcW w:w="854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220" w:type="dxa"/>
            <w:vAlign w:val="bottom"/>
          </w:tcPr>
          <w:p>
            <w:pPr>
              <w:spacing w:after="0"/>
              <w:rPr>
                <w:sz w:val="12"/>
                <w:szCs w:val="12"/>
                <w:color w:val="auto"/>
              </w:rPr>
            </w:pPr>
          </w:p>
        </w:tc>
        <w:tc>
          <w:tcPr>
            <w:tcW w:w="1120" w:type="dxa"/>
            <w:vAlign w:val="bottom"/>
          </w:tcPr>
          <w:p>
            <w:pPr>
              <w:jc w:val="right"/>
              <w:ind w:right="7"/>
              <w:spacing w:after="0"/>
              <w:rPr>
                <w:sz w:val="20"/>
                <w:szCs w:val="20"/>
                <w:color w:val="auto"/>
              </w:rPr>
            </w:pPr>
            <w:r>
              <w:rPr>
                <w:rFonts w:ascii="Arial" w:cs="Arial" w:eastAsia="Arial" w:hAnsi="Arial"/>
                <w:sz w:val="11"/>
                <w:szCs w:val="11"/>
                <w:color w:val="auto"/>
              </w:rPr>
              <w:t>769,730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127,862</w:t>
            </w:r>
          </w:p>
        </w:tc>
        <w:tc>
          <w:tcPr>
            <w:tcW w:w="0" w:type="dxa"/>
            <w:vAlign w:val="bottom"/>
          </w:tcPr>
          <w:p>
            <w:pPr>
              <w:spacing w:after="0"/>
              <w:rPr>
                <w:sz w:val="1"/>
                <w:szCs w:val="1"/>
                <w:color w:val="auto"/>
              </w:rPr>
            </w:pPr>
          </w:p>
        </w:tc>
      </w:tr>
      <w:tr>
        <w:trPr>
          <w:trHeight w:val="153"/>
        </w:trPr>
        <w:tc>
          <w:tcPr>
            <w:tcW w:w="85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(142,001)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0" w:type="dxa"/>
            <w:vAlign w:val="bottom"/>
          </w:tcPr>
          <w:p>
            <w:pPr>
              <w:spacing w:after="0"/>
              <w:rPr>
                <w:sz w:val="1"/>
                <w:szCs w:val="1"/>
                <w:color w:val="auto"/>
              </w:rPr>
            </w:pPr>
          </w:p>
        </w:tc>
      </w:tr>
      <w:tr>
        <w:trPr>
          <w:trHeight w:val="135"/>
        </w:trPr>
        <w:tc>
          <w:tcPr>
            <w:tcW w:w="85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614,689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68"/>
        </w:trPr>
        <w:tc>
          <w:tcPr>
            <w:tcW w:w="8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Total liabilities, redeemable convertible preferred stock, and stockholders’ equity</w:t>
            </w: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1,415,729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435,206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ind w:left="20"/>
              <w:spacing w:after="0"/>
              <w:rPr>
                <w:sz w:val="20"/>
                <w:szCs w:val="20"/>
                <w:color w:val="auto"/>
              </w:rPr>
            </w:pPr>
            <w:r>
              <w:rPr>
                <w:rFonts w:ascii="Arial" w:cs="Arial" w:eastAsia="Arial" w:hAnsi="Arial"/>
                <w:sz w:val="10"/>
                <w:szCs w:val="10"/>
                <w:i w:val="1"/>
                <w:iCs w:val="1"/>
                <w:color w:val="auto"/>
              </w:rPr>
              <w:t>(in thousands, except shares and per share data)</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Fiscal 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9"/>
        </w:trPr>
        <w:tc>
          <w:tcPr>
            <w:tcW w:w="6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Arial" w:cs="Arial" w:eastAsia="Arial" w:hAnsi="Arial"/>
                <w:sz w:val="11"/>
                <w:szCs w:val="11"/>
                <w:color w:val="auto"/>
              </w:rPr>
              <w:t>Cash management</w:t>
            </w:r>
          </w:p>
        </w:tc>
        <w:tc>
          <w:tcPr>
            <w:tcW w:w="940" w:type="dxa"/>
            <w:vAlign w:val="bottom"/>
          </w:tcPr>
          <w:p>
            <w:pPr>
              <w:jc w:val="right"/>
              <w:ind w:right="80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271,700</w:t>
            </w:r>
          </w:p>
        </w:tc>
        <w:tc>
          <w:tcPr>
            <w:tcW w:w="4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230,946</w:t>
            </w:r>
          </w:p>
        </w:tc>
        <w:tc>
          <w:tcPr>
            <w:tcW w:w="10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154,800</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Investment advisory</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91,899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73,045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56,095</w:t>
            </w:r>
          </w:p>
        </w:tc>
        <w:tc>
          <w:tcPr>
            <w:tcW w:w="0" w:type="dxa"/>
            <w:vAlign w:val="bottom"/>
          </w:tcPr>
          <w:p>
            <w:pPr>
              <w:spacing w:after="0"/>
              <w:rPr>
                <w:sz w:val="1"/>
                <w:szCs w:val="1"/>
                <w:color w:val="auto"/>
              </w:rPr>
            </w:pPr>
          </w:p>
        </w:tc>
      </w:tr>
      <w:tr>
        <w:trPr>
          <w:trHeight w:val="156"/>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revenue</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1,394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4,868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5,819</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revenue</w:t>
            </w:r>
          </w:p>
        </w:tc>
        <w:tc>
          <w:tcPr>
            <w:tcW w:w="9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364,993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308,859</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216,714</w:t>
            </w:r>
          </w:p>
        </w:tc>
        <w:tc>
          <w:tcPr>
            <w:tcW w:w="0" w:type="dxa"/>
            <w:vAlign w:val="bottom"/>
          </w:tcPr>
          <w:p>
            <w:pPr>
              <w:spacing w:after="0"/>
              <w:rPr>
                <w:sz w:val="1"/>
                <w:szCs w:val="1"/>
                <w:color w:val="auto"/>
              </w:rPr>
            </w:pPr>
          </w:p>
        </w:tc>
      </w:tr>
      <w:tr>
        <w:trPr>
          <w:trHeight w:val="136"/>
        </w:trPr>
        <w:tc>
          <w:tcPr>
            <w:tcW w:w="6400" w:type="dxa"/>
            <w:vAlign w:val="bottom"/>
          </w:tcPr>
          <w:p>
            <w:pPr>
              <w:ind w:left="20"/>
              <w:spacing w:after="0"/>
              <w:rPr>
                <w:sz w:val="20"/>
                <w:szCs w:val="20"/>
                <w:color w:val="auto"/>
              </w:rPr>
            </w:pPr>
            <w:r>
              <w:rPr>
                <w:rFonts w:ascii="Arial" w:cs="Arial" w:eastAsia="Arial" w:hAnsi="Arial"/>
                <w:sz w:val="11"/>
                <w:szCs w:val="11"/>
                <w:color w:val="auto"/>
              </w:rPr>
              <w:t>Costs and operating expenses:</w:t>
            </w: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revenue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38,007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22,898</w:t>
            </w: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Arial" w:cs="Arial" w:eastAsia="Arial" w:hAnsi="Arial"/>
                <w:sz w:val="11"/>
                <w:szCs w:val="11"/>
                <w:color w:val="auto"/>
              </w:rPr>
              <w:t>Product development</w:t>
            </w:r>
          </w:p>
        </w:tc>
        <w:tc>
          <w:tcPr>
            <w:tcW w:w="9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212,437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64,515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57,558</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149,128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29,092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23,766</w:t>
            </w:r>
          </w:p>
        </w:tc>
        <w:tc>
          <w:tcPr>
            <w:tcW w:w="0" w:type="dxa"/>
            <w:vAlign w:val="bottom"/>
          </w:tcPr>
          <w:p>
            <w:pPr>
              <w:spacing w:after="0"/>
              <w:rPr>
                <w:sz w:val="1"/>
                <w:szCs w:val="1"/>
                <w:color w:val="auto"/>
              </w:rPr>
            </w:pPr>
          </w:p>
        </w:tc>
      </w:tr>
      <w:tr>
        <w:trPr>
          <w:trHeight w:val="156"/>
        </w:trPr>
        <w:tc>
          <w:tcPr>
            <w:tcW w:w="6400" w:type="dxa"/>
            <w:vAlign w:val="bottom"/>
          </w:tcPr>
          <w:p>
            <w:pPr>
              <w:ind w:left="180"/>
              <w:spacing w:after="0"/>
              <w:rPr>
                <w:sz w:val="20"/>
                <w:szCs w:val="20"/>
                <w:color w:val="auto"/>
              </w:rPr>
            </w:pPr>
            <w:r>
              <w:rPr>
                <w:rFonts w:ascii="Arial" w:cs="Arial" w:eastAsia="Arial" w:hAnsi="Arial"/>
                <w:sz w:val="11"/>
                <w:szCs w:val="11"/>
                <w:color w:val="auto"/>
              </w:rPr>
              <w:t>Marketing</w:t>
            </w:r>
          </w:p>
        </w:tc>
        <w:tc>
          <w:tcPr>
            <w:tcW w:w="9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51,755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52,196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21,150</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Operations and support</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24,836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10,619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9,767</w:t>
            </w:r>
          </w:p>
        </w:tc>
        <w:tc>
          <w:tcPr>
            <w:tcW w:w="0" w:type="dxa"/>
            <w:vAlign w:val="bottom"/>
          </w:tcPr>
          <w:p>
            <w:pPr>
              <w:spacing w:after="0"/>
              <w:rPr>
                <w:sz w:val="1"/>
                <w:szCs w:val="1"/>
                <w:color w:val="auto"/>
              </w:rPr>
            </w:pPr>
          </w:p>
        </w:tc>
      </w:tr>
      <w:tr>
        <w:trPr>
          <w:trHeight w:val="147"/>
        </w:trPr>
        <w:tc>
          <w:tcPr>
            <w:tcW w:w="6400" w:type="dxa"/>
            <w:vAlign w:val="bottom"/>
          </w:tcPr>
          <w:p>
            <w:pPr>
              <w:ind w:left="360"/>
              <w:spacing w:after="0"/>
              <w:rPr>
                <w:sz w:val="20"/>
                <w:szCs w:val="20"/>
                <w:color w:val="auto"/>
              </w:rPr>
            </w:pPr>
            <w:r>
              <w:rPr>
                <w:rFonts w:ascii="Arial" w:cs="Arial" w:eastAsia="Arial" w:hAnsi="Arial"/>
                <w:sz w:val="11"/>
                <w:szCs w:val="11"/>
                <w:color w:val="auto"/>
              </w:rPr>
              <w:t>Total costs and operating expenses</w:t>
            </w:r>
          </w:p>
        </w:tc>
        <w:tc>
          <w:tcPr>
            <w:tcW w:w="94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476,163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187,386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135,139</w:t>
            </w:r>
          </w:p>
        </w:tc>
        <w:tc>
          <w:tcPr>
            <w:tcW w:w="0" w:type="dxa"/>
            <w:vAlign w:val="bottom"/>
          </w:tcPr>
          <w:p>
            <w:pPr>
              <w:spacing w:after="0"/>
              <w:rPr>
                <w:sz w:val="1"/>
                <w:szCs w:val="1"/>
                <w:color w:val="auto"/>
              </w:rPr>
            </w:pPr>
          </w:p>
        </w:tc>
      </w:tr>
      <w:tr>
        <w:trPr>
          <w:trHeight w:val="162"/>
        </w:trPr>
        <w:tc>
          <w:tcPr>
            <w:tcW w:w="6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0" w:type="dxa"/>
            <w:vAlign w:val="bottom"/>
          </w:tcPr>
          <w:p>
            <w:pPr>
              <w:spacing w:after="0"/>
              <w:rPr>
                <w:sz w:val="1"/>
                <w:szCs w:val="1"/>
                <w:color w:val="auto"/>
              </w:rPr>
            </w:pPr>
          </w:p>
        </w:tc>
      </w:tr>
      <w:tr>
        <w:trPr>
          <w:trHeight w:val="15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expense (income), net</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(20,566)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986</w:t>
            </w:r>
          </w:p>
        </w:tc>
        <w:tc>
          <w:tcPr>
            <w:tcW w:w="0" w:type="dxa"/>
            <w:vAlign w:val="bottom"/>
          </w:tcPr>
          <w:p>
            <w:pPr>
              <w:spacing w:after="0"/>
              <w:rPr>
                <w:sz w:val="1"/>
                <w:szCs w:val="1"/>
                <w:color w:val="auto"/>
              </w:rPr>
            </w:pPr>
          </w:p>
        </w:tc>
      </w:tr>
      <w:tr>
        <w:trPr>
          <w:trHeight w:val="153"/>
        </w:trPr>
        <w:tc>
          <w:tcPr>
            <w:tcW w:w="6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9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(101,248)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139,229</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78,589</w:t>
            </w:r>
          </w:p>
        </w:tc>
        <w:tc>
          <w:tcPr>
            <w:tcW w:w="0" w:type="dxa"/>
            <w:vAlign w:val="bottom"/>
          </w:tcPr>
          <w:p>
            <w:pPr>
              <w:spacing w:after="0"/>
              <w:rPr>
                <w:sz w:val="1"/>
                <w:szCs w:val="1"/>
                <w:color w:val="auto"/>
              </w:rPr>
            </w:pPr>
          </w:p>
        </w:tc>
      </w:tr>
      <w:tr>
        <w:trPr>
          <w:trHeight w:val="147"/>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Provision for (benefit from) income taxes</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(59,182)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(55,218)</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1,623</w:t>
            </w:r>
          </w:p>
        </w:tc>
        <w:tc>
          <w:tcPr>
            <w:tcW w:w="0" w:type="dxa"/>
            <w:vAlign w:val="bottom"/>
          </w:tcPr>
          <w:p>
            <w:pPr>
              <w:spacing w:after="0"/>
              <w:rPr>
                <w:sz w:val="1"/>
                <w:szCs w:val="1"/>
                <w:color w:val="auto"/>
              </w:rPr>
            </w:pPr>
          </w:p>
        </w:tc>
      </w:tr>
      <w:tr>
        <w:trPr>
          <w:trHeight w:val="173"/>
        </w:trPr>
        <w:tc>
          <w:tcPr>
            <w:tcW w:w="6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(42,066)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194,447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76,966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00" w:type="dxa"/>
            <w:vAlign w:val="bottom"/>
            <w:shd w:val="clear" w:color="auto" w:fill="CCEEFF"/>
          </w:tcPr>
          <w:p>
            <w:pPr>
              <w:ind w:left="20"/>
              <w:spacing w:after="0"/>
              <w:rPr>
                <w:sz w:val="20"/>
                <w:szCs w:val="20"/>
                <w:color w:val="auto"/>
              </w:rPr>
            </w:pPr>
            <w:r>
              <w:rPr>
                <w:rFonts w:ascii="Arial" w:cs="Arial" w:eastAsia="Arial" w:hAnsi="Arial"/>
                <w:sz w:val="11"/>
                <w:szCs w:val="11"/>
                <w:color w:val="auto"/>
              </w:rPr>
              <w:t>Earnings per share:</w:t>
            </w: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400" w:type="dxa"/>
            <w:vAlign w:val="bottom"/>
          </w:tcPr>
          <w:p>
            <w:pPr>
              <w:ind w:left="180"/>
              <w:spacing w:after="0"/>
              <w:rPr>
                <w:sz w:val="20"/>
                <w:szCs w:val="20"/>
                <w:color w:val="auto"/>
              </w:rPr>
            </w:pPr>
            <w:r>
              <w:rPr>
                <w:rFonts w:ascii="Arial" w:cs="Arial" w:eastAsia="Arial" w:hAnsi="Arial"/>
                <w:sz w:val="11"/>
                <w:szCs w:val="11"/>
                <w:color w:val="auto"/>
              </w:rPr>
              <w:t>Basic</w:t>
            </w:r>
          </w:p>
        </w:tc>
        <w:tc>
          <w:tcPr>
            <w:tcW w:w="940" w:type="dxa"/>
            <w:vAlign w:val="bottom"/>
          </w:tcPr>
          <w:p>
            <w:pPr>
              <w:jc w:val="right"/>
              <w:ind w:right="80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(0.74)</w:t>
            </w:r>
          </w:p>
        </w:tc>
        <w:tc>
          <w:tcPr>
            <w:tcW w:w="4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4.99</w:t>
            </w:r>
          </w:p>
        </w:tc>
        <w:tc>
          <w:tcPr>
            <w:tcW w:w="10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2.06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4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940" w:type="dxa"/>
            <w:vAlign w:val="bottom"/>
            <w:shd w:val="clear" w:color="auto" w:fill="CCEEFF"/>
          </w:tcPr>
          <w:p>
            <w:pPr>
              <w:jc w:val="right"/>
              <w:ind w:right="803"/>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Weighted-average shares outstanding used in computing earnings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0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Basic</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56,647,662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38,990,556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37,297,221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400" w:type="dxa"/>
            <w:vAlign w:val="bottom"/>
          </w:tcPr>
          <w:p>
            <w:pPr>
              <w:ind w:left="180"/>
              <w:spacing w:after="0" w:line="122" w:lineRule="exact"/>
              <w:rPr>
                <w:sz w:val="20"/>
                <w:szCs w:val="20"/>
                <w:color w:val="auto"/>
              </w:rPr>
            </w:pPr>
            <w:r>
              <w:rPr>
                <w:rFonts w:ascii="Arial" w:cs="Arial" w:eastAsia="Arial" w:hAnsi="Arial"/>
                <w:sz w:val="11"/>
                <w:szCs w:val="11"/>
                <w:color w:val="auto"/>
              </w:rPr>
              <w:t>Diluted</w:t>
            </w: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56,890,456</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138,660,318</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143,878,296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REDEEMABLE CONVERTIBLE PREFERRED STOCK AND STOCKHOLDERS’ EQUITY (DEFICIT)</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680" w:type="dxa"/>
            <w:vAlign w:val="bottom"/>
          </w:tcPr>
          <w:p>
            <w:pPr>
              <w:spacing w:after="0"/>
              <w:rPr>
                <w:sz w:val="10"/>
                <w:szCs w:val="10"/>
                <w:color w:val="auto"/>
              </w:rPr>
            </w:pPr>
          </w:p>
        </w:tc>
        <w:tc>
          <w:tcPr>
            <w:tcW w:w="1940" w:type="dxa"/>
            <w:vAlign w:val="bottom"/>
            <w:gridSpan w:val="5"/>
          </w:tcPr>
          <w:p>
            <w:pPr>
              <w:ind w:left="40"/>
              <w:spacing w:after="0"/>
              <w:rPr>
                <w:sz w:val="20"/>
                <w:szCs w:val="20"/>
                <w:color w:val="auto"/>
              </w:rPr>
            </w:pPr>
            <w:r>
              <w:rPr>
                <w:rFonts w:ascii="Arial" w:cs="Arial" w:eastAsia="Arial" w:hAnsi="Arial"/>
                <w:sz w:val="11"/>
                <w:szCs w:val="11"/>
                <w:b w:val="1"/>
                <w:bCs w:val="1"/>
                <w:color w:val="auto"/>
              </w:rPr>
              <w:t>Redeemable Convertible Preferred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64"/>
        </w:trPr>
        <w:tc>
          <w:tcPr>
            <w:tcW w:w="3680" w:type="dxa"/>
            <w:vAlign w:val="bottom"/>
            <w:vMerge w:val="restart"/>
          </w:tcPr>
          <w:p>
            <w:pPr>
              <w:ind w:left="20"/>
              <w:spacing w:after="0"/>
              <w:rPr>
                <w:sz w:val="20"/>
                <w:szCs w:val="20"/>
                <w:color w:val="auto"/>
              </w:rPr>
            </w:pPr>
            <w:r>
              <w:rPr>
                <w:rFonts w:ascii="Arial" w:cs="Arial" w:eastAsia="Arial" w:hAnsi="Arial"/>
                <w:sz w:val="10"/>
                <w:szCs w:val="10"/>
                <w:i w:val="1"/>
                <w:iCs w:val="1"/>
                <w:color w:val="auto"/>
              </w:rPr>
              <w:t>(in thousands, except for number of shares)</w:t>
            </w:r>
          </w:p>
        </w:tc>
        <w:tc>
          <w:tcPr>
            <w:tcW w:w="1120" w:type="dxa"/>
            <w:vAlign w:val="bottom"/>
            <w:gridSpan w:val="3"/>
            <w:vMerge w:val="restart"/>
          </w:tcPr>
          <w:p>
            <w:pPr>
              <w:jc w:val="right"/>
              <w:ind w:right="3"/>
              <w:spacing w:after="0"/>
              <w:rPr>
                <w:sz w:val="20"/>
                <w:szCs w:val="20"/>
                <w:color w:val="auto"/>
              </w:rPr>
            </w:pPr>
            <w:r>
              <w:rPr>
                <w:rFonts w:ascii="Arial" w:cs="Arial" w:eastAsia="Arial" w:hAnsi="Arial"/>
                <w:sz w:val="11"/>
                <w:szCs w:val="11"/>
                <w:b w:val="1"/>
                <w:bCs w:val="1"/>
                <w:color w:val="auto"/>
              </w:rPr>
              <w:t>Stock</w:t>
            </w: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40" w:type="dxa"/>
            <w:vAlign w:val="bottom"/>
            <w:gridSpan w:val="4"/>
            <w:vMerge w:val="restart"/>
          </w:tcPr>
          <w:p>
            <w:pPr>
              <w:jc w:val="right"/>
              <w:ind w:right="463"/>
              <w:spacing w:after="0"/>
              <w:rPr>
                <w:sz w:val="20"/>
                <w:szCs w:val="20"/>
                <w:color w:val="auto"/>
              </w:rPr>
            </w:pPr>
            <w:r>
              <w:rPr>
                <w:rFonts w:ascii="Arial" w:cs="Arial" w:eastAsia="Arial" w:hAnsi="Arial"/>
                <w:sz w:val="11"/>
                <w:szCs w:val="11"/>
                <w:b w:val="1"/>
                <w:bCs w:val="1"/>
                <w:color w:val="auto"/>
              </w:rPr>
              <w:t>Common Stock</w:t>
            </w:r>
          </w:p>
        </w:tc>
        <w:tc>
          <w:tcPr>
            <w:tcW w:w="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3680" w:type="dxa"/>
            <w:vAlign w:val="bottom"/>
            <w:vMerge w:val="continue"/>
          </w:tcPr>
          <w:p>
            <w:pPr>
              <w:spacing w:after="0"/>
              <w:rPr>
                <w:sz w:val="7"/>
                <w:szCs w:val="7"/>
                <w:color w:val="auto"/>
              </w:rPr>
            </w:pPr>
          </w:p>
        </w:tc>
        <w:tc>
          <w:tcPr>
            <w:tcW w:w="1120" w:type="dxa"/>
            <w:vAlign w:val="bottom"/>
            <w:tcBorders>
              <w:bottom w:val="single" w:sz="8" w:color="auto"/>
            </w:tcBorders>
            <w:gridSpan w:val="3"/>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40" w:type="dxa"/>
            <w:vAlign w:val="bottom"/>
            <w:tcBorders>
              <w:bottom w:val="single" w:sz="8" w:color="auto"/>
            </w:tcBorders>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3"/>
          </w:tcPr>
          <w:p>
            <w:pPr>
              <w:jc w:val="center"/>
              <w:ind w:right="60"/>
              <w:spacing w:after="0" w:line="83" w:lineRule="exact"/>
              <w:rPr>
                <w:sz w:val="20"/>
                <w:szCs w:val="20"/>
                <w:color w:val="auto"/>
              </w:rPr>
            </w:pPr>
            <w:r>
              <w:rPr>
                <w:rFonts w:ascii="Arial" w:cs="Arial" w:eastAsia="Arial" w:hAnsi="Arial"/>
                <w:sz w:val="8"/>
                <w:szCs w:val="8"/>
                <w:b w:val="1"/>
                <w:bCs w:val="1"/>
                <w:color w:val="auto"/>
              </w:rPr>
              <w:t>Additional Paid-</w:t>
            </w:r>
          </w:p>
        </w:tc>
        <w:tc>
          <w:tcPr>
            <w:tcW w:w="100" w:type="dxa"/>
            <w:vAlign w:val="bottom"/>
          </w:tcPr>
          <w:p>
            <w:pPr>
              <w:spacing w:after="0"/>
              <w:rPr>
                <w:sz w:val="7"/>
                <w:szCs w:val="7"/>
                <w:color w:val="auto"/>
              </w:rPr>
            </w:pPr>
          </w:p>
        </w:tc>
        <w:tc>
          <w:tcPr>
            <w:tcW w:w="8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7"/>
                <w:szCs w:val="7"/>
                <w:color w:val="auto"/>
              </w:rPr>
            </w:pPr>
          </w:p>
        </w:tc>
        <w:tc>
          <w:tcPr>
            <w:tcW w:w="800" w:type="dxa"/>
            <w:vAlign w:val="bottom"/>
          </w:tcPr>
          <w:p>
            <w:pPr>
              <w:jc w:val="center"/>
              <w:ind w:right="44"/>
              <w:spacing w:after="0" w:line="83"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50"/>
        </w:trPr>
        <w:tc>
          <w:tcPr>
            <w:tcW w:w="3680" w:type="dxa"/>
            <w:vAlign w:val="bottom"/>
          </w:tcPr>
          <w:p>
            <w:pPr>
              <w:spacing w:after="0"/>
              <w:rPr>
                <w:sz w:val="13"/>
                <w:szCs w:val="13"/>
                <w:color w:val="auto"/>
              </w:rPr>
            </w:pPr>
          </w:p>
        </w:tc>
        <w:tc>
          <w:tcPr>
            <w:tcW w:w="940" w:type="dxa"/>
            <w:vAlign w:val="bottom"/>
            <w:gridSpan w:val="2"/>
          </w:tcPr>
          <w:p>
            <w:pPr>
              <w:ind w:left="26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800" w:type="dxa"/>
            <w:vAlign w:val="bottom"/>
            <w:tcBorders>
              <w:right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3"/>
                <w:szCs w:val="13"/>
                <w:color w:val="auto"/>
              </w:rPr>
            </w:pPr>
          </w:p>
        </w:tc>
        <w:tc>
          <w:tcPr>
            <w:tcW w:w="96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in Capital</w:t>
            </w:r>
          </w:p>
        </w:tc>
        <w:tc>
          <w:tcPr>
            <w:tcW w:w="1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3"/>
                <w:szCs w:val="13"/>
                <w:color w:val="auto"/>
              </w:rPr>
            </w:pPr>
          </w:p>
        </w:tc>
        <w:tc>
          <w:tcPr>
            <w:tcW w:w="800" w:type="dxa"/>
            <w:vAlign w:val="bottom"/>
          </w:tcPr>
          <w:p>
            <w:pPr>
              <w:jc w:val="center"/>
              <w:ind w:right="2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7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2023</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69,914,359</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227,198</w:t>
            </w:r>
          </w:p>
        </w:tc>
        <w:tc>
          <w:tcPr>
            <w:tcW w:w="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36,897,306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98,793</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(371,348)</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(272,551)</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6"/>
                <w:szCs w:val="16"/>
                <w:color w:val="auto"/>
              </w:rPr>
            </w:pPr>
          </w:p>
        </w:tc>
        <w:tc>
          <w:tcPr>
            <w:tcW w:w="800" w:type="dxa"/>
            <w:vAlign w:val="bottom"/>
            <w:tcBorders>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76,966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76,966</w:t>
            </w:r>
          </w:p>
        </w:tc>
        <w:tc>
          <w:tcPr>
            <w:tcW w:w="0" w:type="dxa"/>
            <w:vAlign w:val="bottom"/>
          </w:tcPr>
          <w:p>
            <w:pPr>
              <w:spacing w:after="0"/>
              <w:rPr>
                <w:sz w:val="1"/>
                <w:szCs w:val="1"/>
                <w:color w:val="auto"/>
              </w:rPr>
            </w:pPr>
          </w:p>
        </w:tc>
      </w:tr>
      <w:tr>
        <w:trPr>
          <w:trHeight w:val="194"/>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exercise of vested stock options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2,041,617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1,079</w:t>
            </w:r>
          </w:p>
        </w:tc>
        <w:tc>
          <w:tcPr>
            <w:tcW w:w="0" w:type="dxa"/>
            <w:vAlign w:val="bottom"/>
          </w:tcPr>
          <w:p>
            <w:pPr>
              <w:spacing w:after="0"/>
              <w:rPr>
                <w:sz w:val="1"/>
                <w:szCs w:val="1"/>
                <w:color w:val="auto"/>
              </w:rPr>
            </w:pPr>
          </w:p>
        </w:tc>
      </w:tr>
      <w:tr>
        <w:trPr>
          <w:trHeight w:val="121"/>
        </w:trPr>
        <w:tc>
          <w:tcPr>
            <w:tcW w:w="368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settlement of restricted stock units</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21,632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680" w:type="dxa"/>
            <w:vAlign w:val="bottom"/>
          </w:tcPr>
          <w:p>
            <w:pPr>
              <w:ind w:left="140"/>
              <w:spacing w:after="0"/>
              <w:rPr>
                <w:sz w:val="20"/>
                <w:szCs w:val="20"/>
                <w:color w:val="auto"/>
              </w:rPr>
            </w:pPr>
            <w:r>
              <w:rPr>
                <w:rFonts w:ascii="Arial" w:cs="Arial" w:eastAsia="Arial" w:hAnsi="Arial"/>
                <w:sz w:val="11"/>
                <w:szCs w:val="11"/>
                <w:color w:val="auto"/>
              </w:rPr>
              <w:t>(RSUs)</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early exercise liability</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396</w:t>
            </w:r>
          </w:p>
        </w:tc>
        <w:tc>
          <w:tcPr>
            <w:tcW w:w="0" w:type="dxa"/>
            <w:vAlign w:val="bottom"/>
          </w:tcPr>
          <w:p>
            <w:pPr>
              <w:spacing w:after="0"/>
              <w:rPr>
                <w:sz w:val="1"/>
                <w:szCs w:val="1"/>
                <w:color w:val="auto"/>
              </w:rPr>
            </w:pPr>
          </w:p>
        </w:tc>
      </w:tr>
      <w:tr>
        <w:trPr>
          <w:trHeight w:val="19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13,255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13,255</w:t>
            </w: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January 31, 2024</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227,198</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38,960,555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113,523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(294,382)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(180,855)</w:t>
            </w:r>
          </w:p>
        </w:tc>
        <w:tc>
          <w:tcPr>
            <w:tcW w:w="0" w:type="dxa"/>
            <w:vAlign w:val="bottom"/>
          </w:tcPr>
          <w:p>
            <w:pPr>
              <w:spacing w:after="0"/>
              <w:rPr>
                <w:sz w:val="1"/>
                <w:szCs w:val="1"/>
                <w:color w:val="auto"/>
              </w:rPr>
            </w:pPr>
          </w:p>
        </w:tc>
      </w:tr>
      <w:tr>
        <w:trPr>
          <w:trHeight w:val="156"/>
        </w:trPr>
        <w:tc>
          <w:tcPr>
            <w:tcW w:w="36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tcBorders>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194,447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194,447</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exercise of vested stock options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2,568,044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4,919</w:t>
            </w:r>
          </w:p>
        </w:tc>
        <w:tc>
          <w:tcPr>
            <w:tcW w:w="0" w:type="dxa"/>
            <w:vAlign w:val="bottom"/>
          </w:tcPr>
          <w:p>
            <w:pPr>
              <w:spacing w:after="0"/>
              <w:rPr>
                <w:sz w:val="1"/>
                <w:szCs w:val="1"/>
                <w:color w:val="auto"/>
              </w:rPr>
            </w:pPr>
          </w:p>
        </w:tc>
      </w:tr>
      <w:tr>
        <w:trPr>
          <w:trHeight w:val="156"/>
        </w:trPr>
        <w:tc>
          <w:tcPr>
            <w:tcW w:w="3680" w:type="dxa"/>
            <w:vAlign w:val="bottom"/>
          </w:tcPr>
          <w:p>
            <w:pPr>
              <w:ind w:left="20"/>
              <w:spacing w:after="0"/>
              <w:rPr>
                <w:sz w:val="20"/>
                <w:szCs w:val="20"/>
                <w:color w:val="auto"/>
              </w:rPr>
            </w:pPr>
            <w:r>
              <w:rPr>
                <w:rFonts w:ascii="Arial" w:cs="Arial" w:eastAsia="Arial" w:hAnsi="Arial"/>
                <w:sz w:val="11"/>
                <w:szCs w:val="11"/>
                <w:color w:val="auto"/>
              </w:rPr>
              <w:t>Issuance of common stock upon settlement of RSUs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tcBorders>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Repurchases of common stock, including retirement of 85,034 shares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(3,352,224)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(35,287)</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(37,037)</w:t>
            </w:r>
          </w:p>
        </w:tc>
        <w:tc>
          <w:tcPr>
            <w:tcW w:w="0" w:type="dxa"/>
            <w:vAlign w:val="bottom"/>
          </w:tcPr>
          <w:p>
            <w:pPr>
              <w:spacing w:after="0"/>
              <w:rPr>
                <w:sz w:val="1"/>
                <w:szCs w:val="1"/>
                <w:color w:val="auto"/>
              </w:rPr>
            </w:pPr>
          </w:p>
        </w:tc>
      </w:tr>
      <w:tr>
        <w:trPr>
          <w:trHeight w:val="156"/>
        </w:trPr>
        <w:tc>
          <w:tcPr>
            <w:tcW w:w="3680" w:type="dxa"/>
            <w:vAlign w:val="bottom"/>
          </w:tcPr>
          <w:p>
            <w:pPr>
              <w:ind w:left="20"/>
              <w:spacing w:after="0"/>
              <w:rPr>
                <w:sz w:val="20"/>
                <w:szCs w:val="20"/>
                <w:color w:val="auto"/>
              </w:rPr>
            </w:pPr>
            <w:r>
              <w:rPr>
                <w:rFonts w:ascii="Arial" w:cs="Arial" w:eastAsia="Arial" w:hAnsi="Arial"/>
                <w:sz w:val="11"/>
                <w:szCs w:val="11"/>
                <w:color w:val="auto"/>
              </w:rPr>
              <w:t>Reissuance of treasury stock</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tcBorders>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1,929,731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1"/>
                <w:szCs w:val="11"/>
                <w:color w:val="auto"/>
              </w:rPr>
              <w:t>22,694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Arial" w:cs="Arial" w:eastAsia="Arial" w:hAnsi="Arial"/>
                <w:sz w:val="11"/>
                <w:szCs w:val="11"/>
                <w:color w:val="auto"/>
              </w:rPr>
              <w:t>22,694</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early exercise liability</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Stock-based compensation expense</w:t>
            </w: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11,001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11,001</w:t>
            </w:r>
          </w:p>
        </w:tc>
        <w:tc>
          <w:tcPr>
            <w:tcW w:w="0" w:type="dxa"/>
            <w:vAlign w:val="bottom"/>
          </w:tcPr>
          <w:p>
            <w:pPr>
              <w:spacing w:after="0"/>
              <w:rPr>
                <w:sz w:val="1"/>
                <w:szCs w:val="1"/>
                <w:color w:val="auto"/>
              </w:rPr>
            </w:pPr>
          </w:p>
        </w:tc>
      </w:tr>
      <w:tr>
        <w:trPr>
          <w:trHeight w:val="153"/>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2025</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69,914,359</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227,198</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40,110,106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(12,593)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127,862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15,338</w:t>
            </w:r>
          </w:p>
        </w:tc>
        <w:tc>
          <w:tcPr>
            <w:tcW w:w="0" w:type="dxa"/>
            <w:vAlign w:val="bottom"/>
          </w:tcPr>
          <w:p>
            <w:pPr>
              <w:spacing w:after="0"/>
              <w:rPr>
                <w:sz w:val="1"/>
                <w:szCs w:val="1"/>
                <w:color w:val="auto"/>
              </w:rPr>
            </w:pPr>
          </w:p>
        </w:tc>
      </w:tr>
      <w:tr>
        <w:trPr>
          <w:trHeight w:val="156"/>
        </w:trPr>
        <w:tc>
          <w:tcPr>
            <w:tcW w:w="3680" w:type="dxa"/>
            <w:vAlign w:val="bottom"/>
          </w:tcPr>
          <w:p>
            <w:pPr>
              <w:ind w:left="2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00" w:type="dxa"/>
            <w:vAlign w:val="bottom"/>
            <w:tcBorders>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(42,066)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(42,066)</w:t>
            </w:r>
          </w:p>
        </w:tc>
        <w:tc>
          <w:tcPr>
            <w:tcW w:w="0" w:type="dxa"/>
            <w:vAlign w:val="bottom"/>
          </w:tcPr>
          <w:p>
            <w:pPr>
              <w:spacing w:after="0"/>
              <w:rPr>
                <w:sz w:val="1"/>
                <w:szCs w:val="1"/>
                <w:color w:val="auto"/>
              </w:rPr>
            </w:pPr>
          </w:p>
        </w:tc>
      </w:tr>
      <w:tr>
        <w:trPr>
          <w:trHeight w:val="124"/>
        </w:trPr>
        <w:tc>
          <w:tcPr>
            <w:tcW w:w="36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Issuance of common stock upon exercise of stock options, including</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6,649,247</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12,439</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1"/>
                <w:szCs w:val="11"/>
                <w:color w:val="auto"/>
              </w:rPr>
              <w:t>12,439</w:t>
            </w:r>
          </w:p>
        </w:tc>
        <w:tc>
          <w:tcPr>
            <w:tcW w:w="0" w:type="dxa"/>
            <w:vAlign w:val="bottom"/>
          </w:tcPr>
          <w:p>
            <w:pPr>
              <w:spacing w:after="0"/>
              <w:rPr>
                <w:sz w:val="1"/>
                <w:szCs w:val="1"/>
                <w:color w:val="auto"/>
              </w:rPr>
            </w:pPr>
          </w:p>
        </w:tc>
      </w:tr>
      <w:tr>
        <w:trPr>
          <w:trHeight w:val="144"/>
        </w:trPr>
        <w:tc>
          <w:tcPr>
            <w:tcW w:w="3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early exercises</w:t>
            </w:r>
          </w:p>
        </w:tc>
        <w:tc>
          <w:tcPr>
            <w:tcW w:w="9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right w:val="single" w:sz="8" w:color="auto"/>
            </w:tcBorders>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8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settlement of RSUs, net of tax</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11,780,753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(136,855)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(136,855)</w:t>
            </w:r>
          </w:p>
        </w:tc>
        <w:tc>
          <w:tcPr>
            <w:tcW w:w="0" w:type="dxa"/>
            <w:vAlign w:val="bottom"/>
          </w:tcPr>
          <w:p>
            <w:pPr>
              <w:spacing w:after="0"/>
              <w:rPr>
                <w:sz w:val="1"/>
                <w:szCs w:val="1"/>
                <w:color w:val="auto"/>
              </w:rPr>
            </w:pPr>
          </w:p>
        </w:tc>
      </w:tr>
      <w:tr>
        <w:trPr>
          <w:trHeight w:val="144"/>
        </w:trPr>
        <w:tc>
          <w:tcPr>
            <w:tcW w:w="3680" w:type="dxa"/>
            <w:vAlign w:val="bottom"/>
          </w:tcPr>
          <w:p>
            <w:pPr>
              <w:ind w:left="140"/>
              <w:spacing w:after="0"/>
              <w:rPr>
                <w:sz w:val="20"/>
                <w:szCs w:val="20"/>
                <w:color w:val="auto"/>
              </w:rPr>
            </w:pPr>
            <w:r>
              <w:rPr>
                <w:rFonts w:ascii="Arial" w:cs="Arial" w:eastAsia="Arial" w:hAnsi="Arial"/>
                <w:sz w:val="11"/>
                <w:szCs w:val="11"/>
                <w:color w:val="auto"/>
              </w:rPr>
              <w:t>withholdings</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upon IPO</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21,468,038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282,070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282,070</w:t>
            </w:r>
          </w:p>
        </w:tc>
        <w:tc>
          <w:tcPr>
            <w:tcW w:w="0" w:type="dxa"/>
            <w:vAlign w:val="bottom"/>
          </w:tcPr>
          <w:p>
            <w:pPr>
              <w:spacing w:after="0"/>
              <w:rPr>
                <w:sz w:val="1"/>
                <w:szCs w:val="1"/>
                <w:color w:val="auto"/>
              </w:rPr>
            </w:pPr>
          </w:p>
        </w:tc>
      </w:tr>
      <w:tr>
        <w:trPr>
          <w:trHeight w:val="156"/>
        </w:trPr>
        <w:tc>
          <w:tcPr>
            <w:tcW w:w="3680" w:type="dxa"/>
            <w:vAlign w:val="bottom"/>
          </w:tcPr>
          <w:p>
            <w:pPr>
              <w:ind w:left="20"/>
              <w:spacing w:after="0"/>
              <w:rPr>
                <w:sz w:val="20"/>
                <w:szCs w:val="20"/>
                <w:color w:val="auto"/>
              </w:rPr>
            </w:pPr>
            <w:r>
              <w:rPr>
                <w:rFonts w:ascii="Arial" w:cs="Arial" w:eastAsia="Arial" w:hAnsi="Arial"/>
                <w:sz w:val="11"/>
                <w:szCs w:val="11"/>
                <w:color w:val="auto"/>
              </w:rPr>
              <w:t>IPO offering costs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(9,162)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(9,162)</w:t>
            </w:r>
          </w:p>
        </w:tc>
        <w:tc>
          <w:tcPr>
            <w:tcW w:w="0" w:type="dxa"/>
            <w:vAlign w:val="bottom"/>
          </w:tcPr>
          <w:p>
            <w:pPr>
              <w:spacing w:after="0"/>
              <w:rPr>
                <w:sz w:val="1"/>
                <w:szCs w:val="1"/>
                <w:color w:val="auto"/>
              </w:rPr>
            </w:pPr>
          </w:p>
        </w:tc>
      </w:tr>
      <w:tr>
        <w:trPr>
          <w:trHeight w:val="162"/>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Repurchase of common stock</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(54,455)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21"/>
        </w:trPr>
        <w:tc>
          <w:tcPr>
            <w:tcW w:w="3680" w:type="dxa"/>
            <w:vAlign w:val="bottom"/>
          </w:tcPr>
          <w:p>
            <w:pPr>
              <w:ind w:left="20"/>
              <w:spacing w:after="0" w:line="121" w:lineRule="exact"/>
              <w:rPr>
                <w:sz w:val="20"/>
                <w:szCs w:val="20"/>
                <w:color w:val="auto"/>
              </w:rPr>
            </w:pPr>
            <w:r>
              <w:rPr>
                <w:rFonts w:ascii="Arial" w:cs="Arial" w:eastAsia="Arial" w:hAnsi="Arial"/>
                <w:sz w:val="11"/>
                <w:szCs w:val="11"/>
                <w:color w:val="auto"/>
              </w:rPr>
              <w:t>Issuance of common stock upon conversion of redeemable convertible</w:t>
            </w: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(69,914,359)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64"/>
              <w:spacing w:after="0"/>
              <w:rPr>
                <w:sz w:val="20"/>
                <w:szCs w:val="20"/>
                <w:color w:val="auto"/>
              </w:rPr>
            </w:pPr>
            <w:r>
              <w:rPr>
                <w:rFonts w:ascii="Arial" w:cs="Arial" w:eastAsia="Arial" w:hAnsi="Arial"/>
                <w:sz w:val="11"/>
                <w:szCs w:val="11"/>
                <w:color w:val="auto"/>
              </w:rPr>
              <w:t>(227,198)</w:t>
            </w:r>
          </w:p>
        </w:tc>
        <w:tc>
          <w:tcPr>
            <w:tcW w:w="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70,351,774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233,399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1"/>
                <w:szCs w:val="11"/>
                <w:color w:val="auto"/>
              </w:rPr>
              <w:t>233,407</w:t>
            </w:r>
          </w:p>
        </w:tc>
        <w:tc>
          <w:tcPr>
            <w:tcW w:w="0" w:type="dxa"/>
            <w:vAlign w:val="bottom"/>
          </w:tcPr>
          <w:p>
            <w:pPr>
              <w:spacing w:after="0"/>
              <w:rPr>
                <w:sz w:val="1"/>
                <w:szCs w:val="1"/>
                <w:color w:val="auto"/>
              </w:rPr>
            </w:pPr>
          </w:p>
        </w:tc>
      </w:tr>
      <w:tr>
        <w:trPr>
          <w:trHeight w:val="144"/>
        </w:trPr>
        <w:tc>
          <w:tcPr>
            <w:tcW w:w="3680" w:type="dxa"/>
            <w:vAlign w:val="bottom"/>
          </w:tcPr>
          <w:p>
            <w:pPr>
              <w:ind w:left="140"/>
              <w:spacing w:after="0"/>
              <w:rPr>
                <w:sz w:val="20"/>
                <w:szCs w:val="20"/>
                <w:color w:val="auto"/>
              </w:rPr>
            </w:pPr>
            <w:r>
              <w:rPr>
                <w:rFonts w:ascii="Arial" w:cs="Arial" w:eastAsia="Arial" w:hAnsi="Arial"/>
                <w:sz w:val="11"/>
                <w:szCs w:val="11"/>
                <w:color w:val="auto"/>
              </w:rPr>
              <w:t>preferred stock and SAFEs</w:t>
            </w: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Employee Stock Purchase Plan compensation expense</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153</w:t>
            </w:r>
          </w:p>
        </w:tc>
        <w:tc>
          <w:tcPr>
            <w:tcW w:w="0" w:type="dxa"/>
            <w:vAlign w:val="bottom"/>
          </w:tcPr>
          <w:p>
            <w:pPr>
              <w:spacing w:after="0"/>
              <w:rPr>
                <w:sz w:val="1"/>
                <w:szCs w:val="1"/>
                <w:color w:val="auto"/>
              </w:rPr>
            </w:pPr>
          </w:p>
        </w:tc>
      </w:tr>
      <w:tr>
        <w:trPr>
          <w:trHeight w:val="156"/>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Share-based compensation expense</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259,824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259,824</w:t>
            </w:r>
          </w:p>
        </w:tc>
        <w:tc>
          <w:tcPr>
            <w:tcW w:w="0" w:type="dxa"/>
            <w:vAlign w:val="bottom"/>
          </w:tcPr>
          <w:p>
            <w:pPr>
              <w:spacing w:after="0"/>
              <w:rPr>
                <w:sz w:val="1"/>
                <w:szCs w:val="1"/>
                <w:color w:val="auto"/>
              </w:rPr>
            </w:pPr>
          </w:p>
        </w:tc>
      </w:tr>
      <w:tr>
        <w:trPr>
          <w:trHeight w:val="173"/>
        </w:trPr>
        <w:tc>
          <w:tcPr>
            <w:tcW w:w="3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Balances as of January 31, 2026</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00" w:type="dxa"/>
            <w:vAlign w:val="bottom"/>
            <w:tcBorders>
              <w:right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150,305,463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769,730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(142,001)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614,689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09"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0" w:type="dxa"/>
            <w:vAlign w:val="bottom"/>
            <w:gridSpan w:val="4"/>
          </w:tcPr>
          <w:p>
            <w:pPr>
              <w:ind w:left="20"/>
              <w:spacing w:after="0"/>
              <w:rPr>
                <w:sz w:val="20"/>
                <w:szCs w:val="20"/>
                <w:color w:val="auto"/>
              </w:rPr>
            </w:pPr>
            <w:r>
              <w:rPr>
                <w:rFonts w:ascii="Arial" w:cs="Arial" w:eastAsia="Arial" w:hAnsi="Arial"/>
                <w:sz w:val="11"/>
                <w:szCs w:val="11"/>
                <w:b w:val="1"/>
                <w:bCs w:val="1"/>
                <w:color w:val="auto"/>
              </w:rPr>
              <w:t>Fiscal Year Ended January 31</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0"/>
                <w:szCs w:val="10"/>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39"/>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(42,066)</w:t>
            </w: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194,447</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76,966</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Depreciation and amortization of property, software, and equipment, net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7,397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6,236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6,037</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lease expense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3,066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2,899</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Cash interest paid on convertible note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(904)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(12,194)</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Cash interest paid on related-party long-term debt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Non-cash interest expense on related-party long-term debt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2,272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2,000</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income taxes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(59,555)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(60,194)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Stock-based compensation expense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259,824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9,364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11,846</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Impairment of internally developed software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Change in fair value of convertible note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(16,927)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1,270</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warrant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1,241</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Change in fair value of simple agreement for future equity</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66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1,298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1,979</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 in operating assets and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Due from clients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(108,895)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(49,052)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47,696</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receivable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(9,313)</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Other current and noncurrent assets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(31,517)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(9,890)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(976)</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734</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Accrued liabilities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2,116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1,722</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Due to clients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20,757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7,127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(7,548)</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Payable to clearing broker</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109,265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48,761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(47,353)</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revenue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(1,062)</w:t>
            </w:r>
          </w:p>
        </w:tc>
        <w:tc>
          <w:tcPr>
            <w:tcW w:w="0" w:type="dxa"/>
            <w:vAlign w:val="bottom"/>
          </w:tcPr>
          <w:p>
            <w:pPr>
              <w:spacing w:after="0"/>
              <w:rPr>
                <w:sz w:val="1"/>
                <w:szCs w:val="1"/>
                <w:color w:val="auto"/>
              </w:rPr>
            </w:pPr>
          </w:p>
        </w:tc>
      </w:tr>
      <w:tr>
        <w:trPr>
          <w:trHeight w:val="156"/>
        </w:trPr>
        <w:tc>
          <w:tcPr>
            <w:tcW w:w="6840" w:type="dxa"/>
            <w:vAlign w:val="bottom"/>
          </w:tcPr>
          <w:p>
            <w:pPr>
              <w:ind w:left="180"/>
              <w:spacing w:after="0"/>
              <w:rPr>
                <w:sz w:val="20"/>
                <w:szCs w:val="20"/>
                <w:color w:val="auto"/>
              </w:rPr>
            </w:pPr>
            <w:r>
              <w:rPr>
                <w:rFonts w:ascii="Arial" w:cs="Arial" w:eastAsia="Arial" w:hAnsi="Arial"/>
                <w:sz w:val="11"/>
                <w:szCs w:val="11"/>
                <w:color w:val="auto"/>
              </w:rPr>
              <w:t>Lease liabilities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(3,705)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(3,396)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(3,101)</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noncurrent liabilities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7"/>
        </w:trPr>
        <w:tc>
          <w:tcPr>
            <w:tcW w:w="6840" w:type="dxa"/>
            <w:vAlign w:val="bottom"/>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152,189</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123,150</w:t>
            </w: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72,918</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Purchases of property, software, and equipment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(1,138)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(533)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Capitalized internally developed software</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(4,661)</w:t>
            </w:r>
          </w:p>
        </w:tc>
        <w:tc>
          <w:tcPr>
            <w:tcW w:w="0" w:type="dxa"/>
            <w:vAlign w:val="bottom"/>
          </w:tcPr>
          <w:p>
            <w:pPr>
              <w:spacing w:after="0"/>
              <w:rPr>
                <w:sz w:val="1"/>
                <w:szCs w:val="1"/>
                <w:color w:val="auto"/>
              </w:rPr>
            </w:pPr>
          </w:p>
        </w:tc>
      </w:tr>
      <w:tr>
        <w:trPr>
          <w:trHeight w:val="147"/>
        </w:trPr>
        <w:tc>
          <w:tcPr>
            <w:tcW w:w="6840" w:type="dxa"/>
            <w:vAlign w:val="bottom"/>
          </w:tcPr>
          <w:p>
            <w:pPr>
              <w:ind w:left="20"/>
              <w:spacing w:after="0"/>
              <w:rPr>
                <w:sz w:val="20"/>
                <w:szCs w:val="20"/>
                <w:color w:val="auto"/>
              </w:rPr>
            </w:pPr>
            <w:r>
              <w:rPr>
                <w:rFonts w:ascii="Arial" w:cs="Arial" w:eastAsia="Arial" w:hAnsi="Arial"/>
                <w:sz w:val="11"/>
                <w:szCs w:val="11"/>
                <w:color w:val="auto"/>
              </w:rPr>
              <w:t>Net cash used in investing activities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(1,138)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(5,843)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(5,163)</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Repayment of convertible note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(29,122)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(40,578)</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Principal repayment of related-party long-term debt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Proceeds from draw on credit facility</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200,000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draw on credit facility</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Taxes paid related to net share settlement of equity awards in connection with IPO</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(136,855)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issuance of common stock</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282,222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IPO offering costs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(9,162)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exercise of stock options, including early exercises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4,919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w:t>
            </w:r>
          </w:p>
        </w:tc>
        <w:tc>
          <w:tcPr>
            <w:tcW w:w="0" w:type="dxa"/>
            <w:vAlign w:val="bottom"/>
          </w:tcPr>
          <w:p>
            <w:pPr>
              <w:spacing w:after="0"/>
              <w:rPr>
                <w:sz w:val="1"/>
                <w:szCs w:val="1"/>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(37,037)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issuance of treasury stock</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22,694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6840" w:type="dxa"/>
            <w:vAlign w:val="bottom"/>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148,186</w:t>
            </w: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(58,546)</w:t>
            </w:r>
          </w:p>
        </w:tc>
        <w:tc>
          <w:tcPr>
            <w:tcW w:w="80" w:type="dxa"/>
            <w:vAlign w:val="bottom"/>
          </w:tcPr>
          <w:p>
            <w:pPr>
              <w:spacing w:after="0"/>
              <w:rPr>
                <w:sz w:val="12"/>
                <w:szCs w:val="12"/>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(39,499)</w:t>
            </w:r>
          </w:p>
        </w:tc>
        <w:tc>
          <w:tcPr>
            <w:tcW w:w="0" w:type="dxa"/>
            <w:vAlign w:val="bottom"/>
          </w:tcPr>
          <w:p>
            <w:pPr>
              <w:spacing w:after="0"/>
              <w:rPr>
                <w:sz w:val="1"/>
                <w:szCs w:val="1"/>
                <w:color w:val="auto"/>
              </w:rPr>
            </w:pPr>
          </w:p>
        </w:tc>
      </w:tr>
      <w:tr>
        <w:trPr>
          <w:trHeight w:val="124"/>
        </w:trPr>
        <w:tc>
          <w:tcPr>
            <w:tcW w:w="68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Net increase in cash and cash equivalents, cash segregated and on deposit for regulatory purposes, and restricted cash and cash</w:t>
            </w:r>
          </w:p>
        </w:tc>
        <w:tc>
          <w:tcPr>
            <w:tcW w:w="3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299,237</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58,761</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28,256</w:t>
            </w:r>
          </w:p>
        </w:tc>
        <w:tc>
          <w:tcPr>
            <w:tcW w:w="0" w:type="dxa"/>
            <w:vAlign w:val="bottom"/>
          </w:tcPr>
          <w:p>
            <w:pPr>
              <w:spacing w:after="0"/>
              <w:rPr>
                <w:sz w:val="1"/>
                <w:szCs w:val="1"/>
                <w:color w:val="auto"/>
              </w:rPr>
            </w:pPr>
          </w:p>
        </w:tc>
      </w:tr>
      <w:tr>
        <w:trPr>
          <w:trHeight w:val="144"/>
        </w:trPr>
        <w:tc>
          <w:tcPr>
            <w:tcW w:w="68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equivalents</w:t>
            </w:r>
          </w:p>
        </w:tc>
        <w:tc>
          <w:tcPr>
            <w:tcW w:w="3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u w:val="single" w:color="auto"/>
          <w:color w:val="0000FF"/>
        </w:rPr>
        <w:t>Table of Contents</w:t>
      </w:r>
    </w:p>
    <w:p>
      <w:pPr>
        <w:sectPr>
          <w:pgSz w:w="11900" w:h="16838" w:orient="portrait"/>
          <w:cols w:equalWidth="0" w:num="1">
            <w:col w:w="11280"/>
          </w:cols>
          <w:pgMar w:left="300" w:top="2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1"/>
          <w:szCs w:val="11"/>
          <w:color w:val="auto"/>
        </w:rPr>
        <w:t>Cash and cash equivalents, cash segregated and on deposit for regulatory purposes, and restricted cash and cash equivalents at the</w:t>
      </w:r>
    </w:p>
    <w:tbl>
      <w:tblPr>
        <w:tblLayout w:type="fixed"/>
        <w:tblInd w:w="20" w:type="dxa"/>
        <w:tblCellMar>
          <w:top w:w="0" w:type="dxa"/>
          <w:left w:w="0" w:type="dxa"/>
          <w:bottom w:w="0" w:type="dxa"/>
          <w:right w:w="0" w:type="dxa"/>
        </w:tblCellMar>
      </w:tblPr>
      <w:tr>
        <w:trPr>
          <w:trHeight w:val="139"/>
        </w:trPr>
        <w:tc>
          <w:tcPr>
            <w:tcW w:w="6740" w:type="dxa"/>
            <w:vAlign w:val="bottom"/>
          </w:tcPr>
          <w:p>
            <w:pPr>
              <w:ind w:left="120"/>
              <w:spacing w:after="0"/>
              <w:rPr>
                <w:sz w:val="20"/>
                <w:szCs w:val="20"/>
                <w:color w:val="auto"/>
              </w:rPr>
            </w:pPr>
            <w:r>
              <w:rPr>
                <w:rFonts w:ascii="Arial" w:cs="Arial" w:eastAsia="Arial" w:hAnsi="Arial"/>
                <w:sz w:val="11"/>
                <w:szCs w:val="11"/>
                <w:color w:val="auto"/>
              </w:rPr>
              <w:t>beginning of the period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740" w:type="dxa"/>
            <w:vAlign w:val="bottom"/>
          </w:tcPr>
          <w:p>
            <w:pPr>
              <w:spacing w:after="0" w:line="117" w:lineRule="exact"/>
              <w:rPr>
                <w:sz w:val="20"/>
                <w:szCs w:val="20"/>
                <w:color w:val="auto"/>
              </w:rPr>
            </w:pPr>
            <w:r>
              <w:rPr>
                <w:rFonts w:ascii="Arial" w:cs="Arial" w:eastAsia="Arial" w:hAnsi="Arial"/>
                <w:sz w:val="11"/>
                <w:szCs w:val="11"/>
                <w:color w:val="auto"/>
              </w:rPr>
              <w:t>Cash and cash equivalents, cash segregated and on deposit for regulatory purposes, and restricted cash and cash equivalents at the</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6740" w:type="dxa"/>
            <w:vAlign w:val="bottom"/>
          </w:tcPr>
          <w:p>
            <w:pPr>
              <w:ind w:left="120"/>
              <w:spacing w:after="0"/>
              <w:rPr>
                <w:sz w:val="20"/>
                <w:szCs w:val="20"/>
                <w:color w:val="auto"/>
              </w:rPr>
            </w:pPr>
            <w:r>
              <w:rPr>
                <w:rFonts w:ascii="Arial" w:cs="Arial" w:eastAsia="Arial" w:hAnsi="Arial"/>
                <w:sz w:val="11"/>
                <w:szCs w:val="11"/>
                <w:color w:val="auto"/>
              </w:rPr>
              <w:t>end of the period</w:t>
            </w: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740" w:type="dxa"/>
            <w:vAlign w:val="bottom"/>
          </w:tcPr>
          <w:p>
            <w:pPr>
              <w:spacing w:after="0"/>
              <w:rPr>
                <w:sz w:val="20"/>
                <w:szCs w:val="20"/>
                <w:color w:val="auto"/>
              </w:rPr>
            </w:pPr>
            <w:r>
              <w:rPr>
                <w:rFonts w:ascii="Arial" w:cs="Arial" w:eastAsia="Arial" w:hAnsi="Arial"/>
                <w:sz w:val="11"/>
                <w:szCs w:val="11"/>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35"/>
        </w:trPr>
        <w:tc>
          <w:tcPr>
            <w:tcW w:w="6740" w:type="dxa"/>
            <w:vAlign w:val="bottom"/>
          </w:tcPr>
          <w:p>
            <w:pPr>
              <w:spacing w:after="0"/>
              <w:rPr>
                <w:sz w:val="20"/>
                <w:szCs w:val="20"/>
                <w:color w:val="auto"/>
              </w:rPr>
            </w:pPr>
            <w:r>
              <w:rPr>
                <w:rFonts w:ascii="Arial" w:cs="Arial" w:eastAsia="Arial" w:hAnsi="Arial"/>
                <w:sz w:val="11"/>
                <w:szCs w:val="11"/>
                <w:b w:val="1"/>
                <w:bCs w:val="1"/>
                <w:color w:val="auto"/>
              </w:rPr>
              <w:t>Non-cash investing activities</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161530" cy="1009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107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-686435</wp:posOffset>
            </wp:positionV>
            <wp:extent cx="7161530" cy="168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154,553</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95,792</w:t>
            </w:r>
          </w:p>
        </w:tc>
        <w:tc>
          <w:tcPr>
            <w:tcW w:w="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67,536</w:t>
            </w:r>
          </w:p>
        </w:tc>
      </w:tr>
      <w:tr>
        <w:trPr>
          <w:trHeight w:val="224"/>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453,790</w:t>
            </w: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154,553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95,792</w:t>
            </w:r>
          </w:p>
        </w:tc>
      </w:tr>
      <w:tr>
        <w:trPr>
          <w:trHeight w:val="20"/>
        </w:trPr>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46"/>
        </w:trPr>
        <w:tc>
          <w:tcPr>
            <w:tcW w:w="560" w:type="dxa"/>
            <w:vAlign w:val="bottom"/>
          </w:tcPr>
          <w:p>
            <w:pPr>
              <w:jc w:val="right"/>
              <w:ind w:right="83"/>
              <w:spacing w:after="0"/>
              <w:rPr>
                <w:sz w:val="20"/>
                <w:szCs w:val="20"/>
                <w:color w:val="auto"/>
              </w:rPr>
            </w:pPr>
            <w:r>
              <w:rPr>
                <w:rFonts w:ascii="Arial" w:cs="Arial" w:eastAsia="Arial" w:hAnsi="Arial"/>
                <w:sz w:val="11"/>
                <w:szCs w:val="11"/>
                <w:color w:val="auto"/>
              </w:rPr>
              <w:t>9,127</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3"/>
              <w:spacing w:after="0"/>
              <w:rPr>
                <w:sz w:val="20"/>
                <w:szCs w:val="20"/>
                <w:color w:val="auto"/>
              </w:rPr>
            </w:pPr>
            <w:r>
              <w:rPr>
                <w:rFonts w:ascii="Arial" w:cs="Arial" w:eastAsia="Arial" w:hAnsi="Arial"/>
                <w:sz w:val="11"/>
                <w:szCs w:val="11"/>
                <w:color w:val="auto"/>
              </w:rPr>
              <w:t>12,240</w:t>
            </w:r>
          </w:p>
        </w:tc>
        <w:tc>
          <w:tcPr>
            <w:tcW w:w="80" w:type="dxa"/>
            <w:vAlign w:val="bottom"/>
          </w:tcPr>
          <w:p>
            <w:pPr>
              <w:spacing w:after="0"/>
              <w:rPr>
                <w:sz w:val="24"/>
                <w:szCs w:val="24"/>
                <w:color w:val="auto"/>
              </w:rPr>
            </w:pP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17,445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-298450</wp:posOffset>
            </wp:positionV>
            <wp:extent cx="9029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02970" cy="6985"/>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7080" w:space="720"/>
            <w:col w:w="3480"/>
          </w:cols>
          <w:pgMar w:left="300" w:top="210" w:right="31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included in capitalized internally developed software</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1,637</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1,409</w:t>
            </w: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Non-cash recognition of new lease</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747</w:t>
            </w:r>
          </w:p>
        </w:tc>
        <w:tc>
          <w:tcPr>
            <w:tcW w:w="1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3"/>
        </w:trPr>
        <w:tc>
          <w:tcPr>
            <w:tcW w:w="6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9"/>
        </w:trPr>
        <w:tc>
          <w:tcPr>
            <w:tcW w:w="6840" w:type="dxa"/>
            <w:vAlign w:val="bottom"/>
          </w:tcPr>
          <w:p>
            <w:pPr>
              <w:ind w:left="20"/>
              <w:spacing w:after="0"/>
              <w:rPr>
                <w:sz w:val="20"/>
                <w:szCs w:val="20"/>
                <w:color w:val="auto"/>
              </w:rPr>
            </w:pPr>
            <w:r>
              <w:rPr>
                <w:rFonts w:ascii="Arial" w:cs="Arial" w:eastAsia="Arial" w:hAnsi="Arial"/>
                <w:sz w:val="11"/>
                <w:szCs w:val="11"/>
                <w:b w:val="1"/>
                <w:bCs w:val="1"/>
                <w:color w:val="auto"/>
              </w:rPr>
              <w:t>Non-cash financing activities</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1"/>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from conversion of preferred stock and SAFEs</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233,399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Change in early exercise of options liability</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
              <w:spacing w:after="0"/>
              <w:rPr>
                <w:sz w:val="20"/>
                <w:szCs w:val="20"/>
                <w:color w:val="auto"/>
              </w:rPr>
            </w:pPr>
            <w:r>
              <w:rPr>
                <w:rFonts w:ascii="Arial" w:cs="Arial" w:eastAsia="Arial" w:hAnsi="Arial"/>
                <w:sz w:val="11"/>
                <w:szCs w:val="11"/>
                <w:color w:val="auto"/>
              </w:rPr>
              <w:t>169</w:t>
            </w:r>
          </w:p>
        </w:tc>
        <w:tc>
          <w:tcPr>
            <w:tcW w:w="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396</w:t>
            </w: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Retirement of common stock</w:t>
            </w: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12"/>
        </w:trPr>
        <w:tc>
          <w:tcPr>
            <w:tcW w:w="6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21"/>
        </w:trPr>
        <w:tc>
          <w:tcPr>
            <w:tcW w:w="684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The following presents cash and cash equivalents, cash segregated and on deposit for regulatory purposes, and restricted</w:t>
            </w: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4"/>
        </w:trPr>
        <w:tc>
          <w:tcPr>
            <w:tcW w:w="6840" w:type="dxa"/>
            <w:vAlign w:val="bottom"/>
            <w:shd w:val="clear" w:color="auto" w:fill="CCEEFF"/>
          </w:tcPr>
          <w:p>
            <w:pPr>
              <w:ind w:left="140"/>
              <w:spacing w:after="0"/>
              <w:rPr>
                <w:sz w:val="20"/>
                <w:szCs w:val="20"/>
                <w:color w:val="auto"/>
              </w:rPr>
            </w:pPr>
            <w:r>
              <w:rPr>
                <w:rFonts w:ascii="Arial" w:cs="Arial" w:eastAsia="Arial" w:hAnsi="Arial"/>
                <w:sz w:val="11"/>
                <w:szCs w:val="11"/>
                <w:b w:val="1"/>
                <w:bCs w:val="1"/>
                <w:color w:val="auto"/>
              </w:rPr>
              <w:t>cash and cash equivalents</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56"/>
        </w:trPr>
        <w:tc>
          <w:tcPr>
            <w:tcW w:w="684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440,805</w:t>
            </w:r>
          </w:p>
        </w:tc>
        <w:tc>
          <w:tcPr>
            <w:tcW w:w="1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
              <w:spacing w:after="0"/>
              <w:rPr>
                <w:sz w:val="20"/>
                <w:szCs w:val="20"/>
                <w:color w:val="auto"/>
              </w:rPr>
            </w:pPr>
            <w:r>
              <w:rPr>
                <w:rFonts w:ascii="Arial" w:cs="Arial" w:eastAsia="Arial" w:hAnsi="Arial"/>
                <w:sz w:val="11"/>
                <w:szCs w:val="11"/>
                <w:color w:val="auto"/>
              </w:rPr>
              <w:t>142,860</w:t>
            </w:r>
          </w:p>
        </w:tc>
        <w:tc>
          <w:tcPr>
            <w:tcW w:w="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86,721</w:t>
            </w:r>
          </w:p>
        </w:tc>
      </w:tr>
      <w:tr>
        <w:trPr>
          <w:trHeight w:val="162"/>
        </w:trPr>
        <w:tc>
          <w:tcPr>
            <w:tcW w:w="68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segregated and on deposit for regulatory purposes</w:t>
            </w: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10,375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1"/>
                <w:szCs w:val="11"/>
                <w:color w:val="auto"/>
              </w:rPr>
              <w:t>9,083</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6,461</w:t>
            </w:r>
          </w:p>
        </w:tc>
      </w:tr>
      <w:tr>
        <w:trPr>
          <w:trHeight w:val="15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Restricted cash and cash equivalents in other noncurrent assets</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color w:val="auto"/>
              </w:rPr>
              <w:t>2,610</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2,610</w:t>
            </w:r>
          </w:p>
        </w:tc>
      </w:tr>
      <w:tr>
        <w:trPr>
          <w:trHeight w:val="17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and cash equivalents, cash segregated and on deposit for regulatory purposes, and restricted cash and cash equivalents</w:t>
            </w: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453,790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1"/>
                <w:szCs w:val="11"/>
                <w:color w:val="auto"/>
              </w:rPr>
              <w:t>154,553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95,792</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left="500" w:hanging="495"/>
        <w:spacing w:after="0"/>
        <w:tabs>
          <w:tab w:leader="none" w:pos="50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significant, wholly owned subsidiaries include Wealthfront Advisers LLC, a U.S. Securities and Exchange Commission (“SEC”)-registered investment adviser, and Wealthfront Brokerage LLC, an SEC-registered broker-dealer and a member of the Financial Industry Regulatory Authority.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Initial Public Offering</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December 15, 2025, the Company closed its IPO of 34,615,384 shares of its common stock at a public offering price of $14.00 per share. In the IPO, 21,468,038 shares of common stock were sold by the Company and 13,147,346 shares of common stock were sold by selling stockholders. The Company’s net proceeds from the sale of common stock were $282.1 million, partially offset by underwriting discounts and commissions payable by the Company of $18.5 million. In connection with the IPO, all of the outstanding shares of convertible preferred stock automatically converted into 69,852,421 shares of common stock and all warrants became exercisable at a weighted average price of $2.73 per share for an aggregate of 1,953,463 shares of common stock. Upon completion of the IPO, approximately $9.2 million of deferred offering costs were reclassified into stockholders’ equity as a reduction of the IPO proceeds. The Company recognized a one-time cumulative share-based compensation expense of approximately $239.0 million related to RSUs for which the time-based vesting condition was satisfied or partially satisfied when the performance condition was satisfied. The performance condition was satisfied upon the completion of the IPO. The Company incurred $ 140.9 million of tax withholdings and remittance obligations in connection with the net settlement of RSUs upon IPO completion, inclusive of employee and employer payroll tax obligations.</w:t>
      </w:r>
    </w:p>
    <w:p>
      <w:pPr>
        <w:spacing w:after="0" w:line="104" w:lineRule="exact"/>
        <w:rPr>
          <w:sz w:val="20"/>
          <w:szCs w:val="20"/>
          <w:color w:val="auto"/>
        </w:rPr>
      </w:pPr>
    </w:p>
    <w:p>
      <w:pPr>
        <w:ind w:right="7800" w:firstLine="5"/>
        <w:spacing w:after="0" w:line="442" w:lineRule="auto"/>
        <w:tabs>
          <w:tab w:leader="none" w:pos="50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accompanying consolidated financial statements have been prepared in accordance with U.S. GAAP and the applicable rules and regulations of the SEC. The consolidated financial statements include the accounts of Wealthfront and its wholly owned subsidiaries. All intercompany balances and transactions have been eliminated upon consolidation.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(loss) to allocate resources and determine performance. The Company’s objective in making resource allocation decisions is to optimize the consolidated financial results. The significant segment expenses reviewed by the CODM conform to the presentation of such items in the consolidated statements of operations. The CODM does not review segment assets at a different asset level or category other than the amounts disclosed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right="2120"/>
        <w:spacing w:after="0" w:line="442" w:lineRule="auto"/>
        <w:rPr>
          <w:sz w:val="20"/>
          <w:szCs w:val="20"/>
          <w:color w:val="auto"/>
        </w:rPr>
      </w:pPr>
      <w:r>
        <w:rPr>
          <w:rFonts w:ascii="Arial" w:cs="Arial" w:eastAsia="Arial" w:hAnsi="Arial"/>
          <w:sz w:val="14"/>
          <w:szCs w:val="14"/>
          <w:color w:val="auto"/>
        </w:rPr>
        <w:t xml:space="preserve">All revenue and long-lived assets in these consolidated financial statements relate to contracts with clients located in the United States of America. </w:t>
      </w:r>
      <w:r>
        <w:rPr>
          <w:rFonts w:ascii="Arial" w:cs="Arial" w:eastAsia="Arial" w:hAnsi="Arial"/>
          <w:sz w:val="14"/>
          <w:szCs w:val="14"/>
          <w:b w:val="1"/>
          <w:bCs w:val="1"/>
          <w:color w:val="auto"/>
        </w:rPr>
        <w:t>Use of Estimates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preparation of the consolidated financial statements in conformity with GAAP requires management to make estimates and assumptions that affect the reported amounts in the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Estimates, judgments and assumptions in these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and the realizability of deferred tax assets, net and uncertain tax positions.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Credit Risk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financial instruments that potentially subject the Company to concentrations of credit risk primarily consist of cash, cash equivalents, restricted cash and cash equivalents, margin loans to its clients, and the convertible note.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Offering Costs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Deferred offering costs primarily consist of accounting, legal, and other fees directly related to the Company’s IPO. Upon consummation of the IPO in December 2025, the deferred offering costs of $9.2 million were reclassified to stockholders’ equity (deficit) and recorded against the proceeds from the IPO.</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amount of revenue recognized by the Company is measured based on the consideration specified within the contracts with clients. The Company recognizes revenue when a performance obligation is satisfied over time as the services are performed or at a point in time, depending on the nature of the services provided, as further discussed below. The Company has elected the “as-invoiced” practical expedient which allows for revenue to be recognized based on the contractual amount the Company has the right to invoice, as the amount corresponds directly with the value of the services performed to-date.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description of the Company’s revenue streams is as follows: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Management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management revenue primarily consists of fees earned from program banks daily in the Company’s cash sweep program on clients’ cash swept to each program bank (“Cash Account fees”). Cash management services represent a distinct integrated service, and revenue is recognized over time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the services are performed because clients simultaneously receive and consume the benefits of the services. Cash account fees are considered variable consideration as there is uncertainty in the amount of revenue depending on deposits held at the program banks, which is outside of the Company’s influence. Cash account fees consist of the difference between the total amount paid by program banks on deposits held at the program bank and the amount paid by program banks to the Company's clients at the rate set by the Company. During the fiscal years ended January 31, 2026, 2025, and 2024, the Company offered a referral incentive program whereby both the referred and referring clients received an interest rate promotional benefit on Cash Account balances for a limited period of time. Consideration paid to clients for receiving a referral is accounted for as a reduction to cash management revenue when earned. Consideration paid to clients for referring a new client is accounted for as a marketing expense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Investment advisory consists of fees charged for investment advisory and portfolio management services. Investment advisory services represent a series of distinct services that are substantially the same and have the same pattern of transfer to the client, and revenue is recognized over time as the services are performed because clients simultaneously receive and consume the benefits of the services. Investment advisory fees are earned based on a percentage applied to the market value, less fee waivers, of assets held in client accounts at the close of market. Investment advisory fees are recognized daily and charged to client accounts on a monthly basis in arrears.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Revenue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revenue primarily consists of net interest margin revenue and proxy distribution revenue. For the fiscal year ended January 31, 2025, other revenue included a discontinued product.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Net interest margin revenue is earned from clients’ borrowings on margin, secured by securities and cash held on behalf of the clients, less interest expense incurred related to the funding costs associated with the margin loans. Revenue is recognized over time as interest is earned on the outstanding margin loans using the applicable interest method, as clients simultaneously receive and consume the benefits of financing. The Company generated $8.6 million of margin interest revenue and incurred $8.3 million of margin interest expense for the fiscal year ending January 31, 2026.</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Proxy distribution revenue is earned through a partnership with a third-party investor communications company. The Company provides certain stockholder information for proxy voting materials to the third-party company, which is used to send investor materials to stockholders, such as materials related to stockholder meetings and voting instruction forms. The Company earns a share of the revenue the third party receives from issuers and recognizes revenue at a point in time when the stockholder information is provided to the third party, which satisfies the Company’s performance obligation.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Contract assets are rights to consideration in exchange for services that the Company has transferred to a client when such a right is conditional on something other than the passage of time. In some arrangements, a right to consideration for the Company’s performance under the client contract may occur before payment is received, resulting in an accounts receivable.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of Revenue and Operating Expenses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 principal in the revenue arrangements, cost of revenue primarily consists of expenses related to cash management, brokerage platform, and data costs, inclusive of amortization of internally-developed software costs related to these services. Cash management costs primarily consist of amounts paid to a third party for the administration of the Company’s cash sweep program and debit card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Development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Product development expense primarily consists of personnel-related costs, cloud computing costs, amortization of internally-developed software, and allocated overhead incurred in connection with the development of the Company’s platform and new products as well as the improvement of existing products.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Marketing expense primarily consists of performance and brand advertising, client referral costs, personnel-related costs, and allocated overhead.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Advertising and promotion costs are expensed as incurred as a component of marketing in the consolidated statements of operations. Advertising costs amounted to $35.7 million, $43.8 million and $16.5 million for the fiscal years ended January 31, 2026, 2025, and 2024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General and administrative expense primarily consists of personnel-related costs for executive management and administrative functions, including finance and accounting, legal, and people operations, as well as general corporate and director and officer insurance. General and administrative expense also include certain professional services costs, allocated overhead, and other business costs.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Support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Operations and support expense primarily consists of personnel-related costs, third-party service provider costs, and allocated overhead, inclusive of amortization of internally-developed software costs.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Stock</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records treasury stock purchases using the cost method, presenting the total acquisition costs of common stock as treasury stock in the consolidated balance sheets. If the Company subsequently reissues the repurchased shares, proceeds in excess of or less than the original cost are recorded to additional paid-in capital in the consolidated balance sheets.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retirement of shares, the Company reduces the common stock by an amount equal to the number of shares being retired multiplied by the par value and reduces additional paid-in capital for the amount in excess of the par value.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Stock-based compensation related to stock-based awards is recognized based on the fair value of the awards granted. The Company determines fair value of stock-based awards on the grant date using the closing price of the Company’s common stock, which is traded on the Nasdaq Global Select Market.</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the IPO, the fair value of stock-based awards was estimated using the Black-Scholes-Merton (“BSM”) model, considering factors such as the expected term, fair value of common stock, expected volatility, risk-free interest rate, and dividend yield.</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grants time-based equity awards that vest once the service is rendered and related stock-based compensation expense is recognized on a straight-line basis over the requisite service period. Prior to the IPO, the time-based RSUs vested based upon the satisfaction of both a time-based service condition and a performance-based condition, defined as the earlier of: (i) the closing of certain, specific liquidation or change in control transactions, or (ii) an IPO of the Company’s common stock.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8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Company recorded stock-based compensation expense associated with performance-based equity awards on an accelerated attribution method over the requisite service period, and only if performance-based conditions were considered probable to be satisfied. The performance-based condition for the pre-IPO grants was satisfied upon the occurrence of the IPO in December 2025, at which point the Company recorded a cumulative one-time share-based compensation expense determined using the awards’ grant-date fair value. Share-based compensation related to the remaining time-based service after the IPO is recorded over the remaining requisite service period. Awards containing time-based and performance-based conditions granted for the fiscal years ended January 31, 2026 and 2025 did not require the grantee to be employed upon satisfaction of the performance-based condition. For awards granted after the IPO, the time-based equity awards require the grantee to be employed by the Company as of the vesting date.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Company accounts for forfeitures as they occur. Forfeitures were immaterial for the fiscal years ended January 31, 2026, 2025, and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or adjusted where necessary to reduce deferred tax assets to amounts expected to be realized. The Company evaluates uncertain tax positions taken or expected to be taken each reporting period to determine whether the tax positions are more likely than not of being sustained upon challenge by the applicable tax authority.</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to be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and penalties in other expense (income), net in the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 Attributable to Common Stockholders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The Company’s basic earnings per share is calculated by dividing net income attributable to common stockholders by the weighted-average number of common stock outstanding for the period, without consideration of potentially dilutive securities. The diluted earnings per share is calculated by giving effect to all potentially dilutive securities outstanding for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period utilizing the treasury stock method or the if-converted method based on the nature of such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Restricted Cash and Cash Equivalents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considers all demand deposits held in banks and certain highly liquid investments with original maturities of three months or less to be cash equivalents. Cash equivalents consist of money market funds and certificates of deposit.</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Restricted cash and cash equivalents comprises cash and certificates of deposit required to be maintained with the Company’s brokerage service partners and third-party banks and is included in other noncurrent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Segregated and on Deposit for Regulatory Purposes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segregated and on deposit for regulatory purposes represent amounts segregated in accordance with Rule 15c3-3 of the Securities Exchange Act of 1934, as amended (“Rule 15c3-3”). Under Rule 15c3-3, a broker-dealer carrying client accounts is subject to requirements related to maintaining cash or qualified securities in a segregated reserve account for the exclusive benefit of clients.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from Clients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Due from clients represents fully secured amounts owed to the Company. The Company offers its margin lending product to eligible clients collateralized by their respective security and cash holdings. The Company monitors margin levels and requires additional collateral or margin reduction to meet minimum collateral requirements based on fair value. The Company applies the practical expedient based on collateral maintenance provisions in estimating an allowance for credit losses for margin loans. The Company has no expectation of credit losses for amounts due from clients for margin loans that are fully secured, where the fair value of the collateral securing the balance is equal to or in excess of the receivable amount. This is based on an assessment of the composition of the collateral, potential future changes in collateral values, and historical credit loss information relating to fully secured receivables. If the fair value of the collateral is less than the outstanding margin loan due from a client, the Company recognizes an allowance for the difference. If the fair value of the collateral is greater than the amortized cost of the financial asset, and the Company reasonably expects that the collateral will be replenished as required, there is no expectation of credit losses. If the amortized cost exceeds the fair value of collateral, then credit losses are estimated only on the unsecured portion. As of January 31, 2026 and 2025, the allowance for credit losses and related activity were immaterial.</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to Clients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Due to clients primarily relates to client cash balances in their brokerage account. The cash balances typically arise from client cash received by the clearing firm or held in the bank account for the client’s benefit. This cash has not yet been directed towards client investment or cash management, or is pending withdrawal.</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Payable to Clearing Broker</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a loan payable to its clearing broker related to funds borrowed to finance client margin loans. The securities of clients with margin loan balances are segregated and made available to the clearing broker as collateral for the outstanding loan balance. Service charges payable to the clearing broker and interest payable to the clearing broker were immaterial as of January 31, 2026 and 2025.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Fractional Share Program</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operates a fractional share program for the benefit of its clients and maintains inventory of securities held exclusively for the fractional share program. This proprietary inventory is recorded within other current assets in the consolidated balance sheets.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When a client purchases a fractional share, the Company records the cash received for the client-held fractional shares as pledged collateral and an offsetting liability to repurchase the share. The Company does not meet the criteria for derecognition under the accounting guidance and client-held fractional shares are accounted for as a secured borrowing. Proprietary inventory of securities, client-held fractional shares, and fractional shares repurchase obligation are measured at fair value at each reporting period via the election of the fair value option, with realized and unrealized gains and losses recorded in other expense (income), net in the consolidated statements of operations, which were immaterial during the fiscal years ended January 31, 2026 and 2025. The Company does not earn revenue from its clients when they purchase or sell fractional shares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At lease commencement, an operating lease right-of-use (“ROU”) asset and lease liability are recognized based on the present value of lease payments over the lease term. While the operating leases may include options to extend the term, these options are not included when calculating the operating lease ROU asset and lease liability unless it is reasonably certain such options will be exercised. The Company uses the incremental borrowing rate to determine the present value of the future lease payments, which is the theoretical interest rate that the Company would pay to borrow under similar terms and payments on a collateralized basis for the lease. The Company applies the short-term lease measurement and recognition practical expedient to its leases with an initial term of 12 months or less, which are not recorded in the consolidated balance sheets. The Company’s lease agreements include both lease and non-lease components, such as common area maintenance, which are variable and are accounted for together with the lease as a single lease component.</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Software, and Equipment, Net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Property, software, and equipment are stated at cost, net of accumulated depreciation. Expenditures for repairs and maintenance are expensed in the period incurred. Depreciation is computed using the straight-line method based on estimated useful lives of the respective assets. Depreciation expense is included in the consolidated statements of operations, allocated to operations and support, product development, marketing, and general and administrative expenses based on relative payroll percentages by function.</w:t>
      </w:r>
    </w:p>
    <w:p>
      <w:pPr>
        <w:spacing w:after="0" w:line="81"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 Company capitalizes expenses for developing and enhancing internal-use software once the preliminary project stage is complete, it is probable that the project will be completed and the software will be used to perform the function intended. Capitalized costs are amortized over the estimated useful life of the software on a straight-line basis. Amortization expense is included in the consolidated statements of operations, allocated to cost of revenue and operations and support, based on the nature of the underlying use of that software. The useful life of all capitalized internally developed software as of January 31, 2026 and 2025 was three years. Capitalization ceases when the software project is substantially complete and ready for its intended use. The Company capitalizes personnel-related expenses for employees directly involved in the internal-use software development, limited to the time directly spent on the projects.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20"/>
                <w:szCs w:val="20"/>
                <w:color w:val="auto"/>
              </w:rPr>
            </w:pPr>
            <w:r>
              <w:rPr>
                <w:rFonts w:ascii="Arial" w:cs="Arial" w:eastAsia="Arial" w:hAnsi="Arial"/>
                <w:sz w:val="14"/>
                <w:szCs w:val="14"/>
                <w:color w:val="auto"/>
              </w:rPr>
              <w:t>The estimated useful lives are as follows:</w:t>
            </w:r>
          </w:p>
        </w:tc>
        <w:tc>
          <w:tcPr>
            <w:tcW w:w="7160" w:type="dxa"/>
            <w:vAlign w:val="bottom"/>
          </w:tcPr>
          <w:p>
            <w:pPr>
              <w:spacing w:after="0"/>
              <w:rPr>
                <w:sz w:val="16"/>
                <w:szCs w:val="16"/>
                <w:color w:val="auto"/>
              </w:rPr>
            </w:pPr>
          </w:p>
        </w:tc>
      </w:tr>
      <w:tr>
        <w:trPr>
          <w:trHeight w:val="147"/>
        </w:trPr>
        <w:tc>
          <w:tcPr>
            <w:tcW w:w="4120" w:type="dxa"/>
            <w:vAlign w:val="bottom"/>
          </w:tcPr>
          <w:p>
            <w:pPr>
              <w:spacing w:after="0"/>
              <w:rPr>
                <w:sz w:val="12"/>
                <w:szCs w:val="12"/>
                <w:color w:val="auto"/>
              </w:rPr>
            </w:pPr>
          </w:p>
        </w:tc>
        <w:tc>
          <w:tcPr>
            <w:tcW w:w="7160" w:type="dxa"/>
            <w:vAlign w:val="bottom"/>
          </w:tcPr>
          <w:p>
            <w:pPr>
              <w:spacing w:after="0"/>
              <w:rPr>
                <w:sz w:val="12"/>
                <w:szCs w:val="12"/>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7160" w:type="dxa"/>
            <w:vAlign w:val="bottom"/>
            <w:shd w:val="clear" w:color="auto" w:fill="CCEEFF"/>
          </w:tcPr>
          <w:p>
            <w:pPr>
              <w:ind w:left="6680"/>
              <w:spacing w:after="0"/>
              <w:rPr>
                <w:sz w:val="20"/>
                <w:szCs w:val="20"/>
                <w:color w:val="auto"/>
              </w:rPr>
            </w:pPr>
            <w:r>
              <w:rPr>
                <w:rFonts w:ascii="Arial" w:cs="Arial" w:eastAsia="Arial" w:hAnsi="Arial"/>
                <w:sz w:val="14"/>
                <w:szCs w:val="14"/>
                <w:color w:val="auto"/>
              </w:rPr>
              <w:t>3 years</w:t>
            </w:r>
          </w:p>
        </w:tc>
      </w:tr>
      <w:tr>
        <w:trPr>
          <w:trHeight w:val="180"/>
        </w:trPr>
        <w:tc>
          <w:tcPr>
            <w:tcW w:w="4120" w:type="dxa"/>
            <w:vAlign w:val="bottom"/>
          </w:tcPr>
          <w:p>
            <w:pPr>
              <w:ind w:left="20"/>
              <w:spacing w:after="0"/>
              <w:rPr>
                <w:sz w:val="20"/>
                <w:szCs w:val="20"/>
                <w:color w:val="auto"/>
              </w:rPr>
            </w:pPr>
            <w:r>
              <w:rPr>
                <w:rFonts w:ascii="Arial" w:cs="Arial" w:eastAsia="Arial" w:hAnsi="Arial"/>
                <w:sz w:val="14"/>
                <w:szCs w:val="14"/>
                <w:color w:val="auto"/>
              </w:rPr>
              <w:t>Network equipment</w:t>
            </w:r>
          </w:p>
        </w:tc>
        <w:tc>
          <w:tcPr>
            <w:tcW w:w="7160" w:type="dxa"/>
            <w:vAlign w:val="bottom"/>
          </w:tcPr>
          <w:p>
            <w:pPr>
              <w:ind w:left="6680"/>
              <w:spacing w:after="0"/>
              <w:rPr>
                <w:sz w:val="20"/>
                <w:szCs w:val="20"/>
                <w:color w:val="auto"/>
              </w:rPr>
            </w:pPr>
            <w:r>
              <w:rPr>
                <w:rFonts w:ascii="Arial" w:cs="Arial" w:eastAsia="Arial" w:hAnsi="Arial"/>
                <w:sz w:val="14"/>
                <w:szCs w:val="14"/>
                <w:color w:val="auto"/>
              </w:rPr>
              <w:t>3 years</w:t>
            </w: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furniture and fixtures</w:t>
            </w:r>
          </w:p>
        </w:tc>
        <w:tc>
          <w:tcPr>
            <w:tcW w:w="7160" w:type="dxa"/>
            <w:vAlign w:val="bottom"/>
            <w:shd w:val="clear" w:color="auto" w:fill="CCEEFF"/>
          </w:tcPr>
          <w:p>
            <w:pPr>
              <w:ind w:left="6680"/>
              <w:spacing w:after="0"/>
              <w:rPr>
                <w:sz w:val="20"/>
                <w:szCs w:val="20"/>
                <w:color w:val="auto"/>
              </w:rPr>
            </w:pPr>
            <w:r>
              <w:rPr>
                <w:rFonts w:ascii="Arial" w:cs="Arial" w:eastAsia="Arial" w:hAnsi="Arial"/>
                <w:sz w:val="14"/>
                <w:szCs w:val="14"/>
                <w:color w:val="auto"/>
              </w:rPr>
              <w:t>5 years</w:t>
            </w:r>
          </w:p>
        </w:tc>
      </w:tr>
      <w:tr>
        <w:trPr>
          <w:trHeight w:val="180"/>
        </w:trPr>
        <w:tc>
          <w:tcPr>
            <w:tcW w:w="41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7160" w:type="dxa"/>
            <w:vAlign w:val="bottom"/>
          </w:tcPr>
          <w:p>
            <w:pPr>
              <w:ind w:left="1540"/>
              <w:spacing w:after="0"/>
              <w:rPr>
                <w:sz w:val="20"/>
                <w:szCs w:val="20"/>
                <w:color w:val="auto"/>
              </w:rPr>
            </w:pPr>
            <w:r>
              <w:rPr>
                <w:rFonts w:ascii="Arial" w:cs="Arial" w:eastAsia="Arial" w:hAnsi="Arial"/>
                <w:sz w:val="14"/>
                <w:szCs w:val="14"/>
                <w:color w:val="auto"/>
              </w:rPr>
              <w:t>Shorter of remaining lease term or estimated useful life</w:t>
            </w: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7160" w:type="dxa"/>
            <w:vAlign w:val="bottom"/>
            <w:shd w:val="clear" w:color="auto" w:fill="CCEEFF"/>
          </w:tcPr>
          <w:p>
            <w:pPr>
              <w:ind w:left="6680"/>
              <w:spacing w:after="0"/>
              <w:rPr>
                <w:sz w:val="20"/>
                <w:szCs w:val="20"/>
                <w:color w:val="auto"/>
              </w:rPr>
            </w:pPr>
            <w:r>
              <w:rPr>
                <w:rFonts w:ascii="Arial" w:cs="Arial" w:eastAsia="Arial" w:hAnsi="Arial"/>
                <w:sz w:val="14"/>
                <w:szCs w:val="14"/>
                <w:color w:val="auto"/>
              </w:rPr>
              <w:t>3 years</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Long-lived assets, such as equipment, property and improvements, and internally-developed software assets,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occasionally borrows to finance its operating activities. Financing costs, such as bankers’ fees, origination fees, and legal fees, are deferred and amortized over the debt term. The Company capitalizes these costs and reports the amounts as a direct deduction of debt’s carrying amount. The Company calculates the effective interest rate based on the variable index in effect at each reporting period.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Simple Agreement for Future Equity (“SAFE”) grants investors the right to receive the Company’s capital stock upon equity financing. The Company determined that the SAFEs are not legal forms of debt and are classified as liabilities. The Company initially records the SAFEs at fair value in other noncurrent liabilities in the consolidated balance sheets and they are remeasured at each balance sheet date with changes in fair value recognized in other expense (income), net in the Company’s consolidated statements of operations. Upon the closing of the Company’s IPO, all outstanding SAFEs were converted into shares of common stock pursuant to their contractual terms and are no longer reflected as SAFEs on the Company’s balance sheet.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accounts for warrants as either equity-classified or liability-classified instruments based on an assessment of the warrant’s specific terms. The assessment, which requires the use of professional judgment, is conducted at the time of warrant issuance and at each reporting period while the warrants are outstanding.</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issued or modified warrants that meet all the criteria for equity classification, the warrants are required to be recorded as a component of additional paid-in capital at the time of issuance. For issued or modified warrants that do not meet all the criteria for equity classification, the warrant liabilities are initially recorded at fair value on the date of issuance within other noncurrent liabilities in the consolidated balance sheets and are remeasured at each balance sheet date with changes in fair value recognized in other expense (income), net in the consolidated statements of operations. The fair value of the warrants is estimated using the BSM option-pricing model.</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Related-Party Transactions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From time to time, the Company enters into transactions with related parties. The Company defines related parties as members of the board of directors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 Refer to “Bridge Loan” in Note 7. — Financing Activities and Note 17. — Related Party Transactions for more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is an emerging growth company as defined in the Jumpstart Our Business Startups Act of 2012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Adopted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In November 2023, the Financial Accounting Standards Board (“FASB”) issued Accounting Standards Update (“ASU”) No. 2023-07, </w:t>
      </w:r>
      <w:r>
        <w:rPr>
          <w:rFonts w:ascii="Arial" w:cs="Arial" w:eastAsia="Arial" w:hAnsi="Arial"/>
          <w:sz w:val="14"/>
          <w:szCs w:val="14"/>
          <w:i w:val="1"/>
          <w:iCs w:val="1"/>
          <w:color w:val="auto"/>
        </w:rPr>
        <w:t>Segment Reporting (Topic 280): Improvements</w:t>
      </w:r>
      <w:r>
        <w:rPr>
          <w:rFonts w:ascii="Arial" w:cs="Arial" w:eastAsia="Arial" w:hAnsi="Arial"/>
          <w:sz w:val="14"/>
          <w:szCs w:val="14"/>
          <w:color w:val="auto"/>
        </w:rPr>
        <w:t xml:space="preserve"> </w:t>
      </w:r>
      <w:r>
        <w:rPr>
          <w:rFonts w:ascii="Arial" w:cs="Arial" w:eastAsia="Arial" w:hAnsi="Arial"/>
          <w:sz w:val="14"/>
          <w:szCs w:val="14"/>
          <w:i w:val="1"/>
          <w:iCs w:val="1"/>
          <w:color w:val="auto"/>
        </w:rPr>
        <w:t>to Reportable Segment Disclosures</w:t>
      </w:r>
      <w:r>
        <w:rPr>
          <w:rFonts w:ascii="Arial" w:cs="Arial" w:eastAsia="Arial" w:hAnsi="Arial"/>
          <w:sz w:val="14"/>
          <w:szCs w:val="14"/>
          <w:color w:val="auto"/>
        </w:rPr>
        <w:t>. The amendments in guidance improve reportable segment disclosure requirements,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primarily through enhanced disclosures about significant segment expenses. This guidance is effective for fiscal years beginning after December 15, 2023, and interim periods within fiscal years beginning after December 15, 2024. Early adoption is permitted. The Company adopted the pronouncement on February 1, 2024. The Company applied the amendments retrospectively to all prior periods presented in the consolidated financial statements.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Taxes Disclosures.</w:t>
      </w:r>
      <w:r>
        <w:rPr>
          <w:rFonts w:ascii="Arial" w:cs="Arial" w:eastAsia="Arial" w:hAnsi="Arial"/>
          <w:sz w:val="14"/>
          <w:szCs w:val="14"/>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2024. Early adoption is permitted. The Company adopted the disclosure requirements of ASU 2023-09 prospectively for the fiscal year ended January 31, 2026. See Note 14.— Income Taxes for more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 Not Yet Adopted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October 2023, the FASB issued ASU 2023-06, </w:t>
      </w:r>
      <w:r>
        <w:rPr>
          <w:rFonts w:ascii="Arial" w:cs="Arial" w:eastAsia="Arial" w:hAnsi="Arial"/>
          <w:sz w:val="14"/>
          <w:szCs w:val="14"/>
          <w:i w:val="1"/>
          <w:iCs w:val="1"/>
          <w:color w:val="auto"/>
        </w:rPr>
        <w:t>Disclosure Improvements: Codification Amendments in Response to the SEC’s Disclosure Update and Simplification Initiative</w:t>
      </w:r>
      <w:r>
        <w:rPr>
          <w:rFonts w:ascii="Arial" w:cs="Arial" w:eastAsia="Arial" w:hAnsi="Arial"/>
          <w:sz w:val="14"/>
          <w:szCs w:val="14"/>
          <w:color w:val="auto"/>
        </w:rPr>
        <w:t>. The amendments are expected to impact various disclosure areas, including the statement of cash flows, accounting changes and error corrections, earnings per share, debt, derivatives, and transfer of financial assets. The amendments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these amendments on the consolidated financial statements.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March 2024, the SEC adopted final rules, </w:t>
      </w:r>
      <w:r>
        <w:rPr>
          <w:rFonts w:ascii="Arial" w:cs="Arial" w:eastAsia="Arial" w:hAnsi="Arial"/>
          <w:sz w:val="14"/>
          <w:szCs w:val="14"/>
          <w:i w:val="1"/>
          <w:iCs w:val="1"/>
          <w:color w:val="auto"/>
        </w:rPr>
        <w:t>The Enhancement and Standardization of Climate-Related Disclosures for Investors</w:t>
      </w:r>
      <w:r>
        <w:rPr>
          <w:rFonts w:ascii="Arial" w:cs="Arial" w:eastAsia="Arial" w:hAnsi="Arial"/>
          <w:sz w:val="14"/>
          <w:szCs w:val="14"/>
          <w:color w:val="auto"/>
        </w:rPr>
        <w:t>, Release Nos. 33-11275 and 34-99678. The rules require registrants to provide certain climate-related information in their registration statements and annual reports. These rules require disclosures about climate-related risks that are reasonably likely to have a material impact on the registrant’s business, strategy, results of operations, or financial condition, governance and risk management related to climate risks, and certain climate-related financial statement metrics and related disclosures in the audited financial statements. In April 2024, the SEC stayed the effectiveness of the final rules and in March 2025 the SEC voted to end its defense of the climate disclosure rules in federal court. The Company will continue to monitor the status of the final rules and evaluate the potential impact.</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2024, the FASB issued ASU No. 2024-03, </w:t>
      </w:r>
      <w:r>
        <w:rPr>
          <w:rFonts w:ascii="Arial" w:cs="Arial" w:eastAsia="Arial" w:hAnsi="Arial"/>
          <w:sz w:val="14"/>
          <w:szCs w:val="14"/>
          <w:i w:val="1"/>
          <w:iCs w:val="1"/>
          <w:color w:val="auto"/>
        </w:rPr>
        <w:t>Income Statement Expense Disaggregation Disclosures</w:t>
      </w:r>
      <w:r>
        <w:rPr>
          <w:rFonts w:ascii="Arial" w:cs="Arial" w:eastAsia="Arial" w:hAnsi="Arial"/>
          <w:sz w:val="14"/>
          <w:szCs w:val="14"/>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 of this amendment on the consolidated financial statements.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 - Goodwill and Other - Internal-Use Software (Subtopic 350-40): Accounting for Software Costs</w:t>
      </w:r>
      <w:r>
        <w:rPr>
          <w:rFonts w:ascii="Arial" w:cs="Arial" w:eastAsia="Arial" w:hAnsi="Arial"/>
          <w:sz w:val="14"/>
          <w:szCs w:val="14"/>
          <w:color w:val="auto"/>
        </w:rPr>
        <w:t>, which provides a single capitalization model for internal-use software development and cloud implementation costs and replaces the current phase-based guidance. ASU 2025-06 is effective for fiscal years beginning after December 15, 2027, with early adoption permitted, and may be applied prospectively or modified retrospectively. The Company is currently assessing the impact of this new guidance on the consolidated financial statements.</w:t>
      </w:r>
    </w:p>
    <w:p>
      <w:pPr>
        <w:spacing w:after="0" w:line="95" w:lineRule="exact"/>
        <w:rPr>
          <w:sz w:val="20"/>
          <w:szCs w:val="20"/>
          <w:color w:val="auto"/>
        </w:rPr>
      </w:pPr>
    </w:p>
    <w:p>
      <w:pPr>
        <w:ind w:left="500" w:hanging="495"/>
        <w:spacing w:after="0"/>
        <w:tabs>
          <w:tab w:leader="none" w:pos="50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Fair value is defined as the price that would be received from the sale of an asset or paid to transfer a liability in an orderly transaction between market participants on the measurement date. Assets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liabilities recorded at fair value are measured using a three-tier fair value hierarchy, which prioritizes the inputs used in measuring fair value. These tiers are:</w:t>
      </w:r>
    </w:p>
    <w:p>
      <w:pPr>
        <w:spacing w:after="0" w:line="136"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1 – Observable inputs that reflect quoted prices (unadjusted) available in active markets for identical assets or liabilities.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2 – Inputs other than quoted prices in active markets that are either directly or indirectly observable.</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fair value of financial assets and liabilities and their classification by level of input within the fair value hierarchy as of January 31, 2026 and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20"/>
                <w:szCs w:val="20"/>
                <w:color w:val="auto"/>
              </w:rPr>
            </w:pPr>
            <w:r>
              <w:rPr>
                <w:rFonts w:ascii="Arial" w:cs="Arial" w:eastAsia="Arial" w:hAnsi="Arial"/>
                <w:sz w:val="14"/>
                <w:szCs w:val="14"/>
                <w:color w:val="auto"/>
              </w:rPr>
              <w:t>January</w:t>
            </w:r>
          </w:p>
        </w:tc>
        <w:tc>
          <w:tcPr>
            <w:tcW w:w="2060" w:type="dxa"/>
            <w:vAlign w:val="bottom"/>
          </w:tcPr>
          <w:p>
            <w:pPr>
              <w:jc w:val="right"/>
              <w:ind w:right="1629"/>
              <w:spacing w:after="0"/>
              <w:rPr>
                <w:sz w:val="20"/>
                <w:szCs w:val="20"/>
                <w:color w:val="auto"/>
              </w:rPr>
            </w:pPr>
            <w:r>
              <w:rPr>
                <w:rFonts w:ascii="Arial" w:cs="Arial" w:eastAsia="Arial" w:hAnsi="Arial"/>
                <w:sz w:val="14"/>
                <w:szCs w:val="14"/>
                <w:color w:val="auto"/>
              </w:rPr>
              <w:t>31,</w:t>
            </w:r>
          </w:p>
        </w:tc>
        <w:tc>
          <w:tcPr>
            <w:tcW w:w="980" w:type="dxa"/>
            <w:vAlign w:val="bottom"/>
          </w:tcPr>
          <w:p>
            <w:pPr>
              <w:jc w:val="right"/>
              <w:spacing w:after="0"/>
              <w:rPr>
                <w:sz w:val="20"/>
                <w:szCs w:val="20"/>
                <w:color w:val="auto"/>
              </w:rPr>
            </w:pPr>
            <w:r>
              <w:rPr>
                <w:rFonts w:ascii="Arial" w:cs="Arial" w:eastAsia="Arial" w:hAnsi="Arial"/>
                <w:sz w:val="14"/>
                <w:szCs w:val="14"/>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gridSpan w:val="2"/>
          </w:tcPr>
          <w:p>
            <w:pPr>
              <w:jc w:val="center"/>
              <w:ind w:right="89"/>
              <w:spacing w:after="0"/>
              <w:rPr>
                <w:sz w:val="20"/>
                <w:szCs w:val="20"/>
                <w:color w:val="auto"/>
              </w:rPr>
            </w:pPr>
            <w:r>
              <w:rPr>
                <w:rFonts w:ascii="Arial" w:cs="Arial" w:eastAsia="Arial" w:hAnsi="Arial"/>
                <w:sz w:val="14"/>
                <w:szCs w:val="14"/>
                <w:color w:val="auto"/>
              </w:rPr>
              <w:t>(in</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Financial Assets and Liabilities at Fair Value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531"/>
              <w:spacing w:after="0"/>
              <w:rPr>
                <w:sz w:val="20"/>
                <w:szCs w:val="20"/>
                <w:color w:val="auto"/>
              </w:rPr>
            </w:pPr>
            <w:r>
              <w:rPr>
                <w:rFonts w:ascii="Arial" w:cs="Arial" w:eastAsia="Arial" w:hAnsi="Arial"/>
                <w:sz w:val="11"/>
                <w:szCs w:val="11"/>
                <w:b w:val="1"/>
                <w:bCs w:val="1"/>
                <w:color w:val="auto"/>
              </w:rPr>
              <w:t>Level 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1"/>
                <w:szCs w:val="11"/>
                <w:b w:val="1"/>
                <w:bCs w:val="1"/>
                <w:color w:val="auto"/>
              </w:rPr>
              <w:t>Level 2</w:t>
            </w:r>
          </w:p>
        </w:tc>
        <w:tc>
          <w:tcPr>
            <w:tcW w:w="340" w:type="dxa"/>
            <w:vAlign w:val="bottom"/>
          </w:tcPr>
          <w:p>
            <w:pPr>
              <w:spacing w:after="0"/>
              <w:rPr>
                <w:sz w:val="14"/>
                <w:szCs w:val="14"/>
                <w:color w:val="auto"/>
              </w:rPr>
            </w:pPr>
          </w:p>
        </w:tc>
        <w:tc>
          <w:tcPr>
            <w:tcW w:w="1220" w:type="dxa"/>
            <w:vAlign w:val="bottom"/>
          </w:tcPr>
          <w:p>
            <w:pPr>
              <w:jc w:val="right"/>
              <w:ind w:right="53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6"/>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January 31, 2026</w:t>
            </w:r>
          </w:p>
        </w:tc>
        <w:tc>
          <w:tcPr>
            <w:tcW w:w="206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2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2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2060" w:type="dxa"/>
            <w:vAlign w:val="bottom"/>
          </w:tcPr>
          <w:p>
            <w:pPr>
              <w:spacing w:after="0"/>
              <w:rPr>
                <w:sz w:val="18"/>
                <w:szCs w:val="18"/>
                <w:color w:val="auto"/>
              </w:rPr>
            </w:pPr>
          </w:p>
        </w:tc>
        <w:tc>
          <w:tcPr>
            <w:tcW w:w="980" w:type="dxa"/>
            <w:vAlign w:val="bottom"/>
          </w:tcPr>
          <w:p>
            <w:pPr>
              <w:jc w:val="right"/>
              <w:ind w:right="81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406,837</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406,837</w:t>
            </w:r>
          </w:p>
        </w:tc>
        <w:tc>
          <w:tcPr>
            <w:tcW w:w="440" w:type="dxa"/>
            <w:vAlign w:val="bottom"/>
            <w:gridSpan w:val="2"/>
          </w:tcPr>
          <w:p>
            <w:pPr>
              <w:jc w:val="center"/>
              <w:ind w:right="89"/>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2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680" w:type="dxa"/>
            <w:vAlign w:val="bottom"/>
          </w:tcPr>
          <w:p>
            <w:pPr>
              <w:ind w:left="20"/>
              <w:spacing w:after="0"/>
              <w:rPr>
                <w:sz w:val="20"/>
                <w:szCs w:val="20"/>
                <w:color w:val="auto"/>
              </w:rPr>
            </w:pPr>
            <w:r>
              <w:rPr>
                <w:rFonts w:ascii="Arial" w:cs="Arial" w:eastAsia="Arial" w:hAnsi="Arial"/>
                <w:sz w:val="14"/>
                <w:szCs w:val="14"/>
                <w:color w:val="auto"/>
              </w:rPr>
              <w:t>Client-held fractional shares</w:t>
            </w: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514,877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514,877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0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206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925,814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925,814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center"/>
              <w:ind w:right="1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2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180"/>
              <w:spacing w:after="0"/>
              <w:rPr>
                <w:sz w:val="20"/>
                <w:szCs w:val="20"/>
                <w:color w:val="auto"/>
              </w:rPr>
            </w:pPr>
            <w:r>
              <w:rPr>
                <w:rFonts w:ascii="Arial" w:cs="Arial" w:eastAsia="Arial" w:hAnsi="Arial"/>
                <w:sz w:val="14"/>
                <w:szCs w:val="14"/>
                <w:color w:val="auto"/>
              </w:rPr>
              <w:t>Warrant liabilities</w:t>
            </w: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Fractional shares repurchase obligation</w:t>
            </w:r>
          </w:p>
        </w:tc>
        <w:tc>
          <w:tcPr>
            <w:tcW w:w="2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680" w:type="dxa"/>
            <w:vAlign w:val="bottom"/>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20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516,870</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514,877</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center"/>
              <w:ind w:right="1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1"/>
                <w:szCs w:val="11"/>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January 31, 2025</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Assets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equivalents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Money market funds</w:t>
            </w:r>
          </w:p>
        </w:tc>
        <w:tc>
          <w:tcPr>
            <w:tcW w:w="960" w:type="dxa"/>
            <w:vAlign w:val="bottom"/>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118,708</w:t>
            </w:r>
          </w:p>
        </w:tc>
        <w:tc>
          <w:tcPr>
            <w:tcW w:w="80" w:type="dxa"/>
            <w:vAlign w:val="bottom"/>
          </w:tcPr>
          <w:p>
            <w:pPr>
              <w:spacing w:after="0"/>
              <w:rPr>
                <w:sz w:val="15"/>
                <w:szCs w:val="15"/>
                <w:color w:val="auto"/>
              </w:rPr>
            </w:pPr>
          </w:p>
        </w:tc>
        <w:tc>
          <w:tcPr>
            <w:tcW w:w="1000" w:type="dxa"/>
            <w:vAlign w:val="bottom"/>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118,708</w:t>
            </w:r>
          </w:p>
        </w:tc>
        <w:tc>
          <w:tcPr>
            <w:tcW w:w="80" w:type="dxa"/>
            <w:vAlign w:val="bottom"/>
          </w:tcPr>
          <w:p>
            <w:pPr>
              <w:spacing w:after="0"/>
              <w:rPr>
                <w:sz w:val="15"/>
                <w:szCs w:val="15"/>
                <w:color w:val="auto"/>
              </w:rPr>
            </w:pPr>
          </w:p>
        </w:tc>
        <w:tc>
          <w:tcPr>
            <w:tcW w:w="1260" w:type="dxa"/>
            <w:vAlign w:val="bottom"/>
          </w:tcPr>
          <w:p>
            <w:pPr>
              <w:jc w:val="right"/>
              <w:ind w:right="1093"/>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Certificates of deposit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Arial" w:cs="Arial" w:eastAsia="Arial" w:hAnsi="Arial"/>
                <w:sz w:val="14"/>
                <w:szCs w:val="14"/>
                <w:color w:val="auto"/>
              </w:rPr>
              <w:t>Client-held fractional shares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Proprietary inventory</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149,667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SAFEs</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spacing w:after="0"/>
              <w:rPr>
                <w:sz w:val="15"/>
                <w:szCs w:val="15"/>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6,141</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Warrant liabilities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Arial" w:cs="Arial" w:eastAsia="Arial" w:hAnsi="Arial"/>
                <w:sz w:val="14"/>
                <w:szCs w:val="14"/>
                <w:color w:val="auto"/>
              </w:rPr>
              <w:t>Fractional shares repurchase obligation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color w:val="auto"/>
        </w:rPr>
        <w:t>The following table sets forth a summary of the changes in the fair value of the Company’s Level 3 financial instruments that are measured at fair value on a recurring basis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Convertible Note</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Warrant Liabilities</w:t>
            </w:r>
          </w:p>
        </w:tc>
        <w:tc>
          <w:tcPr>
            <w:tcW w:w="1040" w:type="dxa"/>
            <w:vAlign w:val="bottom"/>
          </w:tcPr>
          <w:p>
            <w:pPr>
              <w:jc w:val="right"/>
              <w:ind w:right="11"/>
              <w:spacing w:after="0"/>
              <w:rPr>
                <w:sz w:val="20"/>
                <w:szCs w:val="20"/>
                <w:color w:val="auto"/>
              </w:rPr>
            </w:pPr>
            <w:r>
              <w:rPr>
                <w:rFonts w:ascii="Arial" w:cs="Arial" w:eastAsia="Arial" w:hAnsi="Arial"/>
                <w:sz w:val="11"/>
                <w:szCs w:val="11"/>
                <w:b w:val="1"/>
                <w:bCs w:val="1"/>
                <w:color w:val="auto"/>
              </w:rPr>
              <w:t>SAFEs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71"/>
              <w:spacing w:after="0"/>
              <w:rPr>
                <w:sz w:val="20"/>
                <w:szCs w:val="20"/>
                <w:color w:val="auto"/>
              </w:rPr>
            </w:pPr>
            <w:r>
              <w:rPr>
                <w:rFonts w:ascii="Arial" w:cs="Arial" w:eastAsia="Arial" w:hAnsi="Arial"/>
                <w:sz w:val="11"/>
                <w:szCs w:val="11"/>
                <w:b w:val="1"/>
                <w:bCs w:val="1"/>
                <w:color w:val="auto"/>
              </w:rPr>
              <w:t>Total</w:t>
            </w:r>
          </w:p>
        </w:tc>
      </w:tr>
      <w:tr>
        <w:trPr>
          <w:trHeight w:val="19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January 31, 2024</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46,953</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2,832</w:t>
            </w:r>
          </w:p>
        </w:tc>
        <w:tc>
          <w:tcPr>
            <w:tcW w:w="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4,843</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54,628</w:t>
            </w:r>
          </w:p>
        </w:tc>
      </w:tr>
      <w:tr>
        <w:trPr>
          <w:trHeight w:val="212"/>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(16,927)</w:t>
            </w:r>
          </w:p>
        </w:tc>
        <w:tc>
          <w:tcPr>
            <w:tcW w:w="80" w:type="dxa"/>
            <w:vAlign w:val="bottom"/>
          </w:tcPr>
          <w:p>
            <w:pPr>
              <w:spacing w:after="0"/>
              <w:rPr>
                <w:sz w:val="18"/>
                <w:szCs w:val="18"/>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678</w:t>
            </w:r>
          </w:p>
        </w:tc>
        <w:tc>
          <w:tcPr>
            <w:tcW w:w="80" w:type="dxa"/>
            <w:vAlign w:val="bottom"/>
          </w:tcPr>
          <w:p>
            <w:pPr>
              <w:spacing w:after="0"/>
              <w:rPr>
                <w:sz w:val="18"/>
                <w:szCs w:val="18"/>
                <w:color w:val="auto"/>
              </w:rPr>
            </w:pPr>
          </w:p>
        </w:tc>
        <w:tc>
          <w:tcPr>
            <w:tcW w:w="1040" w:type="dxa"/>
            <w:vAlign w:val="bottom"/>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1,298</w:t>
            </w:r>
          </w:p>
        </w:tc>
        <w:tc>
          <w:tcPr>
            <w:tcW w:w="80" w:type="dxa"/>
            <w:vAlign w:val="bottom"/>
          </w:tcPr>
          <w:p>
            <w:pPr>
              <w:spacing w:after="0"/>
              <w:rPr>
                <w:sz w:val="18"/>
                <w:szCs w:val="18"/>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(14,951)</w:t>
            </w:r>
          </w:p>
        </w:tc>
      </w:tr>
      <w:tr>
        <w:trPr>
          <w:trHeight w:val="180"/>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interest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r>
      <w:tr>
        <w:trPr>
          <w:trHeight w:val="18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Repayment of principal</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71"/>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(29,122)</w:t>
            </w:r>
          </w:p>
        </w:tc>
      </w:tr>
      <w:tr>
        <w:trPr>
          <w:trHeight w:val="192"/>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31, 2025</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6,141</w:t>
            </w: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w:t>
            </w:r>
          </w:p>
        </w:tc>
      </w:tr>
      <w:tr>
        <w:trPr>
          <w:trHeight w:val="171"/>
        </w:trPr>
        <w:tc>
          <w:tcPr>
            <w:tcW w:w="4660" w:type="dxa"/>
            <w:vAlign w:val="bottom"/>
          </w:tcPr>
          <w:p>
            <w:pPr>
              <w:ind w:left="20"/>
              <w:spacing w:after="0"/>
              <w:rPr>
                <w:sz w:val="20"/>
                <w:szCs w:val="20"/>
                <w:color w:val="auto"/>
              </w:rPr>
            </w:pPr>
            <w:r>
              <w:rPr>
                <w:rFonts w:ascii="Arial" w:cs="Arial" w:eastAsia="Arial" w:hAnsi="Arial"/>
                <w:sz w:val="14"/>
                <w:szCs w:val="14"/>
                <w:color w:val="auto"/>
              </w:rPr>
              <w:t>Mark-to-market adjustment</w:t>
            </w:r>
          </w:p>
        </w:tc>
        <w:tc>
          <w:tcPr>
            <w:tcW w:w="20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(1,517)</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(1,450)</w:t>
            </w: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(conversion to common stock)</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(6,207)</w:t>
            </w:r>
          </w:p>
        </w:tc>
      </w:tr>
      <w:tr>
        <w:trPr>
          <w:trHeight w:val="191"/>
        </w:trPr>
        <w:tc>
          <w:tcPr>
            <w:tcW w:w="4660" w:type="dxa"/>
            <w:vAlign w:val="bottom"/>
          </w:tcPr>
          <w:p>
            <w:pPr>
              <w:ind w:left="20"/>
              <w:spacing w:after="0"/>
              <w:rPr>
                <w:sz w:val="20"/>
                <w:szCs w:val="20"/>
                <w:color w:val="auto"/>
              </w:rPr>
            </w:pPr>
            <w:r>
              <w:rPr>
                <w:rFonts w:ascii="Arial" w:cs="Arial" w:eastAsia="Arial" w:hAnsi="Arial"/>
                <w:sz w:val="14"/>
                <w:szCs w:val="14"/>
                <w:color w:val="auto"/>
              </w:rPr>
              <w:t>Balance at January 31, 2026</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1,993</w:t>
            </w:r>
          </w:p>
        </w:tc>
        <w:tc>
          <w:tcPr>
            <w:tcW w:w="80" w:type="dxa"/>
            <w:vAlign w:val="bottom"/>
          </w:tcPr>
          <w:p>
            <w:pPr>
              <w:spacing w:after="0"/>
              <w:rPr>
                <w:sz w:val="16"/>
                <w:szCs w:val="16"/>
                <w:color w:val="auto"/>
              </w:rPr>
            </w:pPr>
          </w:p>
        </w:tc>
        <w:tc>
          <w:tcPr>
            <w:tcW w:w="1040" w:type="dxa"/>
            <w:vAlign w:val="bottom"/>
          </w:tcPr>
          <w:p>
            <w:pPr>
              <w:jc w:val="right"/>
              <w:ind w:right="871"/>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1,993</w:t>
            </w:r>
          </w:p>
        </w:tc>
      </w:tr>
      <w:tr>
        <w:trPr>
          <w:trHeight w:val="20"/>
        </w:trPr>
        <w:tc>
          <w:tcPr>
            <w:tcW w:w="4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between Level 1, Level 2, and Level 3 of the fair value hierarchy during the fiscal years ended January 31, 2026 and 2025.</w:t>
      </w:r>
    </w:p>
    <w:p>
      <w:pPr>
        <w:spacing w:after="0" w:line="136" w:lineRule="exact"/>
        <w:rPr>
          <w:sz w:val="20"/>
          <w:szCs w:val="20"/>
          <w:color w:val="auto"/>
        </w:rPr>
      </w:pPr>
    </w:p>
    <w:p>
      <w:pPr>
        <w:ind w:right="9440" w:firstLine="5"/>
        <w:spacing w:after="0" w:line="442" w:lineRule="auto"/>
        <w:tabs>
          <w:tab w:leader="none" w:pos="245"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principal categories the Company uses to disaggregate revenue reflect the type of service from which the revenue is generated, which is consistent with the presentation in the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revenue streams identified as being generated through contracts with clients are outlined in Note 2. — Summary of Significant Accounting Policies are all settled in arrears, in accordance with the Company’s contracts with the applicable counterparties. Receivables relate to the Company’s unconditional right to receive payment for its performance completed under the contract. The Company does not have deferred revenue as of January 31, 2026 and January 31, 2025. No other contract assets or liabilities existed as of January 31, 2026 and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sets forth the opening and closing balances for accounts receivable from contracts with clients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Cash Management</w:t>
            </w:r>
          </w:p>
        </w:tc>
        <w:tc>
          <w:tcPr>
            <w:tcW w:w="160" w:type="dxa"/>
            <w:vAlign w:val="bottom"/>
          </w:tcPr>
          <w:p>
            <w:pPr>
              <w:spacing w:after="0"/>
              <w:rPr>
                <w:sz w:val="10"/>
                <w:szCs w:val="1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Investment Advisory</w:t>
            </w:r>
          </w:p>
        </w:tc>
        <w:tc>
          <w:tcPr>
            <w:tcW w:w="200" w:type="dxa"/>
            <w:vAlign w:val="bottom"/>
          </w:tcPr>
          <w:p>
            <w:pPr>
              <w:spacing w:after="0"/>
              <w:rPr>
                <w:sz w:val="10"/>
                <w:szCs w:val="10"/>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rPr>
              <w:t>Other Receivable</w:t>
            </w:r>
          </w:p>
        </w:tc>
        <w:tc>
          <w:tcPr>
            <w:tcW w:w="15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Total Accounts Receivable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Receivable</w:t>
            </w:r>
          </w:p>
        </w:tc>
        <w:tc>
          <w:tcPr>
            <w:tcW w:w="1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Receivable</w:t>
            </w: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Opening Balance, February 1, 2024</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14,580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5,303</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20,181</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6,402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8,946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Closing Balance, January 31, 2025</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29,127</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Closing Balance, January 31, 2026</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23,603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5.  Property, Software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60" w:type="dxa"/>
            <w:vAlign w:val="bottom"/>
            <w:gridSpan w:val="7"/>
          </w:tcPr>
          <w:p>
            <w:pPr>
              <w:spacing w:after="0"/>
              <w:rPr>
                <w:sz w:val="20"/>
                <w:szCs w:val="20"/>
                <w:color w:val="auto"/>
              </w:rPr>
            </w:pPr>
            <w:r>
              <w:rPr>
                <w:rFonts w:ascii="Arial" w:cs="Arial" w:eastAsia="Arial" w:hAnsi="Arial"/>
                <w:sz w:val="14"/>
                <w:szCs w:val="14"/>
                <w:color w:val="auto"/>
              </w:rPr>
              <w:t>Property, software, and equipment, net as of January 31, 2026 and January 31, 2025 consists of the following (in thousands):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January 31,</w:t>
            </w:r>
          </w:p>
        </w:tc>
        <w:tc>
          <w:tcPr>
            <w:tcW w:w="280" w:type="dxa"/>
            <w:vAlign w:val="bottom"/>
          </w:tcPr>
          <w:p>
            <w:pPr>
              <w:spacing w:after="0"/>
              <w:rPr>
                <w:sz w:val="24"/>
                <w:szCs w:val="24"/>
                <w:color w:val="auto"/>
              </w:rPr>
            </w:pPr>
          </w:p>
        </w:tc>
        <w:tc>
          <w:tcPr>
            <w:tcW w:w="1280" w:type="dxa"/>
            <w:vAlign w:val="bottom"/>
          </w:tcPr>
          <w:p>
            <w:pPr>
              <w:jc w:val="center"/>
              <w:ind w:right="231"/>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9"/>
        </w:trPr>
        <w:tc>
          <w:tcPr>
            <w:tcW w:w="47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1"/>
                <w:szCs w:val="11"/>
                <w:b w:val="1"/>
                <w:bCs w:val="1"/>
                <w:color w:val="auto"/>
                <w:w w:val="97"/>
              </w:rPr>
              <w:t>2026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11"/>
              <w:spacing w:after="0"/>
              <w:rPr>
                <w:sz w:val="20"/>
                <w:szCs w:val="20"/>
                <w:color w:val="auto"/>
              </w:rPr>
            </w:pPr>
            <w:r>
              <w:rPr>
                <w:rFonts w:ascii="Arial" w:cs="Arial" w:eastAsia="Arial" w:hAnsi="Arial"/>
                <w:sz w:val="11"/>
                <w:szCs w:val="11"/>
                <w:b w:val="1"/>
                <w:bCs w:val="1"/>
                <w:color w:val="auto"/>
                <w:w w:val="97"/>
              </w:rPr>
              <w:t>2025</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Computer equipment</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4,539</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Internally developed software</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36,993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37,702</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45,397</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(38,070)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(30,674)</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software, and equipment, net</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14,723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related to property and equipment was $0.9 million, $0.9 million and $0.7 million for the fiscal years ended January 31, 2026, 2025 and 2024, respectively.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internally developed software was capitalized during the fiscal year ended January 31, 2026. The Company wrote-off $0.7 million in internally developed software due to impairment during the fiscal year ended January 31, 2026.</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capitalized $6.9 million in internally developed software costs during the fiscal year ended January 31, 2025. No impairment of internally developed software was recorded during the fiscal year ended January 31, 2025.</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amortization expense on capitalized internally developed software was $6.5 million, $5.4 million and $5.3 million for the fiscal years ended January 31, 2026, 2025 and 2024, respectively.</w:t>
      </w:r>
    </w:p>
    <w:p>
      <w:pPr>
        <w:spacing w:after="0" w:line="78" w:lineRule="exact"/>
        <w:rPr>
          <w:sz w:val="20"/>
          <w:szCs w:val="20"/>
          <w:color w:val="auto"/>
        </w:rPr>
      </w:pPr>
    </w:p>
    <w:p>
      <w:pPr>
        <w:ind w:left="500" w:hanging="495"/>
        <w:spacing w:after="0"/>
        <w:tabs>
          <w:tab w:leader="none" w:pos="5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three noncancelable operating leases for its offices with remaining lease terms ranging from 10 months to 29 months. The Company had one operating lease that expired in May 2025 and was not renewed.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 for operating leases for the fiscal years ended January 31, 2026 and 2025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40" w:type="dxa"/>
            <w:vAlign w:val="bottom"/>
            <w:shd w:val="clear" w:color="auto" w:fill="CCEEFF"/>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4,165</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1040" w:type="dxa"/>
            <w:vAlign w:val="bottom"/>
            <w:tcBorders>
              <w:bottom w:val="single" w:sz="8" w:color="auto"/>
            </w:tcBorders>
            <w:shd w:val="clear" w:color="auto" w:fill="CCEEFF"/>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Supplemental cash flow information related to leases was as follows (in thousands):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January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2026</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400" w:type="dxa"/>
            <w:vAlign w:val="bottom"/>
          </w:tcPr>
          <w:p>
            <w:pPr>
              <w:ind w:left="20"/>
              <w:spacing w:after="0"/>
              <w:rPr>
                <w:sz w:val="20"/>
                <w:szCs w:val="20"/>
                <w:color w:val="auto"/>
              </w:rPr>
            </w:pPr>
            <w:r>
              <w:rPr>
                <w:rFonts w:ascii="Arial" w:cs="Arial" w:eastAsia="Arial" w:hAnsi="Arial"/>
                <w:sz w:val="14"/>
                <w:szCs w:val="14"/>
                <w:color w:val="auto"/>
              </w:rPr>
              <w:t>Payments for operating leases</w:t>
            </w:r>
          </w:p>
        </w:tc>
        <w:tc>
          <w:tcPr>
            <w:tcW w:w="1040" w:type="dxa"/>
            <w:vAlign w:val="bottom"/>
          </w:tcPr>
          <w:p>
            <w:pPr>
              <w:jc w:val="right"/>
              <w:ind w:right="875"/>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4,331</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4,066</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lease-related assets and liabilities recorded in the consolidated balance sheets at January 31, 2026 and January 31,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January 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41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9"/>
        </w:trPr>
        <w:tc>
          <w:tcPr>
            <w:tcW w:w="7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1"/>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ROU assets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8,696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11,229</w:t>
            </w:r>
          </w:p>
        </w:tc>
        <w:tc>
          <w:tcPr>
            <w:tcW w:w="0" w:type="dxa"/>
            <w:vAlign w:val="bottom"/>
          </w:tcPr>
          <w:p>
            <w:pPr>
              <w:spacing w:after="0"/>
              <w:rPr>
                <w:sz w:val="1"/>
                <w:szCs w:val="1"/>
                <w:color w:val="auto"/>
              </w:rPr>
            </w:pPr>
          </w:p>
        </w:tc>
      </w:tr>
      <w:tr>
        <w:trPr>
          <w:trHeight w:val="212"/>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operating lease liabilities</w:t>
            </w:r>
          </w:p>
        </w:tc>
        <w:tc>
          <w:tcPr>
            <w:tcW w:w="20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4,101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3,556</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6,292</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9,796</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10,393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Lease term and discount rate were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0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1"/>
                <w:szCs w:val="11"/>
                <w:b w:val="1"/>
                <w:bCs w:val="1"/>
                <w:color w:val="auto"/>
              </w:rPr>
              <w:t>January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39"/>
        </w:trPr>
        <w:tc>
          <w:tcPr>
            <w:tcW w:w="78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1"/>
                <w:szCs w:val="11"/>
                <w:b w:val="1"/>
                <w:bCs w:val="1"/>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86"/>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5.29 %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5.25 %</w:t>
            </w:r>
          </w:p>
        </w:tc>
        <w:tc>
          <w:tcPr>
            <w:tcW w:w="0" w:type="dxa"/>
            <w:vAlign w:val="bottom"/>
          </w:tcPr>
          <w:p>
            <w:pPr>
              <w:spacing w:after="0"/>
              <w:rPr>
                <w:sz w:val="1"/>
                <w:szCs w:val="1"/>
                <w:color w:val="auto"/>
              </w:rPr>
            </w:pPr>
          </w:p>
        </w:tc>
      </w:tr>
      <w:tr>
        <w:trPr>
          <w:trHeight w:val="367"/>
        </w:trPr>
        <w:tc>
          <w:tcPr>
            <w:tcW w:w="8060" w:type="dxa"/>
            <w:vAlign w:val="bottom"/>
            <w:gridSpan w:val="2"/>
          </w:tcPr>
          <w:p>
            <w:pPr>
              <w:spacing w:after="0"/>
              <w:rPr>
                <w:sz w:val="20"/>
                <w:szCs w:val="20"/>
                <w:color w:val="auto"/>
              </w:rPr>
            </w:pPr>
            <w:r>
              <w:rPr>
                <w:rFonts w:ascii="Arial" w:cs="Arial" w:eastAsia="Arial" w:hAnsi="Arial"/>
                <w:sz w:val="14"/>
                <w:szCs w:val="14"/>
                <w:color w:val="auto"/>
              </w:rPr>
              <w:t>The following table provides the maturities of lease liabilities as of January 31, 2026 (in thousands):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Maturity of lease liabilities at January 31:</w:t>
            </w:r>
          </w:p>
        </w:tc>
        <w:tc>
          <w:tcPr>
            <w:tcW w:w="2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4,551</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1,964</w:t>
            </w: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Total future undiscounted lease payments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18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highlight w:val="white"/>
              </w:rPr>
              <w:t>Less: imputed interest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71"/>
        </w:trPr>
        <w:tc>
          <w:tcPr>
            <w:tcW w:w="8060" w:type="dxa"/>
            <w:vAlign w:val="bottom"/>
            <w:gridSpan w:val="2"/>
          </w:tcPr>
          <w:p>
            <w:pPr>
              <w:ind w:left="20"/>
              <w:spacing w:after="0"/>
              <w:rPr>
                <w:sz w:val="20"/>
                <w:szCs w:val="20"/>
                <w:color w:val="auto"/>
              </w:rPr>
            </w:pPr>
            <w:r>
              <w:rPr>
                <w:rFonts w:ascii="Arial" w:cs="Arial" w:eastAsia="Arial" w:hAnsi="Arial"/>
                <w:sz w:val="14"/>
                <w:szCs w:val="14"/>
                <w:color w:val="auto"/>
              </w:rPr>
              <w:t>Present value of lease liabilities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As of January 31, 2026, the Company did not have additional operating and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right="9440" w:firstLine="260"/>
        <w:spacing w:after="0" w:line="442" w:lineRule="auto"/>
        <w:tabs>
          <w:tab w:leader="none" w:pos="50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Financing Activities Bridge Loan</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January 14, 2022, the Company entered into a loan agreement with an investor and member of the Company’s board of directors to allow borrowings of up to $20.0 million (the “Bridge Loan”). The Company amended this loan agreement on August 7, 2023, to extend the maturity date to September 30, 2025 and increased the interest rate from 10% to 12.5% per annum as of April 3, 2024. The Company was required to repay all outstanding principal and accrued interest on the maturity date and was allowed to make voluntary prepayment at any time prior to the maturity date without penalty or premium.</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November 2024, the Bridge Loan was paid off in full. Bridge Loan interest expense was $2.3 million for the fiscal year ended January 31, 2025, recorded as interest expense in the consolidated statements of operations. The weighted-average interest rate was 12% for the fiscal year ended January 31, 2025.</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Note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September 2, 2022, the Company issued a $ 69.7 million convertible note with a maturity date of September 2, 2025. The convertible note accumulated interest at the SOFR, plus 9.0% per annum, compounding annually and was payable semiannually in arrears either in cash or by increasing the principal amount (“PIK Interest”).</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noteholder had the right to exchange the convertible note for Series H-1 or Series H-2 redeemable convertible preferred stock after the filing of the restated certificate of incorporation, as provided in the convertible note purchase agreement and the convertible note, and prior to the repayment at maturity, at a conversion price of $9.54 per share.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convertible note was accounted for as a liability in the Company’s consolidated balance sheets, as the Company made an irrevocable election to account for the convertible note under fair value option in lieu of bifurcating certain features in the convertible note agreement under Accounting Standards Codification (“ASC”) 825-10-45-5. In March 2024, the convertible note was paid off in full. The fair value change due to instrument-specific credit risk was immaterial for the fiscal year ended January 31, 2025.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Revolving Line of Credit</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On October 31, 2024, the Company entered into a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 The Revolver was not drawn on during the fiscal year ended January 31, 2026.</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On October 14, 2025, the Company entered into an amended and restated credit agreement (the “Credit Agreement”) with the same third-party financial institution acting as administrative agent to provide a revolving line of up to $250.0 million (the “Amended Revolver”), including a subfacility of up to $25.0 million for letters of credit. This Credit Agreement replaced the original credit agreement entered into on October 31, 2024. Interest accrues on the outstanding principal balance, at the Company’s option, is at either (i) the base rate determined by the highest of the prime rate, the federal funds effective rate plus 0.50% and the adjusted daily SOFR plus 1.00%, or (ii) the adjusted daily SOFR plus the applicable interest margin. In addition, the Company will be required to pay commitment fees of (i) 0.25% per annum on the undrawn portion of the commitments under the Credit Agreement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December 5, 2025, the Company drew $200.0 million under the Amended Revolver. The borrowing was repaid in full on December 18, 2025, using proceeds from the IPO. No amounts were outstanding under the Amended Revolver as of January 31, 2026.</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Simple Agreement for Future Equity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November 2019, the Company entered into a series of SAFEs with new investors associated with a small “acquihire” for an aggregate purchase amount of $2.2 million (the “Purchase Amount”).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SAFEs provided that, upon the occurrence of an equity financing or termination, the SAFE holders would be entitled to receive, in the aggregate, a number of shares of the Company’s common stock equal to the Purchase Amount divided by the applicable conversion price. Upon the occurrence of a liquidity event, and at the election of the Majority Holders (as defined in the SAFE agreements), the SAFE holders would have been entitled to receive, in the aggregate, either (i) a cash payment equal to the Purchase Amount or (ii) a number of shares of common stock equal to the Purchase Amount divided by the product of the liquidity price and the discount rate (such product, the “Discounted Price”).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March 10, 2022, the Company amended the SAFEs to set the Discounted Price at $5.00 per share with respect to a specified strategic transaction. The SAFEs also provided that, in the event the Company did not have sufficient funds to satisfy any required cash payment, available funds would be distributed to the SAFE holders on a pro rata basis. Upon a dissolution event, the SAFE holders would have been entitled to receive a cash payment equal to the Purchase Amount, subject to the availability of assets.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SAFEs was estimated using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415"/>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97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Amount (in thousands)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Discounted Price</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the completion of the Company’s IPO on December 15, 2025, all outstanding SAFEs automatically converted into shares of the Company’s common stock in accordance with their terms, and no SAFEs were outstanding as of the year ended January 31, 2026.</w:t>
      </w:r>
    </w:p>
    <w:p>
      <w:pPr>
        <w:spacing w:after="0" w:line="78" w:lineRule="exact"/>
        <w:rPr>
          <w:sz w:val="20"/>
          <w:szCs w:val="20"/>
          <w:color w:val="auto"/>
        </w:rPr>
      </w:pPr>
    </w:p>
    <w:p>
      <w:pPr>
        <w:ind w:right="8520" w:firstLine="260"/>
        <w:spacing w:after="0" w:line="442" w:lineRule="auto"/>
        <w:tabs>
          <w:tab w:leader="none" w:pos="50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Commitments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January 31, 2026, the Company had three noncancelable contracts, one of which is related to a third-party partner bank in connection with services that the Company offers its clients as part of the cash sweep program. Payments made to this third-party partner bank during the fiscal years ended January 31, 2026, 2025 and 2024 towards this contract were immaterial.</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fiscal year ended January 31, 2025, the Company entered into a noncancelable contract for cloud computing services with a third-party provider. The Company is committed to a minimum spend during the term of the contract. Payments made to this third-party provider were $6.7 million and $5.9 million during the fiscal years ended January 31, 2026 and 2025, respectively.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fiscal year ended January 31, 2026, the Company entered into another noncancelable contract for an application programming interface service with a third-party provider. The Company 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committed to a minimum monthly spend during the term of the contract. Payments made to this third-party provider were $0.3 million during the fiscal year ended January 31, 2026.</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the future minimum payments over the term of the noncancelable contracts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ind w:right="595"/>
              <w:spacing w:after="0"/>
              <w:rPr>
                <w:sz w:val="20"/>
                <w:szCs w:val="20"/>
                <w:color w:val="auto"/>
              </w:rPr>
            </w:pPr>
            <w:r>
              <w:rPr>
                <w:rFonts w:ascii="Arial" w:cs="Arial" w:eastAsia="Arial" w:hAnsi="Arial"/>
                <w:sz w:val="11"/>
                <w:szCs w:val="11"/>
                <w:b w:val="1"/>
                <w:bCs w:val="1"/>
                <w:color w:val="auto"/>
              </w:rPr>
              <w:t>Total</w:t>
            </w:r>
          </w:p>
        </w:tc>
      </w:tr>
      <w:tr>
        <w:trPr>
          <w:trHeight w:val="159"/>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Fiscal Year Ended January 31,</w:t>
            </w: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Amount</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14,150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January 31, 2026 and January 31, 2025, the Company’s loss contingencies were immaterial.</w:t>
      </w:r>
    </w:p>
    <w:p>
      <w:pPr>
        <w:spacing w:after="0" w:line="99"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4"/>
          <w:szCs w:val="14"/>
          <w:b w:val="1"/>
          <w:bCs w:val="1"/>
          <w:color w:val="auto"/>
        </w:rPr>
        <w:t>9.</w:t>
        <w:tab/>
        <w:t>Redeemable Convertible Preferred Stock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summary of the authorized, issued, and outstanding redeemable convertible preferred stock as of January 31, 2025 is as follows (in thousands, except per share and 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2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Per Share</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38"/>
        </w:trPr>
        <w:tc>
          <w:tcPr>
            <w:tcW w:w="2220" w:type="dxa"/>
            <w:vAlign w:val="bottom"/>
          </w:tcPr>
          <w:p>
            <w:pPr>
              <w:spacing w:after="0"/>
              <w:rPr>
                <w:sz w:val="12"/>
                <w:szCs w:val="12"/>
                <w:color w:val="auto"/>
              </w:rPr>
            </w:pPr>
          </w:p>
        </w:tc>
        <w:tc>
          <w:tcPr>
            <w:tcW w:w="1500" w:type="dxa"/>
            <w:vAlign w:val="bottom"/>
            <w:gridSpan w:val="2"/>
          </w:tcPr>
          <w:p>
            <w:pPr>
              <w:ind w:left="560"/>
              <w:spacing w:after="0"/>
              <w:rPr>
                <w:sz w:val="20"/>
                <w:szCs w:val="20"/>
                <w:color w:val="auto"/>
              </w:rPr>
            </w:pPr>
            <w:r>
              <w:rPr>
                <w:rFonts w:ascii="Arial" w:cs="Arial" w:eastAsia="Arial" w:hAnsi="Arial"/>
                <w:sz w:val="11"/>
                <w:szCs w:val="11"/>
                <w:b w:val="1"/>
                <w:bCs w:val="1"/>
                <w:color w:val="auto"/>
              </w:rPr>
              <w:t>Shares</w:t>
            </w:r>
          </w:p>
        </w:tc>
        <w:tc>
          <w:tcPr>
            <w:tcW w:w="1460" w:type="dxa"/>
            <w:vAlign w:val="bottom"/>
          </w:tcPr>
          <w:p>
            <w:pPr>
              <w:jc w:val="right"/>
              <w:ind w:right="151"/>
              <w:spacing w:after="0"/>
              <w:rPr>
                <w:sz w:val="20"/>
                <w:szCs w:val="20"/>
                <w:color w:val="auto"/>
              </w:rPr>
            </w:pPr>
            <w:r>
              <w:rPr>
                <w:rFonts w:ascii="Arial" w:cs="Arial" w:eastAsia="Arial" w:hAnsi="Arial"/>
                <w:sz w:val="11"/>
                <w:szCs w:val="11"/>
                <w:b w:val="1"/>
                <w:bCs w:val="1"/>
                <w:color w:val="auto"/>
              </w:rPr>
              <w:t>Shares Issued and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0"/>
        </w:trPr>
        <w:tc>
          <w:tcPr>
            <w:tcW w:w="222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Authorized</w:t>
            </w:r>
          </w:p>
        </w:tc>
        <w:tc>
          <w:tcPr>
            <w:tcW w:w="1460" w:type="dxa"/>
            <w:vAlign w:val="bottom"/>
          </w:tcPr>
          <w:p>
            <w:pPr>
              <w:jc w:val="right"/>
              <w:ind w:right="331"/>
              <w:spacing w:after="0"/>
              <w:rPr>
                <w:sz w:val="20"/>
                <w:szCs w:val="20"/>
                <w:color w:val="auto"/>
              </w:rPr>
            </w:pPr>
            <w:r>
              <w:rPr>
                <w:rFonts w:ascii="Arial" w:cs="Arial" w:eastAsia="Arial" w:hAnsi="Arial"/>
                <w:sz w:val="11"/>
                <w:szCs w:val="11"/>
                <w:b w:val="1"/>
                <w:bCs w:val="1"/>
                <w:color w:val="auto"/>
              </w:rPr>
              <w:t>Outstanding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Issuance Price</w:t>
            </w:r>
          </w:p>
        </w:tc>
        <w:tc>
          <w:tcPr>
            <w:tcW w:w="34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Dividend</w:t>
            </w:r>
          </w:p>
        </w:tc>
        <w:tc>
          <w:tcPr>
            <w:tcW w:w="1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Net Carrying Value</w:t>
            </w:r>
          </w:p>
        </w:tc>
        <w:tc>
          <w:tcPr>
            <w:tcW w:w="100" w:type="dxa"/>
            <w:vAlign w:val="bottom"/>
          </w:tcPr>
          <w:p>
            <w:pPr>
              <w:spacing w:after="0"/>
              <w:rPr>
                <w:sz w:val="14"/>
                <w:szCs w:val="14"/>
                <w:color w:val="auto"/>
              </w:rPr>
            </w:pPr>
          </w:p>
        </w:tc>
        <w:tc>
          <w:tcPr>
            <w:tcW w:w="1340" w:type="dxa"/>
            <w:vAlign w:val="bottom"/>
          </w:tcPr>
          <w:p>
            <w:pPr>
              <w:jc w:val="right"/>
              <w:ind w:right="30"/>
              <w:spacing w:after="0"/>
              <w:rPr>
                <w:sz w:val="20"/>
                <w:szCs w:val="20"/>
                <w:color w:val="auto"/>
              </w:rPr>
            </w:pPr>
            <w:r>
              <w:rPr>
                <w:rFonts w:ascii="Arial" w:cs="Arial" w:eastAsia="Arial" w:hAnsi="Arial"/>
                <w:sz w:val="11"/>
                <w:szCs w:val="11"/>
                <w:b w:val="1"/>
                <w:bCs w:val="1"/>
                <w:color w:val="auto"/>
              </w:rPr>
              <w:t>Liquidation Preference</w:t>
            </w:r>
          </w:p>
        </w:tc>
      </w:tr>
      <w:tr>
        <w:trPr>
          <w:trHeight w:val="198"/>
        </w:trPr>
        <w:tc>
          <w:tcPr>
            <w:tcW w:w="22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A</w:t>
            </w:r>
          </w:p>
        </w:tc>
        <w:tc>
          <w:tcPr>
            <w:tcW w:w="1420" w:type="dxa"/>
            <w:vAlign w:val="bottom"/>
          </w:tcPr>
          <w:p>
            <w:pPr>
              <w:jc w:val="right"/>
              <w:spacing w:after="0"/>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1,350,000</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8"/>
                <w:szCs w:val="18"/>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0.0089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7,658,874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7,658,868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C</w:t>
            </w:r>
          </w:p>
        </w:tc>
        <w:tc>
          <w:tcPr>
            <w:tcW w:w="1420" w:type="dxa"/>
            <w:vAlign w:val="bottom"/>
          </w:tcPr>
          <w:p>
            <w:pPr>
              <w:jc w:val="right"/>
              <w:spacing w:after="0"/>
              <w:rPr>
                <w:sz w:val="20"/>
                <w:szCs w:val="20"/>
                <w:color w:val="auto"/>
              </w:rPr>
            </w:pPr>
            <w:r>
              <w:rPr>
                <w:rFonts w:ascii="Arial" w:cs="Arial" w:eastAsia="Arial" w:hAnsi="Arial"/>
                <w:sz w:val="14"/>
                <w:szCs w:val="14"/>
                <w:color w:val="auto"/>
              </w:rPr>
              <w:t>6,169,302</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5,952,858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7,560</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14,431,860</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14,431,844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19,627</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E</w:t>
            </w:r>
          </w:p>
        </w:tc>
        <w:tc>
          <w:tcPr>
            <w:tcW w:w="1420" w:type="dxa"/>
            <w:vAlign w:val="bottom"/>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8,780,133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35,033</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F</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7,938,238</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7,816,435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64,173</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Series G</w:t>
            </w:r>
          </w:p>
        </w:tc>
        <w:tc>
          <w:tcPr>
            <w:tcW w:w="1420" w:type="dxa"/>
            <w:vAlign w:val="bottom"/>
          </w:tcPr>
          <w:p>
            <w:pPr>
              <w:jc w:val="right"/>
              <w:spacing w:after="0"/>
              <w:rPr>
                <w:sz w:val="20"/>
                <w:szCs w:val="20"/>
                <w:color w:val="auto"/>
              </w:rPr>
            </w:pPr>
            <w:r>
              <w:rPr>
                <w:rFonts w:ascii="Arial" w:cs="Arial" w:eastAsia="Arial" w:hAnsi="Arial"/>
                <w:sz w:val="14"/>
                <w:szCs w:val="14"/>
                <w:color w:val="auto"/>
              </w:rPr>
              <w:t>19,516,000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18,889,279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74,990</w:t>
            </w: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Series G-1 </w:t>
            </w:r>
            <w:r>
              <w:rPr>
                <w:rFonts w:ascii="Arial" w:cs="Arial" w:eastAsia="Arial" w:hAnsi="Arial"/>
                <w:sz w:val="18"/>
                <w:szCs w:val="18"/>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25,024</w:t>
            </w:r>
          </w:p>
        </w:tc>
      </w:tr>
      <w:tr>
        <w:trPr>
          <w:trHeight w:val="212"/>
        </w:trPr>
        <w:tc>
          <w:tcPr>
            <w:tcW w:w="2220" w:type="dxa"/>
            <w:vAlign w:val="bottom"/>
          </w:tcPr>
          <w:p>
            <w:pPr>
              <w:ind w:left="20"/>
              <w:spacing w:after="0"/>
              <w:rPr>
                <w:sz w:val="20"/>
                <w:szCs w:val="20"/>
                <w:color w:val="auto"/>
              </w:rPr>
            </w:pPr>
            <w:r>
              <w:rPr>
                <w:rFonts w:ascii="Arial" w:cs="Arial" w:eastAsia="Arial" w:hAnsi="Arial"/>
                <w:sz w:val="14"/>
                <w:szCs w:val="14"/>
                <w:color w:val="auto"/>
              </w:rPr>
              <w:t xml:space="preserve">Series H-1 </w:t>
            </w:r>
            <w:r>
              <w:rPr>
                <w:rFonts w:ascii="Arial" w:cs="Arial" w:eastAsia="Arial" w:hAnsi="Arial"/>
                <w:sz w:val="18"/>
                <w:szCs w:val="18"/>
                <w:color w:val="auto"/>
                <w:vertAlign w:val="superscript"/>
              </w:rPr>
              <w:t>(2)</w:t>
            </w:r>
          </w:p>
        </w:tc>
        <w:tc>
          <w:tcPr>
            <w:tcW w:w="1420" w:type="dxa"/>
            <w:vAlign w:val="bottom"/>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2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Series H-2 </w:t>
            </w:r>
            <w:r>
              <w:rPr>
                <w:rFonts w:ascii="Arial" w:cs="Arial" w:eastAsia="Arial" w:hAnsi="Arial"/>
                <w:sz w:val="18"/>
                <w:szCs w:val="18"/>
                <w:color w:val="auto"/>
                <w:vertAlign w:val="superscript"/>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7,305,567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22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85,490,483</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69,914,359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227,198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229,543</w:t>
            </w:r>
          </w:p>
        </w:tc>
      </w:tr>
      <w:tr>
        <w:trPr>
          <w:trHeight w:val="20"/>
        </w:trPr>
        <w:tc>
          <w:tcPr>
            <w:tcW w:w="2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(1)  Dividend per share per annum when and if declared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auto"/>
        </w:rPr>
        <w:t>(2)  The convertible note to purchase shares of Series H-1 and H-2 redeemable convertible preferred stock was paid off in full in March 2024.</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Immediately prior to the Company’s IPO, all outstanding shares of redeemable convertible preferred stock were converted into shares of the Company’s common stock on a one-to-one basis and their carrying value of $227.2 million was reclassified into stockholders’ equity. As such, there were no shares of redeemable convertible preferred stock issued and outstanding as of January 31, 2026.</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board of directors is authorized, without further stockholder approval and subject to any limitations prescribed by law, to issue preferred stock in one or more series and determine the rights, preferences, and privileges of each series. As of January 31, 2026, no shares of redeemable convertible preferred stock were issued or outstanding.</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10. Common Stock</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January 31, 2026 and January 31, 2025, the Company was authorized to issue 214.6 million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January 31, 2026.</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Reserved for Future Issuance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At January 31, 2026 and January 31, 2025, the Company reserved the following shares of common stock for issuance: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80" w:type="dxa"/>
            <w:vAlign w:val="bottom"/>
          </w:tcPr>
          <w:p>
            <w:pPr>
              <w:spacing w:after="0"/>
              <w:rPr>
                <w:sz w:val="13"/>
                <w:szCs w:val="13"/>
                <w:color w:val="auto"/>
              </w:rPr>
            </w:pPr>
          </w:p>
        </w:tc>
        <w:tc>
          <w:tcPr>
            <w:tcW w:w="1660" w:type="dxa"/>
            <w:vAlign w:val="bottom"/>
            <w:gridSpan w:val="2"/>
          </w:tcPr>
          <w:p>
            <w:pPr>
              <w:ind w:left="480"/>
              <w:spacing w:after="0"/>
              <w:rPr>
                <w:sz w:val="20"/>
                <w:szCs w:val="20"/>
                <w:color w:val="auto"/>
              </w:rPr>
            </w:pPr>
            <w:r>
              <w:rPr>
                <w:rFonts w:ascii="Arial" w:cs="Arial" w:eastAsia="Arial" w:hAnsi="Arial"/>
                <w:sz w:val="11"/>
                <w:szCs w:val="11"/>
                <w:b w:val="1"/>
                <w:bCs w:val="1"/>
                <w:color w:val="auto"/>
              </w:rPr>
              <w:t>January 31,</w:t>
            </w:r>
          </w:p>
        </w:tc>
        <w:tc>
          <w:tcPr>
            <w:tcW w:w="1580" w:type="dxa"/>
            <w:vAlign w:val="bottom"/>
          </w:tcPr>
          <w:p>
            <w:pPr>
              <w:jc w:val="right"/>
              <w:ind w:right="41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880" w:type="dxa"/>
            <w:vAlign w:val="bottom"/>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2026</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2025</w:t>
            </w:r>
          </w:p>
        </w:tc>
      </w:tr>
      <w:tr>
        <w:trPr>
          <w:trHeight w:val="171"/>
        </w:trPr>
        <w:tc>
          <w:tcPr>
            <w:tcW w:w="7880" w:type="dxa"/>
            <w:vAlign w:val="bottom"/>
          </w:tcPr>
          <w:p>
            <w:pPr>
              <w:ind w:left="20"/>
              <w:spacing w:after="0" w:line="171" w:lineRule="exact"/>
              <w:rPr>
                <w:sz w:val="20"/>
                <w:szCs w:val="20"/>
                <w:color w:val="auto"/>
              </w:rPr>
            </w:pPr>
            <w:r>
              <w:rPr>
                <w:rFonts w:ascii="Arial" w:cs="Arial" w:eastAsia="Arial" w:hAnsi="Arial"/>
                <w:sz w:val="14"/>
                <w:szCs w:val="14"/>
                <w:color w:val="auto"/>
              </w:rPr>
              <w:t xml:space="preserve">Redeemable convertible preferred stock, all series </w:t>
            </w:r>
            <w:r>
              <w:rPr>
                <w:rFonts w:ascii="Arial" w:cs="Arial" w:eastAsia="Arial" w:hAnsi="Arial"/>
                <w:sz w:val="18"/>
                <w:szCs w:val="18"/>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84,525,493</w:t>
            </w:r>
          </w:p>
        </w:tc>
      </w:tr>
      <w:tr>
        <w:trPr>
          <w:trHeight w:val="180"/>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G redeemable convertible preferred stock warrant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251,750</w:t>
            </w:r>
          </w:p>
        </w:tc>
      </w:tr>
      <w:tr>
        <w:trPr>
          <w:trHeight w:val="180"/>
        </w:trPr>
        <w:tc>
          <w:tcPr>
            <w:tcW w:w="78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580" w:type="dxa"/>
            <w:vAlign w:val="bottom"/>
          </w:tcPr>
          <w:p>
            <w:pPr>
              <w:jc w:val="right"/>
              <w:spacing w:after="0"/>
              <w:rPr>
                <w:sz w:val="20"/>
                <w:szCs w:val="20"/>
                <w:color w:val="auto"/>
              </w:rPr>
            </w:pPr>
            <w:r>
              <w:rPr>
                <w:rFonts w:ascii="Arial" w:cs="Arial" w:eastAsia="Arial" w:hAnsi="Arial"/>
                <w:sz w:val="14"/>
                <w:szCs w:val="14"/>
                <w:color w:val="auto"/>
              </w:rPr>
              <w:t>1,953,463</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1,701,713</w:t>
            </w:r>
          </w:p>
        </w:tc>
      </w:tr>
      <w:tr>
        <w:trPr>
          <w:trHeight w:val="180"/>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stock awards issued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39,505,733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62,903,172</w:t>
            </w:r>
          </w:p>
        </w:tc>
      </w:tr>
      <w:tr>
        <w:trPr>
          <w:trHeight w:val="18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Authorized for future stock awards or 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27,856,967</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5,795,839</w:t>
            </w:r>
          </w:p>
        </w:tc>
      </w:tr>
      <w:tr>
        <w:trPr>
          <w:trHeight w:val="196"/>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shares of common stock reserved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69,316,163</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155,177,967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a result of the completion of the IPO on December 15, 2025, all shares of redeemable convertible preferred stock were converted to common stock and became issued and outstanding common shares. Additionally, the Series G Warrant (as defined below) was converted to a common stock warrant. As such, there were no shares of common stock reserved for issuance for redeemable convertible preferred stock or the Series G Warrant as of January 31, 2026.</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11. Warrants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Equity-Classified Warrants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From 2019 to 2023, the Company issued warrants to purchase an aggregate of 1.6 million shares of common stock with a weighted-average exercise price of $2.60. All warrants expire 10 years from the date of grant. As of January 31, 2026, none of these equity-classified warrants had vested or been exercised.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Liability-Classified Warrants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warrant liabilities are included in other noncurrent liabilities in the consolidated balance sheets. The fair value of the warrants is remeasured at the end of every reporting period, with changes in fair value during the period recorded as a component of other expense (income), net in the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 Warrant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April 2020, the Company issued a warrant to purchase 60,000 shares of common stock at an exercise price of $1.16 per share. At January 31, 2026 and January 31, 2025, the warrant was recorded at fair value of approximately $0.5 million and $0.8 million, respectively. The warrant expires in April 2030.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common stock warrant was estimated using the BSM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440" w:type="dxa"/>
            <w:vAlign w:val="bottom"/>
          </w:tcPr>
          <w:p>
            <w:pPr>
              <w:spacing w:after="0"/>
              <w:rPr>
                <w:sz w:val="13"/>
                <w:szCs w:val="13"/>
                <w:color w:val="auto"/>
              </w:rPr>
            </w:pPr>
          </w:p>
        </w:tc>
        <w:tc>
          <w:tcPr>
            <w:tcW w:w="1140" w:type="dxa"/>
            <w:vAlign w:val="bottom"/>
          </w:tcPr>
          <w:p>
            <w:pPr>
              <w:jc w:val="center"/>
              <w:ind w:left="459"/>
              <w:spacing w:after="0"/>
              <w:rPr>
                <w:sz w:val="20"/>
                <w:szCs w:val="20"/>
                <w:color w:val="auto"/>
              </w:rPr>
            </w:pPr>
            <w:r>
              <w:rPr>
                <w:rFonts w:ascii="Arial" w:cs="Arial" w:eastAsia="Arial" w:hAnsi="Arial"/>
                <w:sz w:val="11"/>
                <w:szCs w:val="11"/>
                <w:b w:val="1"/>
                <w:bCs w:val="1"/>
                <w:color w:val="auto"/>
              </w:rPr>
              <w:t>January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44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171"/>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5.24</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55.00 %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54.40 %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80"/>
        </w:trPr>
        <w:tc>
          <w:tcPr>
            <w:tcW w:w="744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4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14.04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Series G Warrant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January 31, 2026 and January 31, 2025, a warrant to purchase 251,750 shares of the Company’s common stock (the “Series G Warrant”) was outstanding at a fair value of $1.5 million and $2.7 million, respectively. The Series G Warrant was originally exercisable for shares of Series G redeemable convertible preferred stock, which automatically converted into common stock upon the completion of the Company’s IPO. The Series G Warrant is immediately exercisable and expires five years from the effective date of an IPO.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the Series G Warrant was estimated using the BSM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1160" w:type="dxa"/>
            <w:vAlign w:val="bottom"/>
          </w:tcPr>
          <w:p>
            <w:pPr>
              <w:jc w:val="center"/>
              <w:ind w:left="459"/>
              <w:spacing w:after="0"/>
              <w:rPr>
                <w:sz w:val="20"/>
                <w:szCs w:val="20"/>
                <w:color w:val="auto"/>
              </w:rPr>
            </w:pPr>
            <w:r>
              <w:rPr>
                <w:rFonts w:ascii="Arial" w:cs="Arial" w:eastAsia="Arial" w:hAnsi="Arial"/>
                <w:sz w:val="11"/>
                <w:szCs w:val="11"/>
                <w:b w:val="1"/>
                <w:bCs w:val="1"/>
                <w:color w:val="auto"/>
              </w:rPr>
              <w:t>January 31,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453"/>
              <w:spacing w:after="0"/>
              <w:rPr>
                <w:sz w:val="20"/>
                <w:szCs w:val="20"/>
                <w:color w:val="auto"/>
              </w:rPr>
            </w:pPr>
            <w:r>
              <w:rPr>
                <w:rFonts w:ascii="Arial" w:cs="Arial" w:eastAsia="Arial" w:hAnsi="Arial"/>
                <w:sz w:val="11"/>
                <w:szCs w:val="11"/>
                <w:b w:val="1"/>
                <w:bCs w:val="1"/>
                <w:color w:val="auto"/>
              </w:rPr>
              <w:t>January 31,</w:t>
            </w:r>
          </w:p>
        </w:tc>
      </w:tr>
      <w:tr>
        <w:trPr>
          <w:trHeight w:val="159"/>
        </w:trPr>
        <w:tc>
          <w:tcPr>
            <w:tcW w:w="78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2025</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5.50</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3"/>
              </w:rPr>
              <w:t>55.00 %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53.40 %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4.42 %</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Expected dividends</w:t>
            </w:r>
          </w:p>
        </w:tc>
        <w:tc>
          <w:tcPr>
            <w:tcW w:w="1160" w:type="dxa"/>
            <w:vAlign w:val="bottom"/>
          </w:tcPr>
          <w:p>
            <w:pPr>
              <w:spacing w:after="0"/>
              <w:rPr>
                <w:sz w:val="15"/>
                <w:szCs w:val="15"/>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1160" w:type="dxa"/>
            <w:vAlign w:val="bottom"/>
            <w:shd w:val="clear" w:color="auto" w:fill="CCEEFF"/>
          </w:tcPr>
          <w:p>
            <w:pPr>
              <w:jc w:val="right"/>
              <w:ind w:right="99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16.15</w:t>
            </w:r>
          </w:p>
        </w:tc>
      </w:tr>
    </w:tbl>
    <w:p>
      <w:pPr>
        <w:spacing w:after="0" w:line="17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12. Stock-Based Compensation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January 2008, the Company adopted the 2008 Equity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January 31, 2026 and January 31, 2025, no shares from the 2008 Plan remained available for future grants.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December 2017, the Company adopted the 2017 Equity Incentive Plan (the “2017 Plan”), which was most recently amended in September 2025 and subsequently terminated in connection with the adoption of the Company’s 2025 Plan (as defined below). The 2017 Plan allowed stock options to be granted to Company employees, officers, directors, advisors, consultants, and other service providers as either stock options, restricted stock awards, RSUs, stock appreciation rights, and other equity awards. The 2017 Plan was initially adopted with substantively similar plan features as the 2008 Plan. In August 2018, the 2017 Plan was amended to extend the post-termination exercise period for vested awards, other than terminations for cause, to up to 10 years. At January 31, 2026, no shares from the 2017 Plan remained available for future grants. At January 31, 2025, 5,795,839 shares from the 2017 Plan remained available for future grants.</w:t>
      </w:r>
    </w:p>
    <w:p>
      <w:pPr>
        <w:spacing w:after="0" w:line="89"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In December 2025, the Company’s board of directors approved the 2025 Equity Incentive Plan (the “2025 Plan” and, together with the 2017 and 2008 Plan, the “Plans”). The 2025 Plan became effective in connection with the IPO, and provides for the issuance of up to 17,500,000 shares of the Company’s common stock, plus any reserved shares of the Company’s common stock not issued or subject to outstanding grants under the 2008 Plan and the 2017 Plan on the effective date of the 2025 Plan, pursuant to stock options, RSUs, stock appreciation rights, and other equity awards. The number of shares reserved for issuance under the 2025 Plan will increase automatically on February 1 of each of 2026 through 2035 by the number of shares equal to 5% of the aggregate number of outstanding shares of all classes of the Company’s common stock as of the immediately preceding January 31, or a lesser number as may be determined by the board of directors. The 2025 Plan was initially adopted with substantively similar plan features to the 2017</w:t>
      </w:r>
    </w:p>
    <w:p>
      <w:pPr>
        <w:spacing w:after="0" w:line="3" w:lineRule="exact"/>
        <w:rPr>
          <w:sz w:val="20"/>
          <w:szCs w:val="20"/>
          <w:color w:val="auto"/>
        </w:rPr>
      </w:pPr>
    </w:p>
    <w:p>
      <w:pPr>
        <w:ind w:right="60"/>
        <w:spacing w:after="0" w:line="238" w:lineRule="auto"/>
        <w:rPr>
          <w:sz w:val="20"/>
          <w:szCs w:val="20"/>
          <w:color w:val="auto"/>
        </w:rPr>
      </w:pPr>
      <w:r>
        <w:rPr>
          <w:rFonts w:ascii="Arial" w:cs="Arial" w:eastAsia="Arial" w:hAnsi="Arial"/>
          <w:sz w:val="14"/>
          <w:szCs w:val="14"/>
          <w:color w:val="auto"/>
        </w:rPr>
        <w:t>and 2008 Plans. The Company began issuing awards under the 2025 Plan during the quarter ended January 31, 2026. At January 31, 2026, 27,856,967 shares from the 2025 Plan remained available for future grants.</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 summary of stock option activity as of and for the fiscal year ended January 31, 2026 under the Plans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Number of Options</w:t>
            </w:r>
          </w:p>
        </w:tc>
        <w:tc>
          <w:tcPr>
            <w:tcW w:w="16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Weighted 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Weighted Average</w:t>
            </w:r>
          </w:p>
        </w:tc>
        <w:tc>
          <w:tcPr>
            <w:tcW w:w="100" w:type="dxa"/>
            <w:vAlign w:val="bottom"/>
          </w:tcPr>
          <w:p>
            <w:pPr>
              <w:spacing w:after="0"/>
              <w:rPr>
                <w:sz w:val="10"/>
                <w:szCs w:val="10"/>
                <w:color w:val="auto"/>
              </w:rPr>
            </w:pPr>
          </w:p>
        </w:tc>
        <w:tc>
          <w:tcPr>
            <w:tcW w:w="1460" w:type="dxa"/>
            <w:vAlign w:val="bottom"/>
          </w:tcPr>
          <w:p>
            <w:pPr>
              <w:jc w:val="center"/>
              <w:ind w:right="34"/>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12"/>
        </w:trPr>
        <w:tc>
          <w:tcPr>
            <w:tcW w:w="4740" w:type="dxa"/>
            <w:vAlign w:val="bottom"/>
          </w:tcPr>
          <w:p>
            <w:pPr>
              <w:spacing w:after="0"/>
              <w:rPr>
                <w:sz w:val="9"/>
                <w:szCs w:val="9"/>
                <w:color w:val="auto"/>
              </w:rPr>
            </w:pPr>
          </w:p>
        </w:tc>
        <w:tc>
          <w:tcPr>
            <w:tcW w:w="166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rPr>
              <w:t>Outstanding Under the</w:t>
            </w:r>
          </w:p>
        </w:tc>
        <w:tc>
          <w:tcPr>
            <w:tcW w:w="1660" w:type="dxa"/>
            <w:vAlign w:val="bottom"/>
            <w:gridSpan w:val="3"/>
            <w:vMerge w:val="continue"/>
          </w:tcPr>
          <w:p>
            <w:pPr>
              <w:spacing w:after="0"/>
              <w:rPr>
                <w:sz w:val="9"/>
                <w:szCs w:val="9"/>
                <w:color w:val="auto"/>
              </w:rPr>
            </w:pPr>
          </w:p>
        </w:tc>
        <w:tc>
          <w:tcPr>
            <w:tcW w:w="166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rPr>
              <w:t>Remaining Contractual</w:t>
            </w:r>
          </w:p>
        </w:tc>
        <w:tc>
          <w:tcPr>
            <w:tcW w:w="100" w:type="dxa"/>
            <w:vAlign w:val="bottom"/>
          </w:tcPr>
          <w:p>
            <w:pPr>
              <w:spacing w:after="0"/>
              <w:rPr>
                <w:sz w:val="9"/>
                <w:szCs w:val="9"/>
                <w:color w:val="auto"/>
              </w:rPr>
            </w:pPr>
          </w:p>
        </w:tc>
        <w:tc>
          <w:tcPr>
            <w:tcW w:w="1460" w:type="dxa"/>
            <w:vAlign w:val="bottom"/>
          </w:tcPr>
          <w:p>
            <w:pPr>
              <w:jc w:val="center"/>
              <w:ind w:right="74"/>
              <w:spacing w:after="0" w:line="113" w:lineRule="exact"/>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Plans</w:t>
            </w:r>
          </w:p>
        </w:tc>
        <w:tc>
          <w:tcPr>
            <w:tcW w:w="1140" w:type="dxa"/>
            <w:vAlign w:val="bottom"/>
          </w:tcPr>
          <w:p>
            <w:pPr>
              <w:jc w:val="right"/>
              <w:ind w:right="156"/>
              <w:spacing w:after="0"/>
              <w:rPr>
                <w:sz w:val="20"/>
                <w:szCs w:val="20"/>
                <w:color w:val="auto"/>
              </w:rPr>
            </w:pPr>
            <w:r>
              <w:rPr>
                <w:rFonts w:ascii="Arial" w:cs="Arial" w:eastAsia="Arial" w:hAnsi="Arial"/>
                <w:sz w:val="11"/>
                <w:szCs w:val="11"/>
                <w:b w:val="1"/>
                <w:bCs w:val="1"/>
                <w:color w:val="auto"/>
              </w:rPr>
              <w:t>Price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Term (Years)</w:t>
            </w:r>
          </w:p>
        </w:tc>
        <w:tc>
          <w:tcPr>
            <w:tcW w:w="100" w:type="dxa"/>
            <w:vAlign w:val="bottom"/>
          </w:tcPr>
          <w:p>
            <w:pPr>
              <w:spacing w:after="0"/>
              <w:rPr>
                <w:sz w:val="12"/>
                <w:szCs w:val="12"/>
                <w:color w:val="auto"/>
              </w:rPr>
            </w:pPr>
          </w:p>
        </w:tc>
        <w:tc>
          <w:tcPr>
            <w:tcW w:w="1460" w:type="dxa"/>
            <w:vAlign w:val="bottom"/>
          </w:tcPr>
          <w:p>
            <w:pPr>
              <w:jc w:val="center"/>
              <w:ind w:right="54"/>
              <w:spacing w:after="0"/>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31,132,993</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76"/>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376,555</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tcPr>
          <w:p>
            <w:pPr>
              <w:jc w:val="right"/>
              <w:spacing w:after="0"/>
              <w:rPr>
                <w:sz w:val="20"/>
                <w:szCs w:val="20"/>
                <w:color w:val="auto"/>
              </w:rPr>
            </w:pPr>
            <w:r>
              <w:rPr>
                <w:rFonts w:ascii="Arial" w:cs="Arial" w:eastAsia="Arial" w:hAnsi="Arial"/>
                <w:sz w:val="14"/>
                <w:szCs w:val="14"/>
                <w:color w:val="auto"/>
              </w:rPr>
              <w:t>(6,649,247)</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79,613</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(709,006)</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(19,375)</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2026*</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23,755,365</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ind w:left="20"/>
              <w:spacing w:after="0" w:line="143" w:lineRule="exact"/>
              <w:rPr>
                <w:sz w:val="20"/>
                <w:szCs w:val="20"/>
                <w:color w:val="auto"/>
              </w:rPr>
            </w:pPr>
            <w:r>
              <w:rPr>
                <w:rFonts w:ascii="Arial" w:cs="Arial" w:eastAsia="Arial" w:hAnsi="Arial"/>
                <w:sz w:val="14"/>
                <w:szCs w:val="14"/>
                <w:color w:val="auto"/>
              </w:rPr>
              <w:t>Exercisable at January 31, 2026</w:t>
            </w:r>
          </w:p>
        </w:tc>
        <w:tc>
          <w:tcPr>
            <w:tcW w:w="15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23,685,819</w:t>
            </w:r>
          </w:p>
        </w:tc>
        <w:tc>
          <w:tcPr>
            <w:tcW w:w="80" w:type="dxa"/>
            <w:vAlign w:val="bottom"/>
          </w:tcPr>
          <w:p>
            <w:pPr>
              <w:spacing w:after="0"/>
              <w:rPr>
                <w:sz w:val="12"/>
                <w:szCs w:val="12"/>
                <w:color w:val="auto"/>
              </w:rPr>
            </w:pPr>
          </w:p>
        </w:tc>
        <w:tc>
          <w:tcPr>
            <w:tcW w:w="1140" w:type="dxa"/>
            <w:vAlign w:val="bottom"/>
            <w:tcBorders>
              <w:bottom w:val="single" w:sz="8" w:color="auto"/>
            </w:tcBorders>
          </w:tcPr>
          <w:p>
            <w:pPr>
              <w:jc w:val="right"/>
              <w:ind w:right="976"/>
              <w:spacing w:after="0" w:line="143"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1.90</w:t>
            </w:r>
          </w:p>
        </w:tc>
        <w:tc>
          <w:tcPr>
            <w:tcW w:w="80" w:type="dxa"/>
            <w:vAlign w:val="bottom"/>
          </w:tcPr>
          <w:p>
            <w:pPr>
              <w:spacing w:after="0"/>
              <w:rPr>
                <w:sz w:val="12"/>
                <w:szCs w:val="12"/>
                <w:color w:val="auto"/>
              </w:rPr>
            </w:pPr>
          </w:p>
        </w:tc>
        <w:tc>
          <w:tcPr>
            <w:tcW w:w="1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160,702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color w:val="auto"/>
              </w:rPr>
              <w:t>______________</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540" w:type="dxa"/>
            <w:vAlign w:val="bottom"/>
            <w:gridSpan w:val="4"/>
          </w:tcPr>
          <w:p>
            <w:pPr>
              <w:spacing w:after="0"/>
              <w:rPr>
                <w:sz w:val="20"/>
                <w:szCs w:val="20"/>
                <w:color w:val="auto"/>
              </w:rPr>
            </w:pPr>
            <w:r>
              <w:rPr>
                <w:rFonts w:ascii="Arial" w:cs="Arial" w:eastAsia="Arial" w:hAnsi="Arial"/>
                <w:sz w:val="13"/>
                <w:szCs w:val="13"/>
                <w:color w:val="auto"/>
              </w:rPr>
              <w:t>*   The Plans allow for early exercise of stock options and exercised/forfeited balances include only vested stock options exercised.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4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7"/>
              </w:rPr>
              <w:t>Shares</w:t>
            </w:r>
          </w:p>
        </w:tc>
        <w:tc>
          <w:tcPr>
            <w:tcW w:w="10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rPr>
              <w:t>Weighted-Average Grant-</w:t>
            </w:r>
          </w:p>
        </w:tc>
        <w:tc>
          <w:tcPr>
            <w:tcW w:w="0" w:type="dxa"/>
            <w:vAlign w:val="bottom"/>
          </w:tcPr>
          <w:p>
            <w:pPr>
              <w:spacing w:after="0"/>
              <w:rPr>
                <w:sz w:val="1"/>
                <w:szCs w:val="1"/>
                <w:color w:val="auto"/>
              </w:rPr>
            </w:pPr>
          </w:p>
        </w:tc>
      </w:tr>
      <w:tr>
        <w:trPr>
          <w:trHeight w:val="144"/>
        </w:trPr>
        <w:tc>
          <w:tcPr>
            <w:tcW w:w="47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34"/>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at January 31, 2025</w:t>
            </w: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January 31, 2026</w:t>
            </w: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unrecognized stock-based compensation expense related to unvested stock options was $0.3 million, which is expected to be recognized over a weighted-average period of 0.6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 options were granted during the fiscal years ended January 31, 2026 and 2025.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Early Exercise of Unvested Options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January 31, 2026 and 2025, the Company recorded immaterial liabilities for 4,667 unvested shares and 1,519,220 unvested shares, respectively, that were early exercised by employees and subject to repurchase.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 Units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RSUs are issued at no cost to the recipient and can be settled only in shares after the RSUs have vested. RSUs do not provide the holder with voting rights or cash dividends. Prior to the Company’s IPO, the majority of RSUs included both a time -based service and performance-based conditions tied to the occurrence of a qualifying liquidity event (“dual-trigger RSUs”). Upon the completion of the IPO on December 15, 2025, the performance condition was satisfied and the existing dual-trigger awards are now subject only to the remaining service-based vesting conditions. Accordingly, the Company began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recognizing share-based compensation expense for these awards from the date the performance condition was satisfied. Following the Company’s IPO, RSUs granted are subject only to continued service-based vesting conditions and do not contain performance or market conditions.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 summary of RSU activity for the fiscal year ended January 31, 2026 under the Plans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0"/>
                <w:szCs w:val="10"/>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10"/>
                <w:szCs w:val="10"/>
                <w:color w:val="auto"/>
              </w:rPr>
            </w:pPr>
          </w:p>
        </w:tc>
        <w:tc>
          <w:tcPr>
            <w:tcW w:w="1460" w:type="dxa"/>
            <w:vAlign w:val="bottom"/>
          </w:tcPr>
          <w:p>
            <w:pPr>
              <w:jc w:val="right"/>
              <w:ind w:right="53"/>
              <w:spacing w:after="0"/>
              <w:rPr>
                <w:sz w:val="20"/>
                <w:szCs w:val="20"/>
                <w:color w:val="auto"/>
              </w:rPr>
            </w:pPr>
            <w:r>
              <w:rPr>
                <w:rFonts w:ascii="Arial" w:cs="Arial" w:eastAsia="Arial" w:hAnsi="Arial"/>
                <w:sz w:val="11"/>
                <w:szCs w:val="11"/>
                <w:b w:val="1"/>
                <w:bCs w:val="1"/>
                <w:color w:val="auto"/>
              </w:rPr>
              <w:t>Weighted Average Grant</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313"/>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31,294,850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7,281,903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(21,640,347)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(1,260,251)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15,676,155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unrecognized stock-based compensation expense related to unvested RSUs was $105.5 million, which is expected to be recognized over a weighted-average period of 2.2 years.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of Restricted Stock Units</w:t>
      </w:r>
    </w:p>
    <w:p>
      <w:pPr>
        <w:spacing w:after="0" w:line="125" w:lineRule="exact"/>
        <w:rPr>
          <w:sz w:val="20"/>
          <w:szCs w:val="20"/>
          <w:color w:val="auto"/>
        </w:rPr>
      </w:pPr>
    </w:p>
    <w:p>
      <w:pPr>
        <w:ind w:right="740"/>
        <w:spacing w:after="0" w:line="255" w:lineRule="auto"/>
        <w:rPr>
          <w:sz w:val="20"/>
          <w:szCs w:val="20"/>
          <w:color w:val="auto"/>
        </w:rPr>
      </w:pPr>
      <w:r>
        <w:rPr>
          <w:rFonts w:ascii="Arial" w:cs="Arial" w:eastAsia="Arial" w:hAnsi="Arial"/>
          <w:sz w:val="14"/>
          <w:szCs w:val="14"/>
          <w:color w:val="auto"/>
        </w:rPr>
        <w:t>In September 2025, the Company approved the acceleration of vesting of dual-triggered RSUs granted under the 2017 Plan to certain employees (the “IPO RSU Vesting Acceleration”). These RSUs were subject to dual-trigger vesting conditions, consisting of a service-based vesting and an initial vesting event.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approval of the IPO RSU Vesting Acceleration represents a modification of the affected RSUs. As of the date of modification, the liquidity vesting event condition remained improbable, as the IPO had not occurred. Therefore, immaterial incremental compensation cost was recognized after the completion of the IPO for the fiscal year ended January 31, 2026.</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Stock Purchase Plan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employee stock purchase plan (“ESPP”) became effective in connection with the IPO in December 2025. The ESPP enables employees to purchase shares of the Company’s common stock at a discounted price through payroll deductions of up to 15% of their eligible compensation up to the statutory maximum. The purchase price is equal to 85% of the fair market value of a share of common stock on the first day of an offering period or the purchase date, whichever is lower.</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aggregate number of shares reserved for issuance under the ESPP is 4,500,000, and will automatically increase on February 1 of each of the first ten fiscal years during the term. Such annual increase will be equal to the lesser of (i) 1% of the outstanding shares of common stock issued and outstanding on the last day of the immediately preceding fiscal calendar year and (ii) such number of shares determined by the board of directors. No more than 45,000,000 shares may be issued under the ESPP.</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fiscal year ended January 31, 2026, employees began participating in the ESPP through payroll deductions, however, no shares were purchased or issued under the ESPP as of January 31, 2026. Payroll deductions related to the ESPP are recorded as accrued compensation and other current liabilities until the applicable purchase date. Compensation expense associated with the ESPP is recognized over the offering period based on the grant-date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Allocation of Stock-Based Compensation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Stock-based compensation expense recognized in the consolidated statements of operations for the fiscal year ended January 31, 2026, 2025, and 2024 was as follows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1"/>
                <w:szCs w:val="11"/>
                <w:b w:val="1"/>
                <w:bCs w:val="1"/>
                <w:color w:val="auto"/>
              </w:rPr>
              <w:t>Fiscal Year Ended January 31,</w:t>
            </w:r>
          </w:p>
        </w:tc>
        <w:tc>
          <w:tcPr>
            <w:tcW w:w="4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9"/>
        </w:trPr>
        <w:tc>
          <w:tcPr>
            <w:tcW w:w="60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106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127,414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54"/>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8,692</w:t>
            </w:r>
          </w:p>
        </w:tc>
      </w:tr>
      <w:tr>
        <w:trPr>
          <w:trHeight w:val="180"/>
        </w:trPr>
        <w:tc>
          <w:tcPr>
            <w:tcW w:w="60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110,677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2,647</w:t>
            </w:r>
          </w:p>
        </w:tc>
      </w:tr>
      <w:tr>
        <w:trPr>
          <w:trHeight w:val="180"/>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r>
      <w:tr>
        <w:trPr>
          <w:trHeight w:val="18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Operations and support</w:t>
            </w: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w:t>
            </w:r>
          </w:p>
        </w:tc>
      </w:tr>
      <w:tr>
        <w:trPr>
          <w:trHeight w:val="171"/>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259,824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13,255</w:t>
            </w:r>
          </w:p>
        </w:tc>
      </w:tr>
      <w:tr>
        <w:trPr>
          <w:trHeight w:val="180"/>
        </w:trPr>
        <w:tc>
          <w:tcPr>
            <w:tcW w:w="6020" w:type="dxa"/>
            <w:vAlign w:val="bottom"/>
          </w:tcPr>
          <w:p>
            <w:pPr>
              <w:ind w:left="20"/>
              <w:spacing w:after="0"/>
              <w:rPr>
                <w:sz w:val="20"/>
                <w:szCs w:val="20"/>
                <w:color w:val="auto"/>
              </w:rPr>
            </w:pPr>
            <w:r>
              <w:rPr>
                <w:rFonts w:ascii="Arial" w:cs="Arial" w:eastAsia="Arial" w:hAnsi="Arial"/>
                <w:sz w:val="14"/>
                <w:szCs w:val="14"/>
                <w:color w:val="auto"/>
              </w:rPr>
              <w:t>Capitalized stock-based compensation expense</w:t>
            </w:r>
          </w:p>
        </w:tc>
        <w:tc>
          <w:tcPr>
            <w:tcW w:w="10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(1,637)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(1,409)</w:t>
            </w:r>
          </w:p>
        </w:tc>
      </w:tr>
      <w:tr>
        <w:trPr>
          <w:trHeight w:val="196"/>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 net of amounts capitalized</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259,824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11,846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13. Employee Benefit Plan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During the period, the Company began providing matching contributions to employees’ 401(k) retirement plans. The related expense recognized for the fiscal year ended January 31, 2026 was immaterial. No matching contributions were made during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14. Income Taxes</w:t>
            </w: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600" w:type="dxa"/>
            <w:vAlign w:val="bottom"/>
          </w:tcPr>
          <w:p>
            <w:pPr>
              <w:spacing w:after="0"/>
              <w:rPr>
                <w:sz w:val="20"/>
                <w:szCs w:val="20"/>
                <w:color w:val="auto"/>
              </w:rPr>
            </w:pPr>
            <w:r>
              <w:rPr>
                <w:rFonts w:ascii="Arial" w:cs="Arial" w:eastAsia="Arial" w:hAnsi="Arial"/>
                <w:sz w:val="14"/>
                <w:szCs w:val="14"/>
                <w:color w:val="auto"/>
              </w:rPr>
              <w:t>The</w:t>
            </w:r>
          </w:p>
        </w:tc>
        <w:tc>
          <w:tcPr>
            <w:tcW w:w="1280" w:type="dxa"/>
            <w:vAlign w:val="bottom"/>
          </w:tcPr>
          <w:p>
            <w:pPr>
              <w:ind w:left="100"/>
              <w:spacing w:after="0"/>
              <w:rPr>
                <w:sz w:val="20"/>
                <w:szCs w:val="20"/>
                <w:color w:val="auto"/>
              </w:rPr>
            </w:pPr>
            <w:r>
              <w:rPr>
                <w:rFonts w:ascii="Arial" w:cs="Arial" w:eastAsia="Arial" w:hAnsi="Arial"/>
                <w:sz w:val="14"/>
                <w:szCs w:val="14"/>
                <w:color w:val="auto"/>
              </w:rPr>
              <w:t>components</w:t>
            </w:r>
          </w:p>
        </w:tc>
        <w:tc>
          <w:tcPr>
            <w:tcW w:w="560" w:type="dxa"/>
            <w:vAlign w:val="bottom"/>
          </w:tcPr>
          <w:p>
            <w:pPr>
              <w:ind w:left="20"/>
              <w:spacing w:after="0"/>
              <w:rPr>
                <w:sz w:val="20"/>
                <w:szCs w:val="20"/>
                <w:color w:val="auto"/>
              </w:rPr>
            </w:pPr>
            <w:r>
              <w:rPr>
                <w:rFonts w:ascii="Arial" w:cs="Arial" w:eastAsia="Arial" w:hAnsi="Arial"/>
                <w:sz w:val="14"/>
                <w:szCs w:val="14"/>
                <w:color w:val="auto"/>
              </w:rPr>
              <w:t>of</w:t>
            </w:r>
          </w:p>
        </w:tc>
        <w:tc>
          <w:tcPr>
            <w:tcW w:w="760" w:type="dxa"/>
            <w:vAlign w:val="bottom"/>
          </w:tcPr>
          <w:p>
            <w:pPr>
              <w:ind w:left="40"/>
              <w:spacing w:after="0"/>
              <w:rPr>
                <w:sz w:val="20"/>
                <w:szCs w:val="20"/>
                <w:color w:val="auto"/>
              </w:rPr>
            </w:pPr>
            <w:r>
              <w:rPr>
                <w:rFonts w:ascii="Arial" w:cs="Arial" w:eastAsia="Arial" w:hAnsi="Arial"/>
                <w:sz w:val="14"/>
                <w:szCs w:val="14"/>
                <w:color w:val="auto"/>
              </w:rPr>
              <w:t>income</w:t>
            </w:r>
          </w:p>
        </w:tc>
        <w:tc>
          <w:tcPr>
            <w:tcW w:w="740" w:type="dxa"/>
            <w:vAlign w:val="bottom"/>
          </w:tcPr>
          <w:p>
            <w:pPr>
              <w:ind w:left="180"/>
              <w:spacing w:after="0"/>
              <w:rPr>
                <w:sz w:val="20"/>
                <w:szCs w:val="20"/>
                <w:color w:val="auto"/>
              </w:rPr>
            </w:pPr>
            <w:r>
              <w:rPr>
                <w:rFonts w:ascii="Arial" w:cs="Arial" w:eastAsia="Arial" w:hAnsi="Arial"/>
                <w:sz w:val="14"/>
                <w:szCs w:val="14"/>
                <w:color w:val="auto"/>
              </w:rPr>
              <w:t>(loss)</w:t>
            </w:r>
          </w:p>
        </w:tc>
        <w:tc>
          <w:tcPr>
            <w:tcW w:w="840" w:type="dxa"/>
            <w:vAlign w:val="bottom"/>
          </w:tcPr>
          <w:p>
            <w:pPr>
              <w:ind w:left="220"/>
              <w:spacing w:after="0"/>
              <w:rPr>
                <w:sz w:val="20"/>
                <w:szCs w:val="20"/>
                <w:color w:val="auto"/>
              </w:rPr>
            </w:pPr>
            <w:r>
              <w:rPr>
                <w:rFonts w:ascii="Arial" w:cs="Arial" w:eastAsia="Arial" w:hAnsi="Arial"/>
                <w:sz w:val="14"/>
                <w:szCs w:val="14"/>
                <w:color w:val="auto"/>
              </w:rPr>
              <w:t>before</w:t>
            </w:r>
          </w:p>
        </w:tc>
        <w:tc>
          <w:tcPr>
            <w:tcW w:w="900" w:type="dxa"/>
            <w:vAlign w:val="bottom"/>
          </w:tcPr>
          <w:p>
            <w:pPr>
              <w:ind w:left="220"/>
              <w:spacing w:after="0"/>
              <w:rPr>
                <w:sz w:val="20"/>
                <w:szCs w:val="20"/>
                <w:color w:val="auto"/>
              </w:rPr>
            </w:pPr>
            <w:r>
              <w:rPr>
                <w:rFonts w:ascii="Arial" w:cs="Arial" w:eastAsia="Arial" w:hAnsi="Arial"/>
                <w:sz w:val="14"/>
                <w:szCs w:val="14"/>
                <w:color w:val="auto"/>
              </w:rPr>
              <w:t>income</w:t>
            </w:r>
          </w:p>
        </w:tc>
        <w:tc>
          <w:tcPr>
            <w:tcW w:w="720" w:type="dxa"/>
            <w:vAlign w:val="bottom"/>
          </w:tcPr>
          <w:p>
            <w:pPr>
              <w:ind w:left="220"/>
              <w:spacing w:after="0"/>
              <w:rPr>
                <w:sz w:val="20"/>
                <w:szCs w:val="20"/>
                <w:color w:val="auto"/>
              </w:rPr>
            </w:pPr>
            <w:r>
              <w:rPr>
                <w:rFonts w:ascii="Arial" w:cs="Arial" w:eastAsia="Arial" w:hAnsi="Arial"/>
                <w:sz w:val="14"/>
                <w:szCs w:val="14"/>
                <w:color w:val="auto"/>
              </w:rPr>
              <w:t>taxes</w:t>
            </w:r>
          </w:p>
        </w:tc>
        <w:tc>
          <w:tcPr>
            <w:tcW w:w="920" w:type="dxa"/>
            <w:vAlign w:val="bottom"/>
          </w:tcPr>
          <w:p>
            <w:pPr>
              <w:jc w:val="right"/>
              <w:spacing w:after="0"/>
              <w:rPr>
                <w:sz w:val="20"/>
                <w:szCs w:val="20"/>
                <w:color w:val="auto"/>
              </w:rPr>
            </w:pPr>
            <w:r>
              <w:rPr>
                <w:rFonts w:ascii="Arial" w:cs="Arial" w:eastAsia="Arial" w:hAnsi="Arial"/>
                <w:sz w:val="14"/>
                <w:szCs w:val="14"/>
                <w:color w:val="auto"/>
              </w:rPr>
              <w:t>consisted</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the</w:t>
            </w:r>
          </w:p>
        </w:tc>
        <w:tc>
          <w:tcPr>
            <w:tcW w:w="1140" w:type="dxa"/>
            <w:vAlign w:val="bottom"/>
            <w:gridSpan w:val="4"/>
          </w:tcPr>
          <w:p>
            <w:pPr>
              <w:ind w:left="360"/>
              <w:spacing w:after="0"/>
              <w:rPr>
                <w:sz w:val="20"/>
                <w:szCs w:val="20"/>
                <w:color w:val="auto"/>
              </w:rPr>
            </w:pPr>
            <w:r>
              <w:rPr>
                <w:rFonts w:ascii="Arial" w:cs="Arial" w:eastAsia="Arial" w:hAnsi="Arial"/>
                <w:sz w:val="14"/>
                <w:szCs w:val="14"/>
                <w:color w:val="auto"/>
              </w:rPr>
              <w:t>following</w:t>
            </w:r>
          </w:p>
        </w:tc>
        <w:tc>
          <w:tcPr>
            <w:tcW w:w="520" w:type="dxa"/>
            <w:vAlign w:val="bottom"/>
          </w:tcPr>
          <w:p>
            <w:pPr>
              <w:jc w:val="right"/>
              <w:ind w:right="69"/>
              <w:spacing w:after="0"/>
              <w:rPr>
                <w:sz w:val="20"/>
                <w:szCs w:val="20"/>
                <w:color w:val="auto"/>
              </w:rPr>
            </w:pPr>
            <w:r>
              <w:rPr>
                <w:rFonts w:ascii="Arial" w:cs="Arial" w:eastAsia="Arial" w:hAnsi="Arial"/>
                <w:sz w:val="14"/>
                <w:szCs w:val="14"/>
                <w:color w:val="auto"/>
              </w:rPr>
              <w:t>(in</w:t>
            </w:r>
          </w:p>
        </w:tc>
        <w:tc>
          <w:tcPr>
            <w:tcW w:w="1040" w:type="dxa"/>
            <w:vAlign w:val="bottom"/>
          </w:tcPr>
          <w:p>
            <w:pPr>
              <w:jc w:val="right"/>
              <w:spacing w:after="0"/>
              <w:rPr>
                <w:sz w:val="20"/>
                <w:szCs w:val="20"/>
                <w:color w:val="auto"/>
              </w:rPr>
            </w:pPr>
            <w:r>
              <w:rPr>
                <w:rFonts w:ascii="Arial" w:cs="Arial" w:eastAsia="Arial" w:hAnsi="Arial"/>
                <w:sz w:val="14"/>
                <w:szCs w:val="14"/>
                <w:color w:val="auto"/>
              </w:rPr>
              <w:t>thousands):</w:t>
            </w:r>
          </w:p>
        </w:tc>
        <w:tc>
          <w:tcPr>
            <w:tcW w:w="0" w:type="dxa"/>
            <w:vAlign w:val="bottom"/>
          </w:tcPr>
          <w:p>
            <w:pPr>
              <w:spacing w:after="0"/>
              <w:rPr>
                <w:sz w:val="1"/>
                <w:szCs w:val="1"/>
                <w:color w:val="auto"/>
              </w:rPr>
            </w:pPr>
          </w:p>
        </w:tc>
      </w:tr>
      <w:tr>
        <w:trPr>
          <w:trHeight w:val="179"/>
        </w:trPr>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Fiscal Year Ended January 31,</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5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82"/>
        </w:trPr>
        <w:tc>
          <w:tcPr>
            <w:tcW w:w="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(101,264)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139,229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78,589</w:t>
            </w: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Income (loss) before income taxes</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(101,248)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139,229</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78,589</w:t>
            </w:r>
          </w:p>
        </w:tc>
        <w:tc>
          <w:tcPr>
            <w:tcW w:w="0" w:type="dxa"/>
            <w:vAlign w:val="bottom"/>
          </w:tcPr>
          <w:p>
            <w:pPr>
              <w:spacing w:after="0"/>
              <w:rPr>
                <w:sz w:val="1"/>
                <w:szCs w:val="1"/>
                <w:color w:val="auto"/>
              </w:rPr>
            </w:pPr>
          </w:p>
        </w:tc>
      </w:tr>
      <w:tr>
        <w:trPr>
          <w:trHeight w:val="20"/>
        </w:trPr>
        <w:tc>
          <w:tcPr>
            <w:tcW w:w="5680" w:type="dxa"/>
            <w:vAlign w:val="bottom"/>
            <w:gridSpan w:val="7"/>
            <w:vMerge w:val="restart"/>
          </w:tcPr>
          <w:p>
            <w:pPr>
              <w:spacing w:after="0"/>
              <w:rPr>
                <w:sz w:val="20"/>
                <w:szCs w:val="20"/>
                <w:color w:val="auto"/>
              </w:rPr>
            </w:pPr>
            <w:r>
              <w:rPr>
                <w:rFonts w:ascii="Arial" w:cs="Arial" w:eastAsia="Arial" w:hAnsi="Arial"/>
                <w:sz w:val="14"/>
                <w:szCs w:val="14"/>
                <w:color w:val="auto"/>
              </w:rPr>
              <w:t>The provision for (benefit from) income taxes consisted of the following (in thousands):</w:t>
            </w: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5680" w:type="dxa"/>
            <w:vAlign w:val="bottom"/>
            <w:gridSpan w:val="7"/>
            <w:vMerge w:val="continue"/>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1"/>
                <w:szCs w:val="11"/>
                <w:b w:val="1"/>
                <w:bCs w:val="1"/>
                <w:color w:val="auto"/>
              </w:rPr>
              <w:t>Fiscal Year Ended January 31,</w:t>
            </w: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5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expense (benefit):</w:t>
            </w:r>
          </w:p>
        </w:tc>
        <w:tc>
          <w:tcPr>
            <w:tcW w:w="5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0" w:type="dxa"/>
            <w:vAlign w:val="bottom"/>
          </w:tcPr>
          <w:p>
            <w:pPr>
              <w:ind w:left="20"/>
              <w:spacing w:after="0"/>
              <w:rPr>
                <w:sz w:val="20"/>
                <w:szCs w:val="20"/>
                <w:color w:val="auto"/>
              </w:rPr>
            </w:pPr>
            <w:r>
              <w:rPr>
                <w:rFonts w:ascii="Arial" w:cs="Arial" w:eastAsia="Arial" w:hAnsi="Arial"/>
                <w:sz w:val="14"/>
                <w:szCs w:val="14"/>
                <w:color w:val="auto"/>
              </w:rPr>
              <w:t>Federal</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349"/>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1,200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3,774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180"/>
        </w:trPr>
        <w:tc>
          <w:tcPr>
            <w:tcW w:w="600" w:type="dxa"/>
            <w:vAlign w:val="bottom"/>
          </w:tcPr>
          <w:p>
            <w:pPr>
              <w:ind w:left="20"/>
              <w:spacing w:after="0"/>
              <w:rPr>
                <w:sz w:val="20"/>
                <w:szCs w:val="20"/>
                <w:color w:val="auto"/>
              </w:rPr>
            </w:pPr>
            <w:r>
              <w:rPr>
                <w:rFonts w:ascii="Arial" w:cs="Arial" w:eastAsia="Arial" w:hAnsi="Arial"/>
                <w:sz w:val="14"/>
                <w:szCs w:val="14"/>
                <w:color w:val="auto"/>
              </w:rPr>
              <w:t>Foreign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2440" w:type="dxa"/>
            <w:vAlign w:val="bottom"/>
            <w:gridSpan w:val="3"/>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Deferred tax expense (benefit):</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(43,252)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tcPr>
          <w:p>
            <w:pPr>
              <w:ind w:left="20"/>
              <w:spacing w:after="0"/>
              <w:rPr>
                <w:sz w:val="20"/>
                <w:szCs w:val="20"/>
                <w:color w:val="auto"/>
              </w:rPr>
            </w:pPr>
            <w:r>
              <w:rPr>
                <w:rFonts w:ascii="Arial" w:cs="Arial" w:eastAsia="Arial" w:hAnsi="Arial"/>
                <w:sz w:val="14"/>
                <w:szCs w:val="14"/>
                <w:color w:val="auto"/>
              </w:rPr>
              <w:t>State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(13,165)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4"/>
                <w:szCs w:val="14"/>
                <w:color w:val="auto"/>
              </w:rPr>
              <w:t>(16,940)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14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4"/>
          </w:tcPr>
          <w:p>
            <w:pPr>
              <w:ind w:left="20"/>
              <w:spacing w:after="0"/>
              <w:rPr>
                <w:sz w:val="20"/>
                <w:szCs w:val="20"/>
                <w:color w:val="auto"/>
              </w:rPr>
            </w:pPr>
            <w:r>
              <w:rPr>
                <w:rFonts w:ascii="Arial" w:cs="Arial" w:eastAsia="Arial" w:hAnsi="Arial"/>
                <w:sz w:val="14"/>
                <w:szCs w:val="14"/>
                <w:color w:val="auto"/>
              </w:rPr>
              <w:t>Total provision for (benefit from) income taxes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(59,182)</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(55,218)</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0"/>
        </w:trPr>
        <w:tc>
          <w:tcPr>
            <w:tcW w:w="6400" w:type="dxa"/>
            <w:vAlign w:val="bottom"/>
            <w:gridSpan w:val="8"/>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320" w:type="dxa"/>
            <w:vAlign w:val="bottom"/>
            <w:gridSpan w:val="9"/>
          </w:tcPr>
          <w:p>
            <w:pPr>
              <w:spacing w:after="0"/>
              <w:rPr>
                <w:sz w:val="20"/>
                <w:szCs w:val="20"/>
                <w:color w:val="auto"/>
              </w:rPr>
            </w:pPr>
            <w:r>
              <w:rPr>
                <w:rFonts w:ascii="Arial" w:cs="Arial" w:eastAsia="Arial" w:hAnsi="Arial"/>
                <w:sz w:val="14"/>
                <w:szCs w:val="14"/>
                <w:color w:val="auto"/>
              </w:rPr>
              <w:t>The reconciliation of the statutory federal income tax rate to the Company’s effective tax rate was as follows: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1"/>
                <w:szCs w:val="11"/>
                <w:b w:val="1"/>
                <w:bCs w:val="1"/>
                <w:color w:val="auto"/>
              </w:rPr>
              <w:t>Fiscal Year Ended January 31, 2026</w:t>
            </w:r>
          </w:p>
        </w:tc>
        <w:tc>
          <w:tcPr>
            <w:tcW w:w="0" w:type="dxa"/>
            <w:vAlign w:val="bottom"/>
          </w:tcPr>
          <w:p>
            <w:pPr>
              <w:spacing w:after="0"/>
              <w:rPr>
                <w:sz w:val="1"/>
                <w:szCs w:val="1"/>
                <w:color w:val="auto"/>
              </w:rPr>
            </w:pPr>
          </w:p>
        </w:tc>
      </w:tr>
      <w:tr>
        <w:trPr>
          <w:trHeight w:val="171"/>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Federal tax (benefit) at statutory rate</w:t>
            </w:r>
          </w:p>
        </w:tc>
        <w:tc>
          <w:tcPr>
            <w:tcW w:w="7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3940" w:type="dxa"/>
            <w:vAlign w:val="bottom"/>
            <w:gridSpan w:val="5"/>
          </w:tcPr>
          <w:p>
            <w:pPr>
              <w:ind w:left="20"/>
              <w:spacing w:after="0"/>
              <w:rPr>
                <w:sz w:val="20"/>
                <w:szCs w:val="20"/>
                <w:color w:val="auto"/>
              </w:rPr>
            </w:pPr>
            <w:r>
              <w:rPr>
                <w:rFonts w:ascii="Arial" w:cs="Arial" w:eastAsia="Arial" w:hAnsi="Arial"/>
                <w:sz w:val="14"/>
                <w:szCs w:val="14"/>
                <w:color w:val="auto"/>
              </w:rPr>
              <w:t>State tax (benefit) at statutory rate, net of federal benefit*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(14,261)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tax effects</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Effect of cross-border tax laws</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credits:</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40" w:type="dxa"/>
            <w:vAlign w:val="bottom"/>
            <w:gridSpan w:val="3"/>
          </w:tcPr>
          <w:p>
            <w:pPr>
              <w:ind w:left="140"/>
              <w:spacing w:after="0"/>
              <w:rPr>
                <w:sz w:val="20"/>
                <w:szCs w:val="20"/>
                <w:color w:val="auto"/>
              </w:rPr>
            </w:pPr>
            <w:r>
              <w:rPr>
                <w:rFonts w:ascii="Arial" w:cs="Arial" w:eastAsia="Arial" w:hAnsi="Arial"/>
                <w:sz w:val="14"/>
                <w:szCs w:val="14"/>
                <w:color w:val="auto"/>
              </w:rPr>
              <w:t>Research and development credits</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13.7 %</w:t>
            </w:r>
          </w:p>
        </w:tc>
        <w:tc>
          <w:tcPr>
            <w:tcW w:w="0" w:type="dxa"/>
            <w:vAlign w:val="bottom"/>
          </w:tcPr>
          <w:p>
            <w:pPr>
              <w:spacing w:after="0"/>
              <w:rPr>
                <w:sz w:val="1"/>
                <w:szCs w:val="1"/>
                <w:color w:val="auto"/>
              </w:rPr>
            </w:pPr>
          </w:p>
        </w:tc>
      </w:tr>
      <w:tr>
        <w:trPr>
          <w:trHeight w:val="180"/>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Nontaxable or nondeductible items:</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Stock based compensation</w:t>
            </w: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43.4 %</w:t>
            </w:r>
          </w:p>
        </w:tc>
        <w:tc>
          <w:tcPr>
            <w:tcW w:w="0" w:type="dxa"/>
            <w:vAlign w:val="bottom"/>
          </w:tcPr>
          <w:p>
            <w:pPr>
              <w:spacing w:after="0"/>
              <w:rPr>
                <w:sz w:val="1"/>
                <w:szCs w:val="1"/>
                <w:color w:val="auto"/>
              </w:rPr>
            </w:pPr>
          </w:p>
        </w:tc>
      </w:tr>
      <w:tr>
        <w:trPr>
          <w:trHeight w:val="180"/>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Executive compensation</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0"/>
        </w:trPr>
        <w:tc>
          <w:tcPr>
            <w:tcW w:w="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0"/>
        </w:trPr>
        <w:tc>
          <w:tcPr>
            <w:tcW w:w="2440" w:type="dxa"/>
            <w:vAlign w:val="bottom"/>
            <w:gridSpan w:val="3"/>
          </w:tcPr>
          <w:p>
            <w:pPr>
              <w:ind w:left="20"/>
              <w:spacing w:after="0"/>
              <w:rPr>
                <w:sz w:val="20"/>
                <w:szCs w:val="20"/>
                <w:color w:val="auto"/>
              </w:rPr>
            </w:pPr>
            <w:r>
              <w:rPr>
                <w:rFonts w:ascii="Arial" w:cs="Arial" w:eastAsia="Arial" w:hAnsi="Arial"/>
                <w:sz w:val="14"/>
                <w:szCs w:val="14"/>
                <w:color w:val="auto"/>
              </w:rPr>
              <w:t>Changes in unrecognized tax benefits:</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Reserve on research and development credits</w:t>
            </w: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0"/>
        </w:trPr>
        <w:tc>
          <w:tcPr>
            <w:tcW w:w="32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Other adjustments to prior year tax estimates</w:t>
            </w:r>
          </w:p>
        </w:tc>
        <w:tc>
          <w:tcPr>
            <w:tcW w:w="7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7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(59,182)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58.6 %</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*State taxes in California made up the majority (greater than 50 percent)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statutory Federal income tax rate to the Company’s effective tax rate, for the year prior to the adoption of ASU 2023-09, was as follows:</w:t>
      </w:r>
    </w:p>
    <w:p>
      <w:pPr>
        <w:spacing w:after="0" w:line="176" w:lineRule="exact"/>
        <w:rPr>
          <w:sz w:val="20"/>
          <w:szCs w:val="20"/>
          <w:color w:val="auto"/>
        </w:rPr>
      </w:pPr>
    </w:p>
    <w:p>
      <w:pPr>
        <w:jc w:val="center"/>
        <w:ind w:left="5560"/>
        <w:spacing w:after="0"/>
        <w:rPr>
          <w:sz w:val="20"/>
          <w:szCs w:val="20"/>
          <w:color w:val="auto"/>
        </w:rPr>
      </w:pPr>
      <w:r>
        <w:rPr>
          <w:rFonts w:ascii="Arial" w:cs="Arial" w:eastAsia="Arial" w:hAnsi="Arial"/>
          <w:sz w:val="11"/>
          <w:szCs w:val="11"/>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17780</wp:posOffset>
            </wp:positionV>
            <wp:extent cx="362458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4580" cy="6985"/>
                    </a:xfrm>
                    <a:prstGeom prst="rect">
                      <a:avLst/>
                    </a:prstGeom>
                    <a:noFill/>
                  </pic:spPr>
                </pic:pic>
              </a:graphicData>
            </a:graphic>
          </wp:anchor>
        </w:drawing>
      </w:r>
    </w:p>
    <w:p>
      <w:pPr>
        <w:spacing w:after="0" w:line="23" w:lineRule="exact"/>
        <w:rPr>
          <w:sz w:val="20"/>
          <w:szCs w:val="20"/>
          <w:color w:val="auto"/>
        </w:rPr>
      </w:pPr>
    </w:p>
    <w:p>
      <w:pPr>
        <w:jc w:val="both"/>
        <w:ind w:left="6860"/>
        <w:spacing w:after="0"/>
        <w:tabs>
          <w:tab w:leader="none" w:pos="974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34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tax (benefit) at statutory rate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tax (benefit) at statutory rate,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valuation allowance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instrument fair value change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 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34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right"/>
        <w:ind w:right="1660"/>
        <w:spacing w:after="0"/>
        <w:rPr>
          <w:sz w:val="20"/>
          <w:szCs w:val="20"/>
          <w:color w:val="auto"/>
        </w:rPr>
      </w:pPr>
      <w:r>
        <w:rPr>
          <w:rFonts w:ascii="Arial" w:cs="Arial" w:eastAsia="Arial" w:hAnsi="Arial"/>
          <w:sz w:val="14"/>
          <w:szCs w:val="14"/>
          <w:color w:val="auto"/>
        </w:rPr>
        <w:t>21.0 %</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1.9</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(57.6)</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(2.7)</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(2.3)</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(1.1)</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14605</wp:posOffset>
            </wp:positionV>
            <wp:extent cx="178562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14605</wp:posOffset>
            </wp:positionV>
            <wp:extent cx="178562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5620" cy="6985"/>
                    </a:xfrm>
                    <a:prstGeom prst="rect">
                      <a:avLst/>
                    </a:prstGeom>
                    <a:noFill/>
                  </pic:spPr>
                </pic:pic>
              </a:graphicData>
            </a:graphic>
          </wp:anchor>
        </w:drawing>
        <w:drawing>
          <wp:anchor simplePos="0" relativeHeight="251657728" behindDoc="1" locked="0" layoutInCell="0" allowOverlap="1">
            <wp:simplePos x="0" y="0"/>
            <wp:positionH relativeFrom="column">
              <wp:posOffset>-1450340</wp:posOffset>
            </wp:positionH>
            <wp:positionV relativeFrom="paragraph">
              <wp:posOffset>34925</wp:posOffset>
            </wp:positionV>
            <wp:extent cx="178562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21.0 %</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4.4</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(17.1)</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(4.3)</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1.2</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4"/>
          <w:szCs w:val="14"/>
          <w:color w:val="auto"/>
        </w:rPr>
        <w:t>(4.8)</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14605</wp:posOffset>
            </wp:positionV>
            <wp:extent cx="178562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14605</wp:posOffset>
            </wp:positionV>
            <wp:extent cx="17856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5620" cy="6985"/>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34925</wp:posOffset>
            </wp:positionV>
            <wp:extent cx="178562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8562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40" w:space="720"/>
            <w:col w:w="2180" w:space="720"/>
            <w:col w:w="520"/>
          </w:cols>
          <w:pgMar w:left="300" w:top="210" w:right="31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ind w:left="520"/>
              <w:spacing w:after="0"/>
              <w:rPr>
                <w:sz w:val="20"/>
                <w:szCs w:val="20"/>
                <w:color w:val="auto"/>
              </w:rPr>
            </w:pPr>
            <w:r>
              <w:rPr>
                <w:rFonts w:ascii="Arial" w:cs="Arial" w:eastAsia="Arial" w:hAnsi="Arial"/>
                <w:sz w:val="14"/>
                <w:szCs w:val="14"/>
                <w:color w:val="auto"/>
              </w:rPr>
              <w:t>The</w:t>
            </w:r>
          </w:p>
        </w:tc>
        <w:tc>
          <w:tcPr>
            <w:tcW w:w="700" w:type="dxa"/>
            <w:vAlign w:val="bottom"/>
          </w:tcPr>
          <w:p>
            <w:pPr>
              <w:ind w:left="40"/>
              <w:spacing w:after="0"/>
              <w:rPr>
                <w:sz w:val="20"/>
                <w:szCs w:val="20"/>
                <w:color w:val="auto"/>
              </w:rPr>
            </w:pPr>
            <w:r>
              <w:rPr>
                <w:rFonts w:ascii="Arial" w:cs="Arial" w:eastAsia="Arial" w:hAnsi="Arial"/>
                <w:sz w:val="14"/>
                <w:szCs w:val="14"/>
                <w:color w:val="auto"/>
              </w:rPr>
              <w:t>amount</w:t>
            </w:r>
          </w:p>
        </w:tc>
        <w:tc>
          <w:tcPr>
            <w:tcW w:w="380" w:type="dxa"/>
            <w:vAlign w:val="bottom"/>
          </w:tcPr>
          <w:p>
            <w:pPr>
              <w:ind w:left="120"/>
              <w:spacing w:after="0"/>
              <w:rPr>
                <w:sz w:val="20"/>
                <w:szCs w:val="20"/>
                <w:color w:val="auto"/>
              </w:rPr>
            </w:pPr>
            <w:r>
              <w:rPr>
                <w:rFonts w:ascii="Arial" w:cs="Arial" w:eastAsia="Arial" w:hAnsi="Arial"/>
                <w:sz w:val="14"/>
                <w:szCs w:val="14"/>
                <w:color w:val="auto"/>
              </w:rPr>
              <w:t>of</w:t>
            </w:r>
          </w:p>
        </w:tc>
        <w:tc>
          <w:tcPr>
            <w:tcW w:w="720" w:type="dxa"/>
            <w:vAlign w:val="bottom"/>
          </w:tcPr>
          <w:p>
            <w:pPr>
              <w:ind w:left="140"/>
              <w:spacing w:after="0"/>
              <w:rPr>
                <w:sz w:val="20"/>
                <w:szCs w:val="20"/>
                <w:color w:val="auto"/>
              </w:rPr>
            </w:pPr>
            <w:r>
              <w:rPr>
                <w:rFonts w:ascii="Arial" w:cs="Arial" w:eastAsia="Arial" w:hAnsi="Arial"/>
                <w:sz w:val="14"/>
                <w:szCs w:val="14"/>
                <w:color w:val="auto"/>
              </w:rPr>
              <w:t>cash</w:t>
            </w:r>
          </w:p>
        </w:tc>
        <w:tc>
          <w:tcPr>
            <w:tcW w:w="640" w:type="dxa"/>
            <w:vAlign w:val="bottom"/>
          </w:tcPr>
          <w:p>
            <w:pPr>
              <w:ind w:left="20"/>
              <w:spacing w:after="0"/>
              <w:rPr>
                <w:sz w:val="20"/>
                <w:szCs w:val="20"/>
                <w:color w:val="auto"/>
              </w:rPr>
            </w:pPr>
            <w:r>
              <w:rPr>
                <w:rFonts w:ascii="Arial" w:cs="Arial" w:eastAsia="Arial" w:hAnsi="Arial"/>
                <w:sz w:val="14"/>
                <w:szCs w:val="14"/>
                <w:color w:val="auto"/>
              </w:rPr>
              <w:t>income</w:t>
            </w:r>
          </w:p>
        </w:tc>
        <w:tc>
          <w:tcPr>
            <w:tcW w:w="640" w:type="dxa"/>
            <w:vAlign w:val="bottom"/>
          </w:tcPr>
          <w:p>
            <w:pPr>
              <w:ind w:left="140"/>
              <w:spacing w:after="0"/>
              <w:rPr>
                <w:sz w:val="20"/>
                <w:szCs w:val="20"/>
                <w:color w:val="auto"/>
              </w:rPr>
            </w:pPr>
            <w:r>
              <w:rPr>
                <w:rFonts w:ascii="Arial" w:cs="Arial" w:eastAsia="Arial" w:hAnsi="Arial"/>
                <w:sz w:val="14"/>
                <w:szCs w:val="14"/>
                <w:color w:val="auto"/>
              </w:rPr>
              <w:t>taxes</w:t>
            </w:r>
          </w:p>
        </w:tc>
        <w:tc>
          <w:tcPr>
            <w:tcW w:w="600" w:type="dxa"/>
            <w:vAlign w:val="bottom"/>
          </w:tcPr>
          <w:p>
            <w:pPr>
              <w:ind w:left="140"/>
              <w:spacing w:after="0"/>
              <w:rPr>
                <w:sz w:val="20"/>
                <w:szCs w:val="20"/>
                <w:color w:val="auto"/>
              </w:rPr>
            </w:pPr>
            <w:r>
              <w:rPr>
                <w:rFonts w:ascii="Arial" w:cs="Arial" w:eastAsia="Arial" w:hAnsi="Arial"/>
                <w:sz w:val="14"/>
                <w:szCs w:val="14"/>
                <w:color w:val="auto"/>
              </w:rPr>
              <w:t>paid,</w:t>
            </w:r>
          </w:p>
        </w:tc>
        <w:tc>
          <w:tcPr>
            <w:tcW w:w="500" w:type="dxa"/>
            <w:vAlign w:val="bottom"/>
          </w:tcPr>
          <w:p>
            <w:pPr>
              <w:ind w:left="160"/>
              <w:spacing w:after="0"/>
              <w:rPr>
                <w:sz w:val="20"/>
                <w:szCs w:val="20"/>
                <w:color w:val="auto"/>
              </w:rPr>
            </w:pPr>
            <w:r>
              <w:rPr>
                <w:rFonts w:ascii="Arial" w:cs="Arial" w:eastAsia="Arial" w:hAnsi="Arial"/>
                <w:sz w:val="14"/>
                <w:szCs w:val="14"/>
                <w:color w:val="auto"/>
              </w:rPr>
              <w:t>net</w:t>
            </w:r>
          </w:p>
        </w:tc>
        <w:tc>
          <w:tcPr>
            <w:tcW w:w="420" w:type="dxa"/>
            <w:vAlign w:val="bottom"/>
          </w:tcPr>
          <w:p>
            <w:pPr>
              <w:ind w:left="140"/>
              <w:spacing w:after="0"/>
              <w:rPr>
                <w:sz w:val="20"/>
                <w:szCs w:val="20"/>
                <w:color w:val="auto"/>
              </w:rPr>
            </w:pPr>
            <w:r>
              <w:rPr>
                <w:rFonts w:ascii="Arial" w:cs="Arial" w:eastAsia="Arial" w:hAnsi="Arial"/>
                <w:sz w:val="14"/>
                <w:szCs w:val="14"/>
                <w:color w:val="auto"/>
              </w:rPr>
              <w:t>of</w:t>
            </w:r>
          </w:p>
        </w:tc>
        <w:tc>
          <w:tcPr>
            <w:tcW w:w="760" w:type="dxa"/>
            <w:vAlign w:val="bottom"/>
          </w:tcPr>
          <w:p>
            <w:pPr>
              <w:ind w:left="140"/>
              <w:spacing w:after="0"/>
              <w:rPr>
                <w:sz w:val="20"/>
                <w:szCs w:val="20"/>
                <w:color w:val="auto"/>
              </w:rPr>
            </w:pPr>
            <w:r>
              <w:rPr>
                <w:rFonts w:ascii="Arial" w:cs="Arial" w:eastAsia="Arial" w:hAnsi="Arial"/>
                <w:sz w:val="14"/>
                <w:szCs w:val="14"/>
                <w:color w:val="auto"/>
              </w:rPr>
              <w:t>refunds</w:t>
            </w:r>
          </w:p>
        </w:tc>
        <w:tc>
          <w:tcPr>
            <w:tcW w:w="880" w:type="dxa"/>
            <w:vAlign w:val="bottom"/>
          </w:tcPr>
          <w:p>
            <w:pPr>
              <w:ind w:left="160"/>
              <w:spacing w:after="0"/>
              <w:rPr>
                <w:sz w:val="20"/>
                <w:szCs w:val="20"/>
                <w:color w:val="auto"/>
              </w:rPr>
            </w:pPr>
            <w:r>
              <w:rPr>
                <w:rFonts w:ascii="Arial" w:cs="Arial" w:eastAsia="Arial" w:hAnsi="Arial"/>
                <w:sz w:val="14"/>
                <w:szCs w:val="14"/>
                <w:color w:val="auto"/>
              </w:rPr>
              <w:t>received,</w:t>
            </w:r>
          </w:p>
        </w:tc>
        <w:tc>
          <w:tcPr>
            <w:tcW w:w="900" w:type="dxa"/>
            <w:vAlign w:val="bottom"/>
          </w:tcPr>
          <w:p>
            <w:pPr>
              <w:ind w:left="160"/>
              <w:spacing w:after="0"/>
              <w:rPr>
                <w:sz w:val="20"/>
                <w:szCs w:val="20"/>
                <w:color w:val="auto"/>
              </w:rPr>
            </w:pPr>
            <w:r>
              <w:rPr>
                <w:rFonts w:ascii="Arial" w:cs="Arial" w:eastAsia="Arial" w:hAnsi="Arial"/>
                <w:sz w:val="14"/>
                <w:szCs w:val="14"/>
                <w:color w:val="auto"/>
              </w:rPr>
              <w:t>consisted</w:t>
            </w:r>
          </w:p>
        </w:tc>
        <w:tc>
          <w:tcPr>
            <w:tcW w:w="380" w:type="dxa"/>
            <w:vAlign w:val="bottom"/>
          </w:tcPr>
          <w:p>
            <w:pPr>
              <w:ind w:left="160"/>
              <w:spacing w:after="0"/>
              <w:rPr>
                <w:sz w:val="20"/>
                <w:szCs w:val="20"/>
                <w:color w:val="auto"/>
              </w:rPr>
            </w:pPr>
            <w:r>
              <w:rPr>
                <w:rFonts w:ascii="Arial" w:cs="Arial" w:eastAsia="Arial" w:hAnsi="Arial"/>
                <w:sz w:val="14"/>
                <w:szCs w:val="14"/>
                <w:color w:val="auto"/>
              </w:rPr>
              <w:t>of</w:t>
            </w:r>
          </w:p>
        </w:tc>
        <w:tc>
          <w:tcPr>
            <w:tcW w:w="400" w:type="dxa"/>
            <w:vAlign w:val="bottom"/>
          </w:tcPr>
          <w:p>
            <w:pPr>
              <w:jc w:val="right"/>
              <w:spacing w:after="0"/>
              <w:rPr>
                <w:sz w:val="20"/>
                <w:szCs w:val="20"/>
                <w:color w:val="auto"/>
              </w:rPr>
            </w:pPr>
            <w:r>
              <w:rPr>
                <w:rFonts w:ascii="Arial" w:cs="Arial" w:eastAsia="Arial" w:hAnsi="Arial"/>
                <w:sz w:val="14"/>
                <w:szCs w:val="14"/>
                <w:color w:val="auto"/>
              </w:rPr>
              <w:t>the</w:t>
            </w:r>
          </w:p>
        </w:tc>
        <w:tc>
          <w:tcPr>
            <w:tcW w:w="980" w:type="dxa"/>
            <w:vAlign w:val="bottom"/>
          </w:tcPr>
          <w:p>
            <w:pPr>
              <w:ind w:left="280"/>
              <w:spacing w:after="0"/>
              <w:rPr>
                <w:sz w:val="20"/>
                <w:szCs w:val="20"/>
                <w:color w:val="auto"/>
              </w:rPr>
            </w:pPr>
            <w:r>
              <w:rPr>
                <w:rFonts w:ascii="Arial" w:cs="Arial" w:eastAsia="Arial" w:hAnsi="Arial"/>
                <w:sz w:val="14"/>
                <w:szCs w:val="14"/>
                <w:color w:val="auto"/>
              </w:rPr>
              <w:t>following</w:t>
            </w:r>
          </w:p>
        </w:tc>
        <w:tc>
          <w:tcPr>
            <w:tcW w:w="460" w:type="dxa"/>
            <w:vAlign w:val="bottom"/>
          </w:tcPr>
          <w:p>
            <w:pPr>
              <w:ind w:left="160"/>
              <w:spacing w:after="0"/>
              <w:rPr>
                <w:sz w:val="20"/>
                <w:szCs w:val="20"/>
                <w:color w:val="auto"/>
              </w:rPr>
            </w:pPr>
            <w:r>
              <w:rPr>
                <w:rFonts w:ascii="Arial" w:cs="Arial" w:eastAsia="Arial" w:hAnsi="Arial"/>
                <w:sz w:val="14"/>
                <w:szCs w:val="14"/>
                <w:color w:val="auto"/>
              </w:rPr>
              <w:t>(in</w:t>
            </w:r>
          </w:p>
        </w:tc>
        <w:tc>
          <w:tcPr>
            <w:tcW w:w="900" w:type="dxa"/>
            <w:vAlign w:val="bottom"/>
          </w:tcPr>
          <w:p>
            <w:pPr>
              <w:jc w:val="right"/>
              <w:spacing w:after="0"/>
              <w:rPr>
                <w:sz w:val="20"/>
                <w:szCs w:val="20"/>
                <w:color w:val="auto"/>
              </w:rPr>
            </w:pPr>
            <w:r>
              <w:rPr>
                <w:rFonts w:ascii="Arial" w:cs="Arial" w:eastAsia="Arial" w:hAnsi="Arial"/>
                <w:sz w:val="14"/>
                <w:szCs w:val="14"/>
                <w:color w:val="auto"/>
              </w:rPr>
              <w:t>thousands):</w:t>
            </w:r>
          </w:p>
        </w:tc>
      </w:tr>
      <w:tr>
        <w:trPr>
          <w:trHeight w:val="178"/>
        </w:trPr>
        <w:tc>
          <w:tcPr>
            <w:tcW w:w="10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Fiscal Year Ended January 31, 2026</w:t>
            </w:r>
          </w:p>
        </w:tc>
      </w:tr>
      <w:tr>
        <w:trPr>
          <w:trHeight w:val="193"/>
        </w:trPr>
        <w:tc>
          <w:tcPr>
            <w:tcW w:w="1020" w:type="dxa"/>
            <w:vAlign w:val="bottom"/>
          </w:tcPr>
          <w:p>
            <w:pPr>
              <w:ind w:left="20"/>
              <w:spacing w:after="0"/>
              <w:rPr>
                <w:sz w:val="20"/>
                <w:szCs w:val="20"/>
                <w:color w:val="auto"/>
              </w:rPr>
            </w:pPr>
            <w:r>
              <w:rPr>
                <w:rFonts w:ascii="Arial" w:cs="Arial" w:eastAsia="Arial" w:hAnsi="Arial"/>
                <w:sz w:val="14"/>
                <w:szCs w:val="14"/>
                <w:color w:val="auto"/>
              </w:rPr>
              <w:t>Federal</w:t>
            </w: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12"/>
        </w:trPr>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local:</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1720" w:type="dxa"/>
            <w:vAlign w:val="bottom"/>
            <w:gridSpan w:val="2"/>
          </w:tcPr>
          <w:p>
            <w:pPr>
              <w:ind w:left="140"/>
              <w:spacing w:after="0"/>
              <w:rPr>
                <w:sz w:val="20"/>
                <w:szCs w:val="20"/>
                <w:color w:val="auto"/>
              </w:rPr>
            </w:pPr>
            <w:r>
              <w:rPr>
                <w:rFonts w:ascii="Arial" w:cs="Arial" w:eastAsia="Arial" w:hAnsi="Arial"/>
                <w:sz w:val="14"/>
                <w:szCs w:val="14"/>
                <w:color w:val="auto"/>
              </w:rPr>
              <w:t>Massachusetts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212"/>
        </w:trPr>
        <w:tc>
          <w:tcPr>
            <w:tcW w:w="1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New Jersey</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12"/>
        </w:trPr>
        <w:tc>
          <w:tcPr>
            <w:tcW w:w="1720" w:type="dxa"/>
            <w:vAlign w:val="bottom"/>
            <w:gridSpan w:val="2"/>
          </w:tcPr>
          <w:p>
            <w:pPr>
              <w:ind w:left="140"/>
              <w:spacing w:after="0"/>
              <w:rPr>
                <w:sz w:val="20"/>
                <w:szCs w:val="20"/>
                <w:color w:val="auto"/>
              </w:rPr>
            </w:pPr>
            <w:r>
              <w:rPr>
                <w:rFonts w:ascii="Arial" w:cs="Arial" w:eastAsia="Arial" w:hAnsi="Arial"/>
                <w:sz w:val="14"/>
                <w:szCs w:val="14"/>
                <w:color w:val="auto"/>
              </w:rPr>
              <w:t>New York State</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12"/>
        </w:trPr>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All other state and local</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r>
      <w:tr>
        <w:trPr>
          <w:trHeight w:val="212"/>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7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Income taxes paid, net of amounts refunded</w:t>
            </w:r>
          </w:p>
        </w:tc>
        <w:tc>
          <w:tcPr>
            <w:tcW w:w="6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net consisted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2026</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r>
      <w:tr>
        <w:trPr>
          <w:trHeight w:val="161"/>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Deferred tax assets</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8060" w:type="dxa"/>
            <w:vAlign w:val="bottom"/>
          </w:tcPr>
          <w:p>
            <w:pPr>
              <w:ind w:left="60"/>
              <w:spacing w:after="0"/>
              <w:rPr>
                <w:sz w:val="20"/>
                <w:szCs w:val="20"/>
                <w:color w:val="auto"/>
              </w:rPr>
            </w:pPr>
            <w:r>
              <w:rPr>
                <w:rFonts w:ascii="Arial" w:cs="Arial" w:eastAsia="Arial" w:hAnsi="Arial"/>
                <w:sz w:val="14"/>
                <w:szCs w:val="14"/>
                <w:color w:val="auto"/>
              </w:rPr>
              <w:t>Accruals</w:t>
            </w:r>
          </w:p>
        </w:tc>
        <w:tc>
          <w:tcPr>
            <w:tcW w:w="960" w:type="dxa"/>
            <w:vAlign w:val="bottom"/>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80"/>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Fixed 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80"/>
        </w:trPr>
        <w:tc>
          <w:tcPr>
            <w:tcW w:w="8060" w:type="dxa"/>
            <w:vAlign w:val="bottom"/>
          </w:tcPr>
          <w:p>
            <w:pPr>
              <w:ind w:left="60"/>
              <w:spacing w:after="0"/>
              <w:rPr>
                <w:sz w:val="20"/>
                <w:szCs w:val="20"/>
                <w:color w:val="auto"/>
              </w:rPr>
            </w:pPr>
            <w:r>
              <w:rPr>
                <w:rFonts w:ascii="Arial" w:cs="Arial" w:eastAsia="Arial" w:hAnsi="Arial"/>
                <w:sz w:val="14"/>
                <w:szCs w:val="14"/>
                <w:color w:val="auto"/>
              </w:rPr>
              <w:t>Net operating loss carryforwards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51,626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16,988</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tax credits, net of reserves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10,865</w:t>
            </w:r>
          </w:p>
        </w:tc>
      </w:tr>
      <w:tr>
        <w:trPr>
          <w:trHeight w:val="180"/>
        </w:trPr>
        <w:tc>
          <w:tcPr>
            <w:tcW w:w="8060" w:type="dxa"/>
            <w:vAlign w:val="bottom"/>
          </w:tcPr>
          <w:p>
            <w:pPr>
              <w:ind w:left="6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25,363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15,315</w:t>
            </w:r>
          </w:p>
        </w:tc>
      </w:tr>
      <w:tr>
        <w:trPr>
          <w:trHeight w:val="180"/>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Lease liability</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Research and experimental expenditures capitalization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15,260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16,063</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6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171"/>
        </w:trPr>
        <w:tc>
          <w:tcPr>
            <w:tcW w:w="80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Gross deferred tax assets</w:t>
            </w:r>
          </w:p>
        </w:tc>
        <w:tc>
          <w:tcPr>
            <w:tcW w:w="96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122,652</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64,050</w:t>
            </w:r>
          </w:p>
        </w:tc>
      </w:tr>
      <w:tr>
        <w:trPr>
          <w:trHeight w:val="171"/>
        </w:trPr>
        <w:tc>
          <w:tcPr>
            <w:tcW w:w="8060" w:type="dxa"/>
            <w:vAlign w:val="bottom"/>
          </w:tcPr>
          <w:p>
            <w:pPr>
              <w:ind w:left="60"/>
              <w:spacing w:after="0"/>
              <w:rPr>
                <w:sz w:val="20"/>
                <w:szCs w:val="20"/>
                <w:color w:val="auto"/>
              </w:rPr>
            </w:pPr>
            <w:r>
              <w:rPr>
                <w:rFonts w:ascii="Arial" w:cs="Arial" w:eastAsia="Arial" w:hAnsi="Arial"/>
                <w:sz w:val="14"/>
                <w:szCs w:val="14"/>
                <w:color w:val="auto"/>
              </w:rPr>
              <w:t>Valuation allowance</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Deferred tax assets, net of valuation allowance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122,652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64,050</w:t>
            </w:r>
          </w:p>
        </w:tc>
      </w:tr>
      <w:tr>
        <w:trPr>
          <w:trHeight w:val="202"/>
        </w:trPr>
        <w:tc>
          <w:tcPr>
            <w:tcW w:w="8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9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ROU asset</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(2,934)</w:t>
            </w:r>
          </w:p>
        </w:tc>
      </w:tr>
      <w:tr>
        <w:trPr>
          <w:trHeight w:val="192"/>
        </w:trPr>
        <w:tc>
          <w:tcPr>
            <w:tcW w:w="8060" w:type="dxa"/>
            <w:vAlign w:val="bottom"/>
          </w:tcPr>
          <w:p>
            <w:pPr>
              <w:ind w:left="2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8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Total deferred tax liabilities</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119,749</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60,194</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year ended January 31, 2025, the Company concluded that its U.S. federal and state deferred tax assets ("DTAs") were more likely than not realizable based on an evaluation of all available evidence. This resulted in a full valuation allowance ("VA") release of $80.2 million. Key factors in this determination included the Company’s shift into a three-year cumulative income position, sustained revenue growth, and projected future profitability. As of January 31, 2026, the Company continues to believe that these DTAs are more likely than not to be realized, and no valuation allowance is required. While these estimates involve significant judgment, the Company believes its projections are reasonable.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January 31, 2026, the Company had federal and state net operating loss ("NOL") carryforwards of $181.7 million and $202.3 million, respectively, available to offset future taxable income. Federal NOLs generated prior to the Tax Cuts and Jobs Act ("TCJA") have been fully utilized; remaining federal NOLs were generated post-TCJA and may be carried forward indefinitely, subject to an 80% limitation of taxable income in the year of utilization. State NOL carryforwards will begin to expire in 2029. Additionally, the Company had federal research and development ("R&amp;D") credits of $27.2 million, which begin to expire in 2039, and California R&amp;D credits of $16.0 million, which have no expiration.</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ability to utilize the NOLs and tax credit carryforwards is subject to limitations in the event of an ownership change as defined in Section 382 of the Internal Revenue Code of 1986, as amended (the “Code”), and similar state law. In general, an ownership change occurs if the aggregate stock ownership of certain stockholders increases by more than 50 percentage points over such stockholders’ lowest percentage ownership during the testing period. In the event that the Company has had a change in ownership, utilization of the carryforwards could be restricted. The Company assessed whether it had an ownership change, as defined by Section 382 of the Code, from its formation through January 31, 2026. Based upon this assessment, the Company experienced three ownership changes in the prior years. However, the Company does not expect any previous ownership changes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limitation that will reduce the total amount of NOLs and tax credit carryforwards that can be utilized. Additional ownership changes in the future could result in additional limitations on the Company’s NOL and tax credit carryforwards.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4, 2025, the One Big Beautiful Bill Act, Public Law No. 119-21 and formally titled “An Act to Provide for Reconciliation Pursuant to Title II of H. Con. Res. 14” (“OBBBA”) was enacted in the United States. The OBBBA includes a broad range of tax provisions, such as the permanent extension of certain provisions of the TCJA,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provisions of the OBBBA and determined that the most significant impact relates to capitalization of research and experimental expenditures under IRC Section 174. The effects of this provision have been reflected in the Company’s income tax provision.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unrecognized tax benefits as outlined in the tabular reconciliation below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Fiscal 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2026</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2024</w:t>
            </w:r>
          </w:p>
        </w:tc>
      </w:tr>
      <w:tr>
        <w:trPr>
          <w:trHeight w:val="17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as of the beginning of the year</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5,435</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Increase in tax positions for prior years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tax positions for prior years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Increase in tax positions for current year</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5,964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 tax positions for current year</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Lapse from statute of limitations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Unrecognized tax benefits as of the end of the year</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14,431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6,661</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follows the provisions of ASC 740-10, Accounting for Uncertainty in Income Taxes. ASC 740-10 prescribes a comprehensive model for the recognition, measurement, presentation and disclosure in the financial statements of uncertain tax positions that have been taken or expected to be taken on a tax return. The Company's liability for unrecognized tax benefits was approximately $14.4 million and $8.1 million as of January 31, 2026 and 2025, respectively.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January 31, 2026, the Company had no accrued interest and penalties related to unrecognized tax benefits. If realized, $14.4 million of unrecognized tax benefits would impact the effective tax rate. The Company does not expect any significant increases or decreases to its unrecognized benefits within the next 12 months.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files income tax returns in the United States, various state and local jurisdictions, and Canada. As of January 31, 2026, the Company’s U.S. federal and state tax returns for fiscal years through 2021 and 2020, respectively, are no longer subject to examination. However, tax authorities may still adjust net operating loss or tax credit carryforwards from closed tax years to the extent they are utilized in an open tax year. In Canada, the Company's initial tax return for the year ended January 31, 2025 remains subject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15. Earnings per Share Attributable to Common Stockholders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sets forth the computation of basic and diluted earnings per share attributable to common stockholders for the periods presented (in thousands, except per share and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rPr>
              <w:t>Fiscal Year Ended January 31</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4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share</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Numerator: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(42,066)</w:t>
            </w:r>
          </w:p>
        </w:tc>
        <w:tc>
          <w:tcPr>
            <w:tcW w:w="46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194,447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76,966</w:t>
            </w: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Denominator:</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basic</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56,647,662</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38,990,556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37,297,221</w:t>
            </w: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Earnings per share attributable to common stockholders, basic</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4.99</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Numerator:</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 basic</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(42,066)</w:t>
            </w:r>
          </w:p>
        </w:tc>
        <w:tc>
          <w:tcPr>
            <w:tcW w:w="46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194,447</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76,966</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 for the convertible note, net of tax effect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Fair value adjustment for liability-classified Series G Warrant, net of tax effect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adjustment for liability-classified common stock warrant, net of tax effect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stockholders, dilutive</w:t>
            </w: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(43,203)</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181,752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77,919</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Denominator:</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Weighted-average number of common stock outstanding used in computing earnings per share, basic</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56,647,662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38,990,556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37,297,221</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the convertible note</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492,096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6,888,298</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Conversion of redeemable convertible preferred stock, all series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69,914,359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69,914,359</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stock options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27,962,907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28,567,993</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Dilutive effect of equity-classified common stock warrants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1,300,400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1,210,425</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Dilutive effect of liability-classified Series G Warrant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Dilutive effect of liability-classified common stock warrant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78,552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64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Weighted-average number of common stock outstanding used in computing earnings per share,</w:t>
            </w:r>
          </w:p>
        </w:tc>
        <w:tc>
          <w:tcPr>
            <w:tcW w:w="3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56,890,456</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138,660,318</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143,878,296</w:t>
            </w:r>
          </w:p>
        </w:tc>
        <w:tc>
          <w:tcPr>
            <w:tcW w:w="0" w:type="dxa"/>
            <w:vAlign w:val="bottom"/>
          </w:tcPr>
          <w:p>
            <w:pPr>
              <w:spacing w:after="0"/>
              <w:rPr>
                <w:sz w:val="1"/>
                <w:szCs w:val="1"/>
                <w:color w:val="auto"/>
              </w:rPr>
            </w:pPr>
          </w:p>
        </w:tc>
      </w:tr>
      <w:tr>
        <w:trPr>
          <w:trHeight w:val="191"/>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dilutive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 attributable to common stockholders, diluted</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common stock equivalents were excluded from the computation of diluted earnings per share attributable to common stockholders because including them would have been antidilutive (outstanding):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22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1"/>
                <w:szCs w:val="11"/>
                <w:b w:val="1"/>
                <w:bCs w:val="1"/>
                <w:color w:val="auto"/>
              </w:rPr>
              <w:t>Fiscal Year Ended January 31</w:t>
            </w:r>
          </w:p>
        </w:tc>
      </w:tr>
      <w:tr>
        <w:trPr>
          <w:trHeight w:val="150"/>
        </w:trPr>
        <w:tc>
          <w:tcPr>
            <w:tcW w:w="806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Liability-classified common stock warrant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Series G Warrant</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251,750</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Dual-trigger RSUs</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15,676,155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31,308,443</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color w:val="auto"/>
              </w:rPr>
              <w:t>SAFEs</w:t>
            </w:r>
          </w:p>
        </w:tc>
        <w:tc>
          <w:tcPr>
            <w:tcW w:w="1660" w:type="dxa"/>
            <w:vAlign w:val="bottom"/>
            <w:gridSpan w:val="2"/>
          </w:tcPr>
          <w:p>
            <w:pPr>
              <w:ind w:left="1080"/>
              <w:spacing w:after="0"/>
              <w:rPr>
                <w:sz w:val="20"/>
                <w:szCs w:val="20"/>
                <w:color w:val="auto"/>
              </w:rPr>
            </w:pPr>
            <w:r>
              <w:rPr>
                <w:rFonts w:ascii="Arial" w:cs="Arial" w:eastAsia="Arial" w:hAnsi="Arial"/>
                <w:sz w:val="14"/>
                <w:szCs w:val="14"/>
                <w:color w:val="auto"/>
              </w:rPr>
              <w:t>Various</w:t>
            </w:r>
          </w:p>
        </w:tc>
        <w:tc>
          <w:tcPr>
            <w:tcW w:w="1560" w:type="dxa"/>
            <w:vAlign w:val="bottom"/>
          </w:tcPr>
          <w:p>
            <w:pPr>
              <w:jc w:val="right"/>
              <w:spacing w:after="0"/>
              <w:rPr>
                <w:sz w:val="20"/>
                <w:szCs w:val="20"/>
                <w:color w:val="auto"/>
              </w:rPr>
            </w:pPr>
            <w:r>
              <w:rPr>
                <w:rFonts w:ascii="Arial" w:cs="Arial" w:eastAsia="Arial" w:hAnsi="Arial"/>
                <w:sz w:val="14"/>
                <w:szCs w:val="14"/>
                <w:color w:val="auto"/>
              </w:rPr>
              <w:t>Various</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23,755,365</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Equity-classified common stock warrants</w:t>
            </w:r>
          </w:p>
        </w:tc>
        <w:tc>
          <w:tcPr>
            <w:tcW w:w="1560" w:type="dxa"/>
            <w:vAlign w:val="bottom"/>
          </w:tcPr>
          <w:p>
            <w:pPr>
              <w:jc w:val="right"/>
              <w:spacing w:after="0"/>
              <w:rPr>
                <w:sz w:val="20"/>
                <w:szCs w:val="20"/>
                <w:color w:val="auto"/>
              </w:rPr>
            </w:pPr>
            <w:r>
              <w:rPr>
                <w:rFonts w:ascii="Arial" w:cs="Arial" w:eastAsia="Arial" w:hAnsi="Arial"/>
                <w:sz w:val="14"/>
                <w:szCs w:val="14"/>
                <w:color w:val="auto"/>
              </w:rPr>
              <w:t>1,641,713</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the completion of the IPO, the Series G Warrant was automatically converted to being exercisable for common stock. Accordingly, it is included as a liability-classified common stock warrant for the fiscal year ended January 31, 2026.</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16. Financial Instruments with Off-Balance Sheet Credit Risk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17.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Related party transactions may include any transaction between the Company and entities under common control or with a related party.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fiscal year ended January 31, 2026, the assets, liabilities and activities of Wealthfront Home Lending and Wealthfront Holdings were immaterial to the Company’s consolidated financial statements.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18. Subsequent Events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from the consolidated balance sheets date through April 24, 2026, the issuance date of the consolidated financial statements.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February 16, 2026, the Company entered into an equity purchase agreement with David Fortunato, the Company’s Chief Executive Officer, President and director (the “Purchase Agreement”). Pursuant to the Purchase Agreement, Mr. Fortunato sold the entirety of his limited liability company interest (the “Ownership Interest”) in Wealthfront Holdings LLC (“Holdings LLC”), which represented 95.1% of the aggregate limited liability company interests of Holdings LLC, to the Company for nominal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WEALTHFRONT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Notes to Consolidated Financial Statements</w:t>
      </w:r>
    </w:p>
    <w:p>
      <w:pPr>
        <w:spacing w:after="0" w:line="39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consideration in the amount of one dollar ($1). Following Mr. Fortunato’s sale of the Ownership Interest to the Company, the Company became the sole owner of 100.0% of the limited liability company interests of Holdings LLC.</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On February 25, 2026, 60,000 warrants were exercised on a cashless basis, resulting in the issuance of 51,481 net shares of common stock. No cash was received in connection with these exercises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On March 9, 2026, the Company’s board of directors approved a share repurchase program with authorization to purchase up to $100.0 million of its outstanding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3,037,141 shares have been repurchased at an average purchase price of $8.58.</w:t>
      </w:r>
    </w:p>
    <w:p>
      <w:pPr>
        <w:spacing w:after="0" w:line="12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There have been no other material subsequent events other than previously disclosed that occurred during such period that would require disclosure or would be required to be recognized in the consolidated financial statements as of January 31,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Evaluation of Disclosure Controls and Procedures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management, under the supervision and with the participation of our Chief Executive Officer (our principal executive officer) and Chief Financial Officer (our principal financial officer), has evaluated the effectiveness of our disclosure controls and procedures (as defined in Rules 13a-15(e) and 15d-15(e) under the Exchange Act) as of January 31, 2026. Based upon the evaluation, our Chief Executive Officer and Chief Financial Officer concluded that our disclosure controls and procedures were, in design and operation, effective at a reasonable assurance level as of January 31, 2026.</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Form 10-K does not include a report of management’s assessment regarding internal control over financial reporting or an attestation report of the Company’s independent registered public accounting firm due to a transition period established by the rules of the SEC for newly public companies.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quarter ended January 31, 2026, there have been no changes to our internal control over financial reporting that have materially affected, or are reasonably likely to materially affect, our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the Effectiveness of Controls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9B.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Trading Plans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January 31, 2026, the following directors and/or officers (as defined in Rule 16a-1(f) of the Exchange Act) adopted, modified or terminated a “Rule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10b5-1 trading arrangement,” as defined in Item 408(a) of Regulation S-K, intending to satisfy the affirmative defense conditions of Rule 10b5-1(c)</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Title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Action</w:t>
            </w:r>
          </w:p>
        </w:tc>
        <w:tc>
          <w:tcPr>
            <w:tcW w:w="2980" w:type="dxa"/>
            <w:vAlign w:val="bottom"/>
          </w:tcPr>
          <w:p>
            <w:pPr>
              <w:jc w:val="right"/>
              <w:ind w:right="309"/>
              <w:spacing w:after="0"/>
              <w:rPr>
                <w:sz w:val="20"/>
                <w:szCs w:val="20"/>
                <w:color w:val="auto"/>
              </w:rPr>
            </w:pPr>
            <w:r>
              <w:rPr>
                <w:rFonts w:ascii="Arial" w:cs="Arial" w:eastAsia="Arial" w:hAnsi="Arial"/>
                <w:sz w:val="14"/>
                <w:szCs w:val="14"/>
                <w:b w:val="1"/>
                <w:bCs w:val="1"/>
                <w:color w:val="auto"/>
              </w:rPr>
              <w:t>Total Shares of Common Stock</w:t>
            </w:r>
          </w:p>
        </w:tc>
        <w:tc>
          <w:tcPr>
            <w:tcW w:w="2220" w:type="dxa"/>
            <w:vAlign w:val="bottom"/>
            <w:vMerge w:val="restart"/>
          </w:tcPr>
          <w:p>
            <w:pPr>
              <w:jc w:val="right"/>
              <w:ind w:right="849"/>
              <w:spacing w:after="0"/>
              <w:rPr>
                <w:sz w:val="20"/>
                <w:szCs w:val="20"/>
                <w:color w:val="auto"/>
              </w:rPr>
            </w:pPr>
            <w:r>
              <w:rPr>
                <w:rFonts w:ascii="Arial" w:cs="Arial" w:eastAsia="Arial" w:hAnsi="Arial"/>
                <w:sz w:val="14"/>
                <w:szCs w:val="14"/>
                <w:b w:val="1"/>
                <w:bCs w:val="1"/>
                <w:color w:val="auto"/>
              </w:rPr>
              <w:t>Adoption Date</w:t>
            </w:r>
          </w:p>
        </w:tc>
        <w:tc>
          <w:tcPr>
            <w:tcW w:w="1940" w:type="dxa"/>
            <w:vAlign w:val="bottom"/>
            <w:vMerge w:val="restart"/>
          </w:tcPr>
          <w:p>
            <w:pPr>
              <w:jc w:val="right"/>
              <w:ind w:right="529"/>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7"/>
        </w:trPr>
        <w:tc>
          <w:tcPr>
            <w:tcW w:w="264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2980" w:type="dxa"/>
            <w:vAlign w:val="bottom"/>
          </w:tcPr>
          <w:p>
            <w:pPr>
              <w:jc w:val="right"/>
              <w:ind w:right="1009"/>
              <w:spacing w:after="0"/>
              <w:rPr>
                <w:sz w:val="20"/>
                <w:szCs w:val="20"/>
                <w:color w:val="auto"/>
              </w:rPr>
            </w:pPr>
            <w:r>
              <w:rPr>
                <w:rFonts w:ascii="Arial" w:cs="Arial" w:eastAsia="Arial" w:hAnsi="Arial"/>
                <w:sz w:val="14"/>
                <w:szCs w:val="14"/>
                <w:b w:val="1"/>
                <w:bCs w:val="1"/>
                <w:color w:val="auto"/>
              </w:rPr>
              <w:t>to be Sold</w:t>
            </w:r>
          </w:p>
        </w:tc>
        <w:tc>
          <w:tcPr>
            <w:tcW w:w="22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20"/>
                <w:szCs w:val="20"/>
                <w:color w:val="auto"/>
              </w:rPr>
            </w:pPr>
            <w:r>
              <w:rPr>
                <w:rFonts w:ascii="Arial" w:cs="Arial" w:eastAsia="Arial" w:hAnsi="Arial"/>
                <w:sz w:val="14"/>
                <w:szCs w:val="14"/>
                <w:color w:val="auto"/>
              </w:rPr>
              <w:t xml:space="preserve">Kenneth A. Goldman, </w:t>
            </w:r>
            <w:r>
              <w:rPr>
                <w:rFonts w:ascii="Arial" w:cs="Arial" w:eastAsia="Arial" w:hAnsi="Arial"/>
                <w:sz w:val="14"/>
                <w:szCs w:val="14"/>
                <w:i w:val="1"/>
                <w:iCs w:val="1"/>
                <w:color w:val="auto"/>
              </w:rPr>
              <w:t>Director</w:t>
            </w:r>
          </w:p>
        </w:tc>
        <w:tc>
          <w:tcPr>
            <w:tcW w:w="1400" w:type="dxa"/>
            <w:vAlign w:val="bottom"/>
          </w:tcPr>
          <w:p>
            <w:pPr>
              <w:jc w:val="center"/>
              <w:spacing w:after="0"/>
              <w:rPr>
                <w:sz w:val="20"/>
                <w:szCs w:val="20"/>
                <w:color w:val="auto"/>
              </w:rPr>
            </w:pPr>
            <w:r>
              <w:rPr>
                <w:rFonts w:ascii="Arial" w:cs="Arial" w:eastAsia="Arial" w:hAnsi="Arial"/>
                <w:sz w:val="14"/>
                <w:szCs w:val="14"/>
                <w:color w:val="auto"/>
              </w:rPr>
              <w:t>Adopt</w:t>
            </w:r>
          </w:p>
        </w:tc>
        <w:tc>
          <w:tcPr>
            <w:tcW w:w="2980" w:type="dxa"/>
            <w:vAlign w:val="bottom"/>
          </w:tcPr>
          <w:p>
            <w:pPr>
              <w:jc w:val="right"/>
              <w:ind w:right="289"/>
              <w:spacing w:after="0"/>
              <w:rPr>
                <w:sz w:val="20"/>
                <w:szCs w:val="20"/>
                <w:color w:val="auto"/>
              </w:rPr>
            </w:pPr>
            <w:r>
              <w:rPr>
                <w:rFonts w:ascii="Arial" w:cs="Arial" w:eastAsia="Arial" w:hAnsi="Arial"/>
                <w:sz w:val="14"/>
                <w:szCs w:val="14"/>
                <w:color w:val="auto"/>
              </w:rPr>
              <w:t>50,000</w:t>
            </w:r>
          </w:p>
        </w:tc>
        <w:tc>
          <w:tcPr>
            <w:tcW w:w="2220" w:type="dxa"/>
            <w:vAlign w:val="bottom"/>
          </w:tcPr>
          <w:p>
            <w:pPr>
              <w:jc w:val="right"/>
              <w:ind w:right="229"/>
              <w:spacing w:after="0"/>
              <w:rPr>
                <w:sz w:val="20"/>
                <w:szCs w:val="20"/>
                <w:color w:val="auto"/>
              </w:rPr>
            </w:pPr>
            <w:r>
              <w:rPr>
                <w:rFonts w:ascii="Arial" w:cs="Arial" w:eastAsia="Arial" w:hAnsi="Arial"/>
                <w:sz w:val="14"/>
                <w:szCs w:val="14"/>
                <w:color w:val="auto"/>
              </w:rPr>
              <w:t>1/14/2026</w:t>
            </w:r>
          </w:p>
        </w:tc>
        <w:tc>
          <w:tcPr>
            <w:tcW w:w="1940" w:type="dxa"/>
            <w:vAlign w:val="bottom"/>
          </w:tcPr>
          <w:p>
            <w:pPr>
              <w:jc w:val="right"/>
              <w:spacing w:after="0"/>
              <w:rPr>
                <w:sz w:val="20"/>
                <w:szCs w:val="20"/>
                <w:color w:val="auto"/>
              </w:rPr>
            </w:pPr>
            <w:r>
              <w:rPr>
                <w:rFonts w:ascii="Arial" w:cs="Arial" w:eastAsia="Arial" w:hAnsi="Arial"/>
                <w:sz w:val="14"/>
                <w:szCs w:val="14"/>
                <w:color w:val="auto"/>
              </w:rPr>
              <w:t>12/31/2026</w:t>
            </w: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color w:val="auto"/>
              </w:rPr>
              <w:t xml:space="preserve">Kal Iyer, </w:t>
            </w:r>
            <w:r>
              <w:rPr>
                <w:rFonts w:ascii="Arial" w:cs="Arial" w:eastAsia="Arial" w:hAnsi="Arial"/>
                <w:sz w:val="14"/>
                <w:szCs w:val="14"/>
                <w:i w:val="1"/>
                <w:iCs w:val="1"/>
                <w:color w:val="auto"/>
              </w:rPr>
              <w:t>Vice President of</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Adopt</w:t>
            </w:r>
          </w:p>
        </w:tc>
        <w:tc>
          <w:tcPr>
            <w:tcW w:w="2980" w:type="dxa"/>
            <w:vAlign w:val="bottom"/>
            <w:vMerge w:val="restart"/>
          </w:tcPr>
          <w:p>
            <w:pPr>
              <w:jc w:val="right"/>
              <w:ind w:right="249"/>
              <w:spacing w:after="0"/>
              <w:rPr>
                <w:sz w:val="20"/>
                <w:szCs w:val="20"/>
                <w:color w:val="auto"/>
              </w:rPr>
            </w:pPr>
            <w:r>
              <w:rPr>
                <w:rFonts w:ascii="Arial" w:cs="Arial" w:eastAsia="Arial" w:hAnsi="Arial"/>
                <w:sz w:val="14"/>
                <w:szCs w:val="14"/>
                <w:color w:val="auto"/>
              </w:rPr>
              <w:t>478,068</w:t>
            </w:r>
            <w:r>
              <w:rPr>
                <w:rFonts w:ascii="Arial" w:cs="Arial" w:eastAsia="Arial" w:hAnsi="Arial"/>
                <w:sz w:val="18"/>
                <w:szCs w:val="18"/>
                <w:color w:val="auto"/>
                <w:vertAlign w:val="superscript"/>
              </w:rPr>
              <w:t>(1)</w:t>
            </w:r>
          </w:p>
        </w:tc>
        <w:tc>
          <w:tcPr>
            <w:tcW w:w="2220" w:type="dxa"/>
            <w:vAlign w:val="bottom"/>
            <w:vMerge w:val="restart"/>
          </w:tcPr>
          <w:p>
            <w:pPr>
              <w:jc w:val="right"/>
              <w:ind w:right="229"/>
              <w:spacing w:after="0"/>
              <w:rPr>
                <w:sz w:val="20"/>
                <w:szCs w:val="20"/>
                <w:color w:val="auto"/>
              </w:rPr>
            </w:pPr>
            <w:r>
              <w:rPr>
                <w:rFonts w:ascii="Arial" w:cs="Arial" w:eastAsia="Arial" w:hAnsi="Arial"/>
                <w:sz w:val="14"/>
                <w:szCs w:val="14"/>
                <w:color w:val="auto"/>
              </w:rPr>
              <w:t>1/14/2026</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12/31/2026</w:t>
            </w:r>
          </w:p>
        </w:tc>
        <w:tc>
          <w:tcPr>
            <w:tcW w:w="0" w:type="dxa"/>
            <w:vAlign w:val="bottom"/>
          </w:tcPr>
          <w:p>
            <w:pPr>
              <w:spacing w:after="0"/>
              <w:rPr>
                <w:sz w:val="1"/>
                <w:szCs w:val="1"/>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4"/>
                <w:szCs w:val="14"/>
                <w:i w:val="1"/>
                <w:iCs w:val="1"/>
                <w:color w:val="auto"/>
              </w:rPr>
              <w:t>Engineering</w:t>
            </w:r>
          </w:p>
        </w:tc>
        <w:tc>
          <w:tcPr>
            <w:tcW w:w="14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color w:val="auto"/>
              </w:rPr>
              <w:t>Lauren Lin,</w:t>
            </w:r>
          </w:p>
        </w:tc>
        <w:tc>
          <w:tcPr>
            <w:tcW w:w="14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line="147" w:lineRule="exact"/>
              <w:rPr>
                <w:sz w:val="20"/>
                <w:szCs w:val="20"/>
                <w:color w:val="auto"/>
              </w:rPr>
            </w:pPr>
            <w:r>
              <w:rPr>
                <w:rFonts w:ascii="Arial" w:cs="Arial" w:eastAsia="Arial" w:hAnsi="Arial"/>
                <w:sz w:val="14"/>
                <w:szCs w:val="14"/>
                <w:i w:val="1"/>
                <w:iCs w:val="1"/>
                <w:color w:val="auto"/>
              </w:rPr>
              <w:t>Chief Legal Officer, Chief</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Adopt</w:t>
            </w:r>
          </w:p>
        </w:tc>
        <w:tc>
          <w:tcPr>
            <w:tcW w:w="2980" w:type="dxa"/>
            <w:vAlign w:val="bottom"/>
            <w:vMerge w:val="restart"/>
          </w:tcPr>
          <w:p>
            <w:pPr>
              <w:jc w:val="right"/>
              <w:ind w:right="1249"/>
              <w:spacing w:after="0"/>
              <w:rPr>
                <w:sz w:val="20"/>
                <w:szCs w:val="20"/>
                <w:color w:val="auto"/>
              </w:rPr>
            </w:pPr>
            <w:r>
              <w:rPr>
                <w:rFonts w:ascii="Arial" w:cs="Arial" w:eastAsia="Arial" w:hAnsi="Arial"/>
                <w:sz w:val="14"/>
                <w:szCs w:val="14"/>
                <w:color w:val="auto"/>
              </w:rPr>
              <w:t>To be determined</w:t>
            </w:r>
            <w:r>
              <w:rPr>
                <w:rFonts w:ascii="Arial" w:cs="Arial" w:eastAsia="Arial" w:hAnsi="Arial"/>
                <w:sz w:val="18"/>
                <w:szCs w:val="18"/>
                <w:color w:val="auto"/>
                <w:vertAlign w:val="superscript"/>
              </w:rPr>
              <w:t>(1)</w:t>
            </w:r>
          </w:p>
        </w:tc>
        <w:tc>
          <w:tcPr>
            <w:tcW w:w="2220" w:type="dxa"/>
            <w:vAlign w:val="bottom"/>
            <w:vMerge w:val="restart"/>
          </w:tcPr>
          <w:p>
            <w:pPr>
              <w:jc w:val="right"/>
              <w:ind w:right="229"/>
              <w:spacing w:after="0"/>
              <w:rPr>
                <w:sz w:val="20"/>
                <w:szCs w:val="20"/>
                <w:color w:val="auto"/>
              </w:rPr>
            </w:pPr>
            <w:r>
              <w:rPr>
                <w:rFonts w:ascii="Arial" w:cs="Arial" w:eastAsia="Arial" w:hAnsi="Arial"/>
                <w:sz w:val="14"/>
                <w:szCs w:val="14"/>
                <w:color w:val="auto"/>
              </w:rPr>
              <w:t>1/14/2026</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9/30/2026</w:t>
            </w:r>
          </w:p>
        </w:tc>
        <w:tc>
          <w:tcPr>
            <w:tcW w:w="0" w:type="dxa"/>
            <w:vAlign w:val="bottom"/>
          </w:tcPr>
          <w:p>
            <w:pPr>
              <w:spacing w:after="0"/>
              <w:rPr>
                <w:sz w:val="1"/>
                <w:szCs w:val="1"/>
                <w:color w:val="auto"/>
              </w:rPr>
            </w:pPr>
          </w:p>
        </w:tc>
      </w:tr>
      <w:tr>
        <w:trPr>
          <w:trHeight w:val="178"/>
        </w:trPr>
        <w:tc>
          <w:tcPr>
            <w:tcW w:w="2640" w:type="dxa"/>
            <w:vAlign w:val="bottom"/>
          </w:tcPr>
          <w:p>
            <w:pPr>
              <w:spacing w:after="0"/>
              <w:rPr>
                <w:sz w:val="20"/>
                <w:szCs w:val="20"/>
                <w:color w:val="auto"/>
              </w:rPr>
            </w:pPr>
            <w:r>
              <w:rPr>
                <w:rFonts w:ascii="Arial" w:cs="Arial" w:eastAsia="Arial" w:hAnsi="Arial"/>
                <w:sz w:val="14"/>
                <w:szCs w:val="14"/>
                <w:i w:val="1"/>
                <w:iCs w:val="1"/>
                <w:color w:val="auto"/>
              </w:rPr>
              <w:t>Compliance Officer, and Secretary</w:t>
            </w:r>
          </w:p>
        </w:tc>
        <w:tc>
          <w:tcPr>
            <w:tcW w:w="1400" w:type="dxa"/>
            <w:vAlign w:val="bottom"/>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4"/>
                <w:szCs w:val="14"/>
                <w:color w:val="auto"/>
              </w:rPr>
              <w:t xml:space="preserve">Julien Wetterwald, </w:t>
            </w:r>
            <w:r>
              <w:rPr>
                <w:rFonts w:ascii="Arial" w:cs="Arial" w:eastAsia="Arial" w:hAnsi="Arial"/>
                <w:sz w:val="14"/>
                <w:szCs w:val="14"/>
                <w:i w:val="1"/>
                <w:iCs w:val="1"/>
                <w:color w:val="auto"/>
              </w:rPr>
              <w:t>Chief</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Adopt</w:t>
            </w:r>
          </w:p>
        </w:tc>
        <w:tc>
          <w:tcPr>
            <w:tcW w:w="2980" w:type="dxa"/>
            <w:vAlign w:val="bottom"/>
            <w:vMerge w:val="restart"/>
          </w:tcPr>
          <w:p>
            <w:pPr>
              <w:jc w:val="right"/>
              <w:ind w:right="249"/>
              <w:spacing w:after="0"/>
              <w:rPr>
                <w:sz w:val="20"/>
                <w:szCs w:val="20"/>
                <w:color w:val="auto"/>
              </w:rPr>
            </w:pPr>
            <w:r>
              <w:rPr>
                <w:rFonts w:ascii="Arial" w:cs="Arial" w:eastAsia="Arial" w:hAnsi="Arial"/>
                <w:sz w:val="14"/>
                <w:szCs w:val="14"/>
                <w:color w:val="auto"/>
              </w:rPr>
              <w:t>188,075</w:t>
            </w:r>
            <w:r>
              <w:rPr>
                <w:rFonts w:ascii="Arial" w:cs="Arial" w:eastAsia="Arial" w:hAnsi="Arial"/>
                <w:sz w:val="18"/>
                <w:szCs w:val="18"/>
                <w:color w:val="auto"/>
                <w:vertAlign w:val="superscript"/>
              </w:rPr>
              <w:t>(1)</w:t>
            </w:r>
          </w:p>
        </w:tc>
        <w:tc>
          <w:tcPr>
            <w:tcW w:w="2220" w:type="dxa"/>
            <w:vAlign w:val="bottom"/>
            <w:vMerge w:val="restart"/>
          </w:tcPr>
          <w:p>
            <w:pPr>
              <w:jc w:val="right"/>
              <w:ind w:right="229"/>
              <w:spacing w:after="0"/>
              <w:rPr>
                <w:sz w:val="20"/>
                <w:szCs w:val="20"/>
                <w:color w:val="auto"/>
              </w:rPr>
            </w:pPr>
            <w:r>
              <w:rPr>
                <w:rFonts w:ascii="Arial" w:cs="Arial" w:eastAsia="Arial" w:hAnsi="Arial"/>
                <w:sz w:val="14"/>
                <w:szCs w:val="14"/>
                <w:color w:val="auto"/>
              </w:rPr>
              <w:t>1/14/2026</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9/30/2026</w:t>
            </w:r>
          </w:p>
        </w:tc>
        <w:tc>
          <w:tcPr>
            <w:tcW w:w="0" w:type="dxa"/>
            <w:vAlign w:val="bottom"/>
          </w:tcPr>
          <w:p>
            <w:pPr>
              <w:spacing w:after="0"/>
              <w:rPr>
                <w:sz w:val="1"/>
                <w:szCs w:val="1"/>
                <w:color w:val="auto"/>
              </w:rPr>
            </w:pPr>
          </w:p>
        </w:tc>
      </w:tr>
      <w:tr>
        <w:trPr>
          <w:trHeight w:val="187"/>
        </w:trPr>
        <w:tc>
          <w:tcPr>
            <w:tcW w:w="2640" w:type="dxa"/>
            <w:vAlign w:val="bottom"/>
          </w:tcPr>
          <w:p>
            <w:pPr>
              <w:spacing w:after="0"/>
              <w:rPr>
                <w:sz w:val="20"/>
                <w:szCs w:val="20"/>
                <w:color w:val="auto"/>
              </w:rPr>
            </w:pPr>
            <w:r>
              <w:rPr>
                <w:rFonts w:ascii="Arial" w:cs="Arial" w:eastAsia="Arial" w:hAnsi="Arial"/>
                <w:sz w:val="14"/>
                <w:szCs w:val="14"/>
                <w:i w:val="1"/>
                <w:iCs w:val="1"/>
                <w:color w:val="auto"/>
              </w:rPr>
              <w:t>Technology Officer</w:t>
            </w:r>
          </w:p>
        </w:tc>
        <w:tc>
          <w:tcPr>
            <w:tcW w:w="14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4"/>
                <w:szCs w:val="14"/>
                <w:color w:val="auto"/>
              </w:rPr>
              <w:t xml:space="preserve">Michelle Wilson, </w:t>
            </w:r>
            <w:r>
              <w:rPr>
                <w:rFonts w:ascii="Arial" w:cs="Arial" w:eastAsia="Arial" w:hAnsi="Arial"/>
                <w:sz w:val="14"/>
                <w:szCs w:val="14"/>
                <w:i w:val="1"/>
                <w:iCs w:val="1"/>
                <w:color w:val="auto"/>
              </w:rPr>
              <w:t>Director</w:t>
            </w:r>
          </w:p>
        </w:tc>
        <w:tc>
          <w:tcPr>
            <w:tcW w:w="1400" w:type="dxa"/>
            <w:vAlign w:val="bottom"/>
          </w:tcPr>
          <w:p>
            <w:pPr>
              <w:jc w:val="center"/>
              <w:spacing w:after="0"/>
              <w:rPr>
                <w:sz w:val="20"/>
                <w:szCs w:val="20"/>
                <w:color w:val="auto"/>
              </w:rPr>
            </w:pPr>
            <w:r>
              <w:rPr>
                <w:rFonts w:ascii="Arial" w:cs="Arial" w:eastAsia="Arial" w:hAnsi="Arial"/>
                <w:sz w:val="14"/>
                <w:szCs w:val="14"/>
                <w:color w:val="auto"/>
              </w:rPr>
              <w:t>Adopt</w:t>
            </w:r>
          </w:p>
        </w:tc>
        <w:tc>
          <w:tcPr>
            <w:tcW w:w="2980" w:type="dxa"/>
            <w:vAlign w:val="bottom"/>
          </w:tcPr>
          <w:p>
            <w:pPr>
              <w:jc w:val="right"/>
              <w:ind w:right="249"/>
              <w:spacing w:after="0"/>
              <w:rPr>
                <w:sz w:val="20"/>
                <w:szCs w:val="20"/>
                <w:color w:val="auto"/>
              </w:rPr>
            </w:pPr>
            <w:r>
              <w:rPr>
                <w:rFonts w:ascii="Arial" w:cs="Arial" w:eastAsia="Arial" w:hAnsi="Arial"/>
                <w:sz w:val="14"/>
                <w:szCs w:val="14"/>
                <w:color w:val="auto"/>
              </w:rPr>
              <w:t>2,552</w:t>
            </w:r>
          </w:p>
        </w:tc>
        <w:tc>
          <w:tcPr>
            <w:tcW w:w="2220" w:type="dxa"/>
            <w:vAlign w:val="bottom"/>
          </w:tcPr>
          <w:p>
            <w:pPr>
              <w:jc w:val="right"/>
              <w:ind w:right="229"/>
              <w:spacing w:after="0"/>
              <w:rPr>
                <w:sz w:val="20"/>
                <w:szCs w:val="20"/>
                <w:color w:val="auto"/>
              </w:rPr>
            </w:pPr>
            <w:r>
              <w:rPr>
                <w:rFonts w:ascii="Arial" w:cs="Arial" w:eastAsia="Arial" w:hAnsi="Arial"/>
                <w:sz w:val="14"/>
                <w:szCs w:val="14"/>
                <w:color w:val="auto"/>
              </w:rPr>
              <w:t>1/14/2026</w:t>
            </w:r>
          </w:p>
        </w:tc>
        <w:tc>
          <w:tcPr>
            <w:tcW w:w="1940" w:type="dxa"/>
            <w:vAlign w:val="bottom"/>
          </w:tcPr>
          <w:p>
            <w:pPr>
              <w:jc w:val="right"/>
              <w:spacing w:after="0"/>
              <w:rPr>
                <w:sz w:val="20"/>
                <w:szCs w:val="20"/>
                <w:color w:val="auto"/>
              </w:rPr>
            </w:pPr>
            <w:r>
              <w:rPr>
                <w:rFonts w:ascii="Arial" w:cs="Arial" w:eastAsia="Arial" w:hAnsi="Arial"/>
                <w:sz w:val="14"/>
                <w:szCs w:val="14"/>
                <w:color w:val="auto"/>
              </w:rPr>
              <w:t>3/31/2027</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260" w:hanging="255"/>
        <w:spacing w:after="0" w:line="252" w:lineRule="auto"/>
        <w:tabs>
          <w:tab w:leader="none" w:pos="381"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plan provides for the potential sale of shares of common stock to be received upon vesting and settlement of certain outstanding restricted stock units, net of any shares withheld by the Company to satisfy applicable tax obligations. The number of shares to be withheld, and therefore the exact number of shares to be sold pursuant to the plan, can only be determined upon the occurrence of the future vesting events.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to our Proxy Statement for the 2026 Annual Meeting of Stockholders to be filed with the SEC within 120 days of the fiscal year ended January 31, 2026.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11. EXECUTIVE COMPENSATION</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to our Proxy Statement for the 2026 Annual Meeting of Stockholders to be filed with the SEC within 120 days of the fiscal year ended January 31, 2026.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to our Proxy Statement for the 2026 Annual Meeting of Stockholders to be filed with the SEC within 120 days of the fiscal year ended January 31, 2026.</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47" w:lineRule="exact"/>
        <w:rPr>
          <w:sz w:val="20"/>
          <w:szCs w:val="20"/>
          <w:color w:val="auto"/>
        </w:rPr>
      </w:pPr>
    </w:p>
    <w:p>
      <w:pPr>
        <w:spacing w:after="0" w:line="337" w:lineRule="auto"/>
        <w:rPr>
          <w:sz w:val="20"/>
          <w:szCs w:val="20"/>
          <w:color w:val="auto"/>
        </w:rPr>
      </w:pPr>
      <w:r>
        <w:rPr>
          <w:rFonts w:ascii="Arial" w:cs="Arial" w:eastAsia="Arial" w:hAnsi="Arial"/>
          <w:sz w:val="14"/>
          <w:szCs w:val="14"/>
          <w:color w:val="auto"/>
        </w:rPr>
        <w:t>The information required by this item is incorporated by reference to our Proxy Statement for the 2026 Annual Meeting of Stockholders to be filed with the SEC within 120 days of the fiscal year ended January 31, 2026.</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to our Proxy Statement for the 2026 Annual Meeting of Stockholders to be filed with the SEC within 120 days of the fiscal year ended January 31,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auto"/>
              </w:rPr>
              <w:t>Incorporated by Reference</w:t>
            </w: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Filed or</w:t>
            </w:r>
          </w:p>
        </w:tc>
        <w:tc>
          <w:tcPr>
            <w:tcW w:w="0" w:type="dxa"/>
            <w:vAlign w:val="bottom"/>
          </w:tcPr>
          <w:p>
            <w:pPr>
              <w:spacing w:after="0"/>
              <w:rPr>
                <w:sz w:val="1"/>
                <w:szCs w:val="1"/>
                <w:color w:val="auto"/>
              </w:rPr>
            </w:pPr>
          </w:p>
        </w:tc>
      </w:tr>
      <w:tr>
        <w:trPr>
          <w:trHeight w:val="112"/>
        </w:trPr>
        <w:tc>
          <w:tcPr>
            <w:tcW w:w="1120" w:type="dxa"/>
            <w:vAlign w:val="bottom"/>
            <w:gridSpan w:val="2"/>
          </w:tcPr>
          <w:p>
            <w:pPr>
              <w:ind w:left="20"/>
              <w:spacing w:after="0" w:line="113"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9"/>
                <w:szCs w:val="9"/>
                <w:color w:val="auto"/>
              </w:rPr>
            </w:pPr>
          </w:p>
        </w:tc>
        <w:tc>
          <w:tcPr>
            <w:tcW w:w="4440" w:type="dxa"/>
            <w:vAlign w:val="bottom"/>
            <w:gridSpan w:val="25"/>
            <w:vMerge w:val="restart"/>
          </w:tcPr>
          <w:p>
            <w:pPr>
              <w:spacing w:after="0"/>
              <w:rPr>
                <w:sz w:val="20"/>
                <w:szCs w:val="20"/>
                <w:color w:val="auto"/>
              </w:rPr>
            </w:pPr>
            <w:r>
              <w:rPr>
                <w:rFonts w:ascii="Arial" w:cs="Arial" w:eastAsia="Arial" w:hAnsi="Arial"/>
                <w:sz w:val="11"/>
                <w:szCs w:val="11"/>
                <w:b w:val="1"/>
                <w:bCs w:val="1"/>
                <w:color w:val="auto"/>
              </w:rPr>
              <w:t>Description of Document</w:t>
            </w:r>
          </w:p>
        </w:tc>
        <w:tc>
          <w:tcPr>
            <w:tcW w:w="100" w:type="dxa"/>
            <w:vAlign w:val="bottom"/>
            <w:vMerge w:val="restart"/>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Form</w:t>
            </w:r>
          </w:p>
        </w:tc>
        <w:tc>
          <w:tcPr>
            <w:tcW w:w="80" w:type="dxa"/>
            <w:vAlign w:val="bottom"/>
            <w:vMerge w:val="restart"/>
          </w:tcPr>
          <w:p>
            <w:pPr>
              <w:spacing w:after="0"/>
              <w:rPr>
                <w:sz w:val="9"/>
                <w:szCs w:val="9"/>
                <w:color w:val="auto"/>
              </w:rPr>
            </w:pPr>
          </w:p>
        </w:tc>
        <w:tc>
          <w:tcPr>
            <w:tcW w:w="1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80" w:type="dxa"/>
            <w:vAlign w:val="bottom"/>
            <w:vMerge w:val="restart"/>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Exhibit</w:t>
            </w:r>
          </w:p>
        </w:tc>
        <w:tc>
          <w:tcPr>
            <w:tcW w:w="100" w:type="dxa"/>
            <w:vAlign w:val="bottom"/>
            <w:vMerge w:val="restart"/>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1"/>
                <w:szCs w:val="11"/>
                <w:b w:val="1"/>
                <w:bCs w:val="1"/>
                <w:color w:val="auto"/>
              </w:rPr>
              <w:t>Filing Date</w:t>
            </w:r>
          </w:p>
        </w:tc>
        <w:tc>
          <w:tcPr>
            <w:tcW w:w="80" w:type="dxa"/>
            <w:vAlign w:val="bottom"/>
          </w:tcPr>
          <w:p>
            <w:pPr>
              <w:spacing w:after="0"/>
              <w:rPr>
                <w:sz w:val="9"/>
                <w:szCs w:val="9"/>
                <w:color w:val="auto"/>
              </w:rPr>
            </w:pPr>
          </w:p>
        </w:tc>
        <w:tc>
          <w:tcPr>
            <w:tcW w:w="1000" w:type="dxa"/>
            <w:vAlign w:val="bottom"/>
          </w:tcPr>
          <w:p>
            <w:pPr>
              <w:ind w:left="20"/>
              <w:spacing w:after="0" w:line="113" w:lineRule="exact"/>
              <w:rPr>
                <w:sz w:val="20"/>
                <w:szCs w:val="20"/>
                <w:color w:val="auto"/>
              </w:rPr>
            </w:pPr>
            <w:r>
              <w:rPr>
                <w:rFonts w:ascii="Arial" w:cs="Arial" w:eastAsia="Arial" w:hAnsi="Arial"/>
                <w:sz w:val="11"/>
                <w:szCs w:val="11"/>
                <w:b w:val="1"/>
                <w:bCs w:val="1"/>
                <w:color w:val="auto"/>
              </w:rPr>
              <w:t>Furnished</w:t>
            </w:r>
          </w:p>
        </w:tc>
        <w:tc>
          <w:tcPr>
            <w:tcW w:w="0" w:type="dxa"/>
            <w:vAlign w:val="bottom"/>
          </w:tcPr>
          <w:p>
            <w:pPr>
              <w:spacing w:after="0"/>
              <w:rPr>
                <w:sz w:val="1"/>
                <w:szCs w:val="1"/>
                <w:color w:val="auto"/>
              </w:rPr>
            </w:pPr>
          </w:p>
        </w:tc>
      </w:tr>
      <w:tr>
        <w:trPr>
          <w:trHeight w:val="14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gridSpan w:val="25"/>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129"/>
        </w:trPr>
        <w:tc>
          <w:tcPr>
            <w:tcW w:w="1040" w:type="dxa"/>
            <w:vAlign w:val="bottom"/>
          </w:tcPr>
          <w:p>
            <w:pPr>
              <w:ind w:left="20"/>
              <w:spacing w:after="0" w:line="129"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40" w:type="dxa"/>
            <w:vAlign w:val="bottom"/>
            <w:gridSpan w:val="26"/>
          </w:tcPr>
          <w:p>
            <w:pPr>
              <w:spacing w:after="0" w:line="129" w:lineRule="exact"/>
              <w:rPr>
                <w:rFonts w:ascii="Arial" w:cs="Arial" w:eastAsia="Arial" w:hAnsi="Arial"/>
                <w:sz w:val="13"/>
                <w:szCs w:val="13"/>
                <w:color w:val="0000FF"/>
              </w:rPr>
            </w:pPr>
            <w:hyperlink r:id="rId173">
              <w:r>
                <w:rPr>
                  <w:rFonts w:ascii="Arial" w:cs="Arial" w:eastAsia="Arial" w:hAnsi="Arial"/>
                  <w:sz w:val="13"/>
                  <w:szCs w:val="13"/>
                  <w:color w:val="0000FF"/>
                </w:rPr>
                <w:t>Restated Certificate of Incorporation of Wealthfront Corporation.</w:t>
              </w:r>
            </w:hyperlink>
          </w:p>
        </w:tc>
        <w:tc>
          <w:tcPr>
            <w:tcW w:w="840" w:type="dxa"/>
            <w:vAlign w:val="bottom"/>
            <w:gridSpan w:val="2"/>
          </w:tcPr>
          <w:p>
            <w:pPr>
              <w:spacing w:after="0" w:line="129" w:lineRule="exact"/>
              <w:rPr>
                <w:sz w:val="20"/>
                <w:szCs w:val="20"/>
                <w:color w:val="auto"/>
              </w:rPr>
            </w:pPr>
            <w:r>
              <w:rPr>
                <w:rFonts w:ascii="Arial" w:cs="Arial" w:eastAsia="Arial" w:hAnsi="Arial"/>
                <w:sz w:val="13"/>
                <w:szCs w:val="13"/>
                <w:color w:val="auto"/>
              </w:rPr>
              <w:t>10-Q</w:t>
            </w:r>
          </w:p>
        </w:tc>
        <w:tc>
          <w:tcPr>
            <w:tcW w:w="1460" w:type="dxa"/>
            <w:vAlign w:val="bottom"/>
          </w:tcPr>
          <w:p>
            <w:pPr>
              <w:ind w:left="20"/>
              <w:spacing w:after="0" w:line="129" w:lineRule="exact"/>
              <w:rPr>
                <w:sz w:val="20"/>
                <w:szCs w:val="20"/>
                <w:color w:val="auto"/>
              </w:rPr>
            </w:pPr>
            <w:r>
              <w:rPr>
                <w:rFonts w:ascii="Arial" w:cs="Arial" w:eastAsia="Arial" w:hAnsi="Arial"/>
                <w:sz w:val="13"/>
                <w:szCs w:val="13"/>
                <w:color w:val="auto"/>
              </w:rPr>
              <w:t>001-42987</w:t>
            </w:r>
          </w:p>
        </w:tc>
        <w:tc>
          <w:tcPr>
            <w:tcW w:w="80" w:type="dxa"/>
            <w:vAlign w:val="bottom"/>
          </w:tcPr>
          <w:p>
            <w:pPr>
              <w:spacing w:after="0"/>
              <w:rPr>
                <w:sz w:val="11"/>
                <w:szCs w:val="11"/>
                <w:color w:val="auto"/>
              </w:rPr>
            </w:pPr>
          </w:p>
        </w:tc>
        <w:tc>
          <w:tcPr>
            <w:tcW w:w="840" w:type="dxa"/>
            <w:vAlign w:val="bottom"/>
          </w:tcPr>
          <w:p>
            <w:pPr>
              <w:ind w:left="20"/>
              <w:spacing w:after="0" w:line="129"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3"/>
                <w:szCs w:val="13"/>
                <w:color w:val="auto"/>
                <w:w w:val="97"/>
              </w:rPr>
              <w:t>January 23, 2026</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3"/>
          </w:tcPr>
          <w:p>
            <w:pPr>
              <w:spacing w:after="0"/>
              <w:rPr>
                <w:rFonts w:ascii="Arial" w:cs="Arial" w:eastAsia="Arial" w:hAnsi="Arial"/>
                <w:sz w:val="13"/>
                <w:szCs w:val="13"/>
                <w:color w:val="0000FF"/>
              </w:rPr>
            </w:pPr>
            <w:hyperlink r:id="rId174">
              <w:r>
                <w:rPr>
                  <w:rFonts w:ascii="Arial" w:cs="Arial" w:eastAsia="Arial" w:hAnsi="Arial"/>
                  <w:sz w:val="13"/>
                  <w:szCs w:val="13"/>
                  <w:color w:val="0000FF"/>
                </w:rPr>
                <w:t>Restated Bylaws of Wealthfront Corporation</w:t>
              </w:r>
            </w:hyperlink>
            <w:r>
              <w:rPr>
                <w:rFonts w:ascii="Arial" w:cs="Arial" w:eastAsia="Arial" w:hAnsi="Arial"/>
                <w:sz w:val="13"/>
                <w:szCs w:val="13"/>
                <w:color w:val="000000"/>
              </w:rPr>
              <w:t>.</w:t>
            </w:r>
          </w:p>
        </w:tc>
        <w:tc>
          <w:tcPr>
            <w:tcW w:w="940" w:type="dxa"/>
            <w:vAlign w:val="bottom"/>
            <w:gridSpan w:val="13"/>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10-Q</w:t>
            </w:r>
          </w:p>
        </w:tc>
        <w:tc>
          <w:tcPr>
            <w:tcW w:w="1460" w:type="dxa"/>
            <w:vAlign w:val="bottom"/>
          </w:tcPr>
          <w:p>
            <w:pPr>
              <w:ind w:left="20"/>
              <w:spacing w:after="0"/>
              <w:rPr>
                <w:sz w:val="20"/>
                <w:szCs w:val="20"/>
                <w:color w:val="auto"/>
              </w:rPr>
            </w:pPr>
            <w:r>
              <w:rPr>
                <w:rFonts w:ascii="Arial" w:cs="Arial" w:eastAsia="Arial" w:hAnsi="Arial"/>
                <w:sz w:val="13"/>
                <w:szCs w:val="13"/>
                <w:color w:val="auto"/>
              </w:rPr>
              <w:t>001-42987</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7"/>
              </w:rPr>
              <w:t>January 23, 2026</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75">
              <w:r>
                <w:rPr>
                  <w:rFonts w:ascii="Arial" w:cs="Arial" w:eastAsia="Arial" w:hAnsi="Arial"/>
                  <w:sz w:val="13"/>
                  <w:szCs w:val="13"/>
                  <w:color w:val="0000FF"/>
                </w:rPr>
                <w:t>Form of Common Stock certificate of Wealthfront Corporation.</w:t>
              </w:r>
            </w:hyperlink>
          </w:p>
        </w:tc>
        <w:tc>
          <w:tcPr>
            <w:tcW w:w="840" w:type="dxa"/>
            <w:vAlign w:val="bottom"/>
            <w:gridSpan w:val="2"/>
          </w:tcPr>
          <w:p>
            <w:pPr>
              <w:spacing w:after="0"/>
              <w:rPr>
                <w:sz w:val="20"/>
                <w:szCs w:val="20"/>
                <w:color w:val="auto"/>
              </w:rPr>
            </w:pPr>
            <w:r>
              <w:rPr>
                <w:rFonts w:ascii="Arial" w:cs="Arial" w:eastAsia="Arial" w:hAnsi="Arial"/>
                <w:sz w:val="13"/>
                <w:szCs w:val="13"/>
                <w:color w:val="auto"/>
              </w:rPr>
              <w:t>S-1/A</w:t>
            </w:r>
          </w:p>
        </w:tc>
        <w:tc>
          <w:tcPr>
            <w:tcW w:w="1460" w:type="dxa"/>
            <w:vAlign w:val="bottom"/>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7"/>
              </w:rPr>
              <w:t>December 2,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76">
              <w:r>
                <w:rPr>
                  <w:rFonts w:ascii="Arial" w:cs="Arial" w:eastAsia="Arial" w:hAnsi="Arial"/>
                  <w:sz w:val="13"/>
                  <w:szCs w:val="13"/>
                  <w:color w:val="0000FF"/>
                </w:rPr>
                <w:t>Amended and Restated Investors’ Rights Agreement among Wealthfront</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540" w:type="dxa"/>
            <w:vAlign w:val="bottom"/>
            <w:gridSpan w:val="26"/>
          </w:tcPr>
          <w:p>
            <w:pPr>
              <w:spacing w:after="0" w:line="107" w:lineRule="exact"/>
              <w:rPr>
                <w:rFonts w:ascii="Arial" w:cs="Arial" w:eastAsia="Arial" w:hAnsi="Arial"/>
                <w:sz w:val="12"/>
                <w:szCs w:val="12"/>
                <w:color w:val="0000FF"/>
              </w:rPr>
            </w:pPr>
            <w:hyperlink r:id="rId176">
              <w:r>
                <w:rPr>
                  <w:rFonts w:ascii="Arial" w:cs="Arial" w:eastAsia="Arial" w:hAnsi="Arial"/>
                  <w:sz w:val="12"/>
                  <w:szCs w:val="12"/>
                  <w:color w:val="0000FF"/>
                </w:rPr>
                <w:t>Corporation and certain holders of its capital stock and warrants to purchase</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tcBorders>
              <w:top w:val="single" w:sz="8" w:color="0000FF"/>
              <w:bottom w:val="single" w:sz="8" w:color="0000FF"/>
            </w:tcBorders>
            <w:gridSpan w:val="11"/>
          </w:tcPr>
          <w:p>
            <w:pPr>
              <w:spacing w:after="0" w:line="107" w:lineRule="exact"/>
              <w:rPr>
                <w:rFonts w:ascii="Arial" w:cs="Arial" w:eastAsia="Arial" w:hAnsi="Arial"/>
                <w:sz w:val="12"/>
                <w:szCs w:val="12"/>
                <w:color w:val="0000FF"/>
              </w:rPr>
            </w:pPr>
            <w:hyperlink r:id="rId176">
              <w:r>
                <w:rPr>
                  <w:rFonts w:ascii="Arial" w:cs="Arial" w:eastAsia="Arial" w:hAnsi="Arial"/>
                  <w:sz w:val="12"/>
                  <w:szCs w:val="12"/>
                  <w:color w:val="0000FF"/>
                </w:rPr>
                <w:t>shares of its capital stock, dated September 22, 2022.</w:t>
              </w:r>
            </w:hyperlink>
          </w:p>
        </w:tc>
        <w:tc>
          <w:tcPr>
            <w:tcW w:w="126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77">
              <w:r>
                <w:rPr>
                  <w:rFonts w:ascii="Arial" w:cs="Arial" w:eastAsia="Arial" w:hAnsi="Arial"/>
                  <w:sz w:val="13"/>
                  <w:szCs w:val="13"/>
                  <w:color w:val="0000FF"/>
                </w:rPr>
                <w:t>Plain English Warrant Agreement between Wealthfront Corporation and</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7"/>
          </w:tcPr>
          <w:p>
            <w:pPr>
              <w:spacing w:after="0" w:line="107" w:lineRule="exact"/>
              <w:rPr>
                <w:rFonts w:ascii="Arial" w:cs="Arial" w:eastAsia="Arial" w:hAnsi="Arial"/>
                <w:sz w:val="12"/>
                <w:szCs w:val="12"/>
                <w:color w:val="0000FF"/>
              </w:rPr>
            </w:pPr>
            <w:hyperlink r:id="rId177">
              <w:r>
                <w:rPr>
                  <w:rFonts w:ascii="Arial" w:cs="Arial" w:eastAsia="Arial" w:hAnsi="Arial"/>
                  <w:sz w:val="12"/>
                  <w:szCs w:val="12"/>
                  <w:color w:val="0000FF"/>
                </w:rPr>
                <w:t>TriplePoint Capital LLC, dated April 22, 2016.</w:t>
              </w:r>
            </w:hyperlink>
          </w:p>
        </w:tc>
        <w:tc>
          <w:tcPr>
            <w:tcW w:w="1520" w:type="dxa"/>
            <w:vAlign w:val="bottom"/>
            <w:tcBorders>
              <w:top w:val="single" w:sz="8" w:color="0000FF"/>
            </w:tcBorders>
            <w:gridSpan w:val="11"/>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bottom w:val="single" w:sz="8" w:color="0000FF"/>
            </w:tcBorders>
            <w:gridSpan w:val="9"/>
          </w:tcPr>
          <w:p>
            <w:pPr>
              <w:spacing w:after="0"/>
              <w:rPr>
                <w:rFonts w:ascii="Arial" w:cs="Arial" w:eastAsia="Arial" w:hAnsi="Arial"/>
                <w:sz w:val="13"/>
                <w:szCs w:val="13"/>
                <w:color w:val="0000FF"/>
                <w:w w:val="97"/>
              </w:rPr>
            </w:pPr>
            <w:hyperlink r:id="rId178">
              <w:r>
                <w:rPr>
                  <w:rFonts w:ascii="Arial" w:cs="Arial" w:eastAsia="Arial" w:hAnsi="Arial"/>
                  <w:sz w:val="13"/>
                  <w:szCs w:val="13"/>
                  <w:color w:val="0000FF"/>
                  <w:w w:val="97"/>
                </w:rPr>
                <w:t>Form of 2019 Warrant to Purchase Common Stock.</w:t>
              </w:r>
            </w:hyperlink>
          </w:p>
        </w:tc>
        <w:tc>
          <w:tcPr>
            <w:tcW w:w="1620" w:type="dxa"/>
            <w:vAlign w:val="bottom"/>
            <w:gridSpan w:val="17"/>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S-1</w:t>
            </w:r>
          </w:p>
        </w:tc>
        <w:tc>
          <w:tcPr>
            <w:tcW w:w="1460" w:type="dxa"/>
            <w:vAlign w:val="bottom"/>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bottom w:val="single" w:sz="8" w:color="0000FF"/>
            </w:tcBorders>
            <w:gridSpan w:val="8"/>
          </w:tcPr>
          <w:p>
            <w:pPr>
              <w:spacing w:after="0"/>
              <w:rPr>
                <w:rFonts w:ascii="Arial" w:cs="Arial" w:eastAsia="Arial" w:hAnsi="Arial"/>
                <w:sz w:val="13"/>
                <w:szCs w:val="13"/>
                <w:color w:val="0000FF"/>
                <w:w w:val="97"/>
              </w:rPr>
            </w:pPr>
            <w:hyperlink r:id="rId179">
              <w:r>
                <w:rPr>
                  <w:rFonts w:ascii="Arial" w:cs="Arial" w:eastAsia="Arial" w:hAnsi="Arial"/>
                  <w:sz w:val="13"/>
                  <w:szCs w:val="13"/>
                  <w:color w:val="0000FF"/>
                  <w:w w:val="97"/>
                </w:rPr>
                <w:t>Form of 2021 Warrant to Purchase Common Stock.</w:t>
              </w:r>
            </w:hyperlink>
          </w:p>
        </w:tc>
        <w:tc>
          <w:tcPr>
            <w:tcW w:w="1640" w:type="dxa"/>
            <w:vAlign w:val="bottom"/>
            <w:gridSpan w:val="18"/>
          </w:tcPr>
          <w:p>
            <w:pPr>
              <w:spacing w:after="0"/>
              <w:rPr>
                <w:sz w:val="13"/>
                <w:szCs w:val="13"/>
                <w:color w:val="auto"/>
              </w:rPr>
            </w:pPr>
          </w:p>
        </w:tc>
        <w:tc>
          <w:tcPr>
            <w:tcW w:w="840" w:type="dxa"/>
            <w:vAlign w:val="bottom"/>
            <w:gridSpan w:val="2"/>
          </w:tcPr>
          <w:p>
            <w:pPr>
              <w:spacing w:after="0"/>
              <w:rPr>
                <w:sz w:val="20"/>
                <w:szCs w:val="20"/>
                <w:color w:val="auto"/>
              </w:rPr>
            </w:pPr>
            <w:r>
              <w:rPr>
                <w:rFonts w:ascii="Arial" w:cs="Arial" w:eastAsia="Arial" w:hAnsi="Arial"/>
                <w:sz w:val="13"/>
                <w:szCs w:val="13"/>
                <w:color w:val="auto"/>
              </w:rPr>
              <w:t>S-1</w:t>
            </w:r>
          </w:p>
        </w:tc>
        <w:tc>
          <w:tcPr>
            <w:tcW w:w="1460" w:type="dxa"/>
            <w:vAlign w:val="bottom"/>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sz w:val="20"/>
                <w:szCs w:val="20"/>
                <w:color w:val="auto"/>
              </w:rPr>
            </w:pPr>
            <w:r>
              <w:rPr>
                <w:rFonts w:ascii="Arial" w:cs="Arial" w:eastAsia="Arial" w:hAnsi="Arial"/>
                <w:sz w:val="13"/>
                <w:szCs w:val="13"/>
                <w:color w:val="0000FF"/>
              </w:rPr>
              <w:t>Description of Common Stock.</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ind w:left="4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10.1</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0">
              <w:r>
                <w:rPr>
                  <w:rFonts w:ascii="Arial" w:cs="Arial" w:eastAsia="Arial" w:hAnsi="Arial"/>
                  <w:sz w:val="13"/>
                  <w:szCs w:val="13"/>
                  <w:color w:val="0000FF"/>
                </w:rPr>
                <w:t>Form of Indemnity Agreement between Wealthfront Corporation and each of</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bottom w:val="single" w:sz="8" w:color="0000FF"/>
            </w:tcBorders>
            <w:gridSpan w:val="4"/>
          </w:tcPr>
          <w:p>
            <w:pPr>
              <w:spacing w:after="0" w:line="107" w:lineRule="exact"/>
              <w:rPr>
                <w:rFonts w:ascii="Arial" w:cs="Arial" w:eastAsia="Arial" w:hAnsi="Arial"/>
                <w:sz w:val="12"/>
                <w:szCs w:val="12"/>
                <w:color w:val="0000FF"/>
              </w:rPr>
            </w:pPr>
            <w:hyperlink r:id="rId180">
              <w:r>
                <w:rPr>
                  <w:rFonts w:ascii="Arial" w:cs="Arial" w:eastAsia="Arial" w:hAnsi="Arial"/>
                  <w:sz w:val="12"/>
                  <w:szCs w:val="12"/>
                  <w:color w:val="0000FF"/>
                </w:rPr>
                <w:t>its directors and executive officers.</w:t>
              </w:r>
            </w:hyperlink>
          </w:p>
        </w:tc>
        <w:tc>
          <w:tcPr>
            <w:tcW w:w="232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10.2</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1">
              <w:r>
                <w:rPr>
                  <w:rFonts w:ascii="Arial" w:cs="Arial" w:eastAsia="Arial" w:hAnsi="Arial"/>
                  <w:sz w:val="13"/>
                  <w:szCs w:val="13"/>
                  <w:color w:val="0000FF"/>
                </w:rPr>
                <w:t>Wealthfront Corporation 2008 Equity Incentive Plan and related form</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rPr>
            </w:pPr>
            <w:hyperlink r:id="rId181">
              <w:r>
                <w:rPr>
                  <w:rFonts w:ascii="Arial" w:cs="Arial" w:eastAsia="Arial" w:hAnsi="Arial"/>
                  <w:sz w:val="12"/>
                  <w:szCs w:val="12"/>
                  <w:color w:val="0000FF"/>
                </w:rPr>
                <w:t>agreements.</w:t>
              </w:r>
            </w:hyperlink>
          </w:p>
        </w:tc>
        <w:tc>
          <w:tcPr>
            <w:tcW w:w="3140" w:type="dxa"/>
            <w:vAlign w:val="bottom"/>
            <w:tcBorders>
              <w:top w:val="single" w:sz="8" w:color="0000FF"/>
            </w:tcBorders>
            <w:gridSpan w:val="15"/>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10.3</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2">
              <w:r>
                <w:rPr>
                  <w:rFonts w:ascii="Arial" w:cs="Arial" w:eastAsia="Arial" w:hAnsi="Arial"/>
                  <w:sz w:val="13"/>
                  <w:szCs w:val="13"/>
                  <w:color w:val="0000FF"/>
                </w:rPr>
                <w:t>Wealthfront Corporation 2017 Equity Incentive Plan and related form</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rPr>
            </w:pPr>
            <w:hyperlink r:id="rId182">
              <w:r>
                <w:rPr>
                  <w:rFonts w:ascii="Arial" w:cs="Arial" w:eastAsia="Arial" w:hAnsi="Arial"/>
                  <w:sz w:val="12"/>
                  <w:szCs w:val="12"/>
                  <w:color w:val="0000FF"/>
                </w:rPr>
                <w:t>agreements.</w:t>
              </w:r>
            </w:hyperlink>
          </w:p>
        </w:tc>
        <w:tc>
          <w:tcPr>
            <w:tcW w:w="3140" w:type="dxa"/>
            <w:vAlign w:val="bottom"/>
            <w:tcBorders>
              <w:top w:val="single" w:sz="8" w:color="0000FF"/>
            </w:tcBorders>
            <w:gridSpan w:val="15"/>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10.4</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3">
              <w:r>
                <w:rPr>
                  <w:rFonts w:ascii="Arial" w:cs="Arial" w:eastAsia="Arial" w:hAnsi="Arial"/>
                  <w:sz w:val="13"/>
                  <w:szCs w:val="13"/>
                  <w:color w:val="0000FF"/>
                </w:rPr>
                <w:t>Wealthfront Corporation 2025 Equity Incentive Plan and related form</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Borders>
              <w:top w:val="single" w:sz="8" w:color="0000FF"/>
              <w:bottom w:val="single" w:sz="8" w:color="0000FF"/>
            </w:tcBorders>
          </w:tcPr>
          <w:p>
            <w:pPr>
              <w:spacing w:after="0" w:line="107" w:lineRule="exact"/>
              <w:rPr>
                <w:rFonts w:ascii="Arial" w:cs="Arial" w:eastAsia="Arial" w:hAnsi="Arial"/>
                <w:sz w:val="12"/>
                <w:szCs w:val="12"/>
                <w:color w:val="0000FF"/>
              </w:rPr>
            </w:pPr>
            <w:hyperlink r:id="rId183">
              <w:r>
                <w:rPr>
                  <w:rFonts w:ascii="Arial" w:cs="Arial" w:eastAsia="Arial" w:hAnsi="Arial"/>
                  <w:sz w:val="12"/>
                  <w:szCs w:val="12"/>
                  <w:color w:val="0000FF"/>
                </w:rPr>
                <w:t>agreements.</w:t>
              </w:r>
            </w:hyperlink>
          </w:p>
        </w:tc>
        <w:tc>
          <w:tcPr>
            <w:tcW w:w="3140" w:type="dxa"/>
            <w:vAlign w:val="bottom"/>
            <w:tcBorders>
              <w:top w:val="single" w:sz="8" w:color="0000FF"/>
            </w:tcBorders>
            <w:gridSpan w:val="15"/>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10.5</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4">
              <w:r>
                <w:rPr>
                  <w:rFonts w:ascii="Arial" w:cs="Arial" w:eastAsia="Arial" w:hAnsi="Arial"/>
                  <w:sz w:val="13"/>
                  <w:szCs w:val="13"/>
                  <w:color w:val="0000FF"/>
                </w:rPr>
                <w:t>Wealthfront Corporation 2025 Employee Stock Purchase Plan and related</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16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r:id="rId184">
              <w:r>
                <w:rPr>
                  <w:rFonts w:ascii="Arial" w:cs="Arial" w:eastAsia="Arial" w:hAnsi="Arial"/>
                  <w:sz w:val="12"/>
                  <w:szCs w:val="12"/>
                  <w:color w:val="0000FF"/>
                </w:rPr>
                <w:t>form agreements.</w:t>
              </w:r>
            </w:hyperlink>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10.6</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5">
              <w:r>
                <w:rPr>
                  <w:rFonts w:ascii="Arial" w:cs="Arial" w:eastAsia="Arial" w:hAnsi="Arial"/>
                  <w:sz w:val="13"/>
                  <w:szCs w:val="13"/>
                  <w:color w:val="0000FF"/>
                </w:rPr>
                <w:t>Non-Employee Director Compensation Policy</w:t>
              </w:r>
            </w:hyperlink>
            <w:r>
              <w:rPr>
                <w:rFonts w:ascii="Arial" w:cs="Arial" w:eastAsia="Arial" w:hAnsi="Arial"/>
                <w:sz w:val="13"/>
                <w:szCs w:val="13"/>
                <w:color w:val="000000"/>
              </w:rPr>
              <w:t>.</w:t>
            </w:r>
          </w:p>
        </w:tc>
        <w:tc>
          <w:tcPr>
            <w:tcW w:w="840" w:type="dxa"/>
            <w:vAlign w:val="bottom"/>
            <w:gridSpan w:val="2"/>
          </w:tcPr>
          <w:p>
            <w:pPr>
              <w:spacing w:after="0"/>
              <w:rPr>
                <w:sz w:val="20"/>
                <w:szCs w:val="20"/>
                <w:color w:val="auto"/>
              </w:rPr>
            </w:pPr>
            <w:r>
              <w:rPr>
                <w:rFonts w:ascii="Arial" w:cs="Arial" w:eastAsia="Arial" w:hAnsi="Arial"/>
                <w:sz w:val="13"/>
                <w:szCs w:val="13"/>
                <w:color w:val="auto"/>
              </w:rPr>
              <w:t>S-1</w:t>
            </w:r>
          </w:p>
        </w:tc>
        <w:tc>
          <w:tcPr>
            <w:tcW w:w="1460" w:type="dxa"/>
            <w:vAlign w:val="bottom"/>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ind w:left="20"/>
              <w:spacing w:after="0" w:line="170" w:lineRule="exact"/>
              <w:rPr>
                <w:sz w:val="20"/>
                <w:szCs w:val="20"/>
                <w:color w:val="auto"/>
              </w:rPr>
            </w:pPr>
            <w:r>
              <w:rPr>
                <w:rFonts w:ascii="Arial" w:cs="Arial" w:eastAsia="Arial" w:hAnsi="Arial"/>
                <w:sz w:val="13"/>
                <w:szCs w:val="13"/>
                <w:color w:val="auto"/>
              </w:rPr>
              <w:t>10.7</w:t>
            </w:r>
            <w:r>
              <w:rPr>
                <w:rFonts w:ascii="Arial" w:cs="Arial" w:eastAsia="Arial" w:hAnsi="Arial"/>
                <w:sz w:val="18"/>
                <w:szCs w:val="18"/>
                <w:color w:val="auto"/>
                <w:vertAlign w:val="superscript"/>
              </w:rPr>
              <w:t>†</w:t>
            </w:r>
            <w:r>
              <w:rPr>
                <w:rFonts w:ascii="Arial" w:cs="Arial" w:eastAsia="Arial" w:hAnsi="Arial"/>
                <w:sz w:val="16"/>
                <w:szCs w:val="16"/>
                <w:color w:val="auto"/>
                <w:vertAlign w:val="superscript"/>
              </w:rPr>
              <w:t>#</w:t>
            </w: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6">
              <w:r>
                <w:rPr>
                  <w:rFonts w:ascii="Arial" w:cs="Arial" w:eastAsia="Arial" w:hAnsi="Arial"/>
                  <w:sz w:val="13"/>
                  <w:szCs w:val="13"/>
                  <w:color w:val="0000FF"/>
                </w:rPr>
                <w:t>Confirmatory Offer Letter between David Fortunato and Wealthfront</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10.8</w:t>
            </w:r>
            <w:r>
              <w:rPr>
                <w:rFonts w:ascii="Arial" w:cs="Arial" w:eastAsia="Arial" w:hAnsi="Arial"/>
                <w:sz w:val="18"/>
                <w:szCs w:val="18"/>
                <w:color w:val="auto"/>
                <w:vertAlign w:val="superscript"/>
              </w:rPr>
              <w:t>†</w:t>
            </w:r>
            <w:r>
              <w:rPr>
                <w:rFonts w:ascii="Arial" w:cs="Arial" w:eastAsia="Arial" w:hAnsi="Arial"/>
                <w:sz w:val="16"/>
                <w:szCs w:val="16"/>
                <w:color w:val="auto"/>
                <w:vertAlign w:val="superscript"/>
              </w:rPr>
              <w:t>#</w:t>
            </w:r>
          </w:p>
        </w:tc>
        <w:tc>
          <w:tcPr>
            <w:tcW w:w="20" w:type="dxa"/>
            <w:vAlign w:val="bottom"/>
          </w:tcPr>
          <w:p>
            <w:pPr>
              <w:spacing w:after="0"/>
              <w:rPr>
                <w:sz w:val="9"/>
                <w:szCs w:val="9"/>
                <w:color w:val="auto"/>
              </w:rPr>
            </w:pPr>
          </w:p>
        </w:tc>
        <w:tc>
          <w:tcPr>
            <w:tcW w:w="380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186">
              <w:r>
                <w:rPr>
                  <w:rFonts w:ascii="Arial" w:cs="Arial" w:eastAsia="Arial" w:hAnsi="Arial"/>
                  <w:sz w:val="12"/>
                  <w:szCs w:val="12"/>
                  <w:color w:val="0000FF"/>
                </w:rPr>
                <w:t>Corporation, dated September 26, 2025.</w:t>
              </w:r>
            </w:hyperlink>
          </w:p>
        </w:tc>
        <w:tc>
          <w:tcPr>
            <w:tcW w:w="100" w:type="dxa"/>
            <w:vAlign w:val="bottom"/>
            <w:gridSpan w:val="2"/>
          </w:tcPr>
          <w:p>
            <w:pPr>
              <w:spacing w:after="0"/>
              <w:rPr>
                <w:sz w:val="9"/>
                <w:szCs w:val="9"/>
                <w:color w:val="auto"/>
              </w:rPr>
            </w:pPr>
          </w:p>
        </w:tc>
        <w:tc>
          <w:tcPr>
            <w:tcW w:w="30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sz w:val="20"/>
                <w:szCs w:val="20"/>
                <w:color w:val="auto"/>
              </w:rPr>
            </w:pPr>
            <w:r>
              <w:rPr>
                <w:rFonts w:ascii="Arial" w:cs="Arial" w:eastAsia="Arial" w:hAnsi="Arial"/>
                <w:sz w:val="13"/>
                <w:szCs w:val="13"/>
                <w:color w:val="0000FF"/>
              </w:rPr>
              <w:t>Confirmatory Offer Letter between Alan Imberman and Wealthfront</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vMerge w:val="restart"/>
          </w:tcPr>
          <w:p>
            <w:pPr>
              <w:ind w:left="460"/>
              <w:spacing w:after="0"/>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07"/>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10.9</w:t>
            </w:r>
            <w:r>
              <w:rPr>
                <w:rFonts w:ascii="Arial" w:cs="Arial" w:eastAsia="Arial" w:hAnsi="Arial"/>
                <w:sz w:val="18"/>
                <w:szCs w:val="18"/>
                <w:color w:val="auto"/>
                <w:vertAlign w:val="superscript"/>
              </w:rPr>
              <w:t>†</w:t>
            </w:r>
            <w:r>
              <w:rPr>
                <w:rFonts w:ascii="Arial" w:cs="Arial" w:eastAsia="Arial" w:hAnsi="Arial"/>
                <w:sz w:val="16"/>
                <w:szCs w:val="16"/>
                <w:color w:val="auto"/>
                <w:vertAlign w:val="superscript"/>
              </w:rPr>
              <w:t>#</w:t>
            </w:r>
          </w:p>
        </w:tc>
        <w:tc>
          <w:tcPr>
            <w:tcW w:w="20" w:type="dxa"/>
            <w:vAlign w:val="bottom"/>
          </w:tcPr>
          <w:p>
            <w:pPr>
              <w:spacing w:after="0"/>
              <w:rPr>
                <w:sz w:val="9"/>
                <w:szCs w:val="9"/>
                <w:color w:val="auto"/>
              </w:rPr>
            </w:pPr>
          </w:p>
        </w:tc>
        <w:tc>
          <w:tcPr>
            <w:tcW w:w="3760" w:type="dxa"/>
            <w:vAlign w:val="bottom"/>
            <w:tcBorders>
              <w:top w:val="single" w:sz="8" w:color="0000FF"/>
            </w:tcBorders>
            <w:gridSpan w:val="14"/>
          </w:tcPr>
          <w:p>
            <w:pPr>
              <w:spacing w:after="0" w:line="107" w:lineRule="exact"/>
              <w:rPr>
                <w:sz w:val="20"/>
                <w:szCs w:val="20"/>
                <w:color w:val="auto"/>
              </w:rPr>
            </w:pPr>
            <w:r>
              <w:rPr>
                <w:rFonts w:ascii="Arial" w:cs="Arial" w:eastAsia="Arial" w:hAnsi="Arial"/>
                <w:sz w:val="12"/>
                <w:szCs w:val="12"/>
                <w:color w:val="0000FF"/>
              </w:rPr>
              <w:t>Corporation, dated September 26, 2025.</w:t>
            </w:r>
          </w:p>
        </w:tc>
        <w:tc>
          <w:tcPr>
            <w:tcW w:w="140" w:type="dxa"/>
            <w:vAlign w:val="bottom"/>
            <w:gridSpan w:val="3"/>
          </w:tcPr>
          <w:p>
            <w:pPr>
              <w:spacing w:after="0"/>
              <w:rPr>
                <w:sz w:val="9"/>
                <w:szCs w:val="9"/>
                <w:color w:val="auto"/>
              </w:rPr>
            </w:pPr>
          </w:p>
        </w:tc>
        <w:tc>
          <w:tcPr>
            <w:tcW w:w="30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7">
              <w:r>
                <w:rPr>
                  <w:rFonts w:ascii="Arial" w:cs="Arial" w:eastAsia="Arial" w:hAnsi="Arial"/>
                  <w:sz w:val="13"/>
                  <w:szCs w:val="13"/>
                  <w:color w:val="0000FF"/>
                </w:rPr>
                <w:t>Confirmatory Offer Letter between Julien Wetterwald and Wealthfront</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90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r:id="rId187">
              <w:r>
                <w:rPr>
                  <w:rFonts w:ascii="Arial" w:cs="Arial" w:eastAsia="Arial" w:hAnsi="Arial"/>
                  <w:sz w:val="12"/>
                  <w:szCs w:val="12"/>
                  <w:color w:val="0000FF"/>
                </w:rPr>
                <w:t>Corporation, dated September 26, 2025.</w:t>
              </w:r>
            </w:hyperlink>
          </w:p>
        </w:tc>
        <w:tc>
          <w:tcPr>
            <w:tcW w:w="30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40" w:type="dxa"/>
            <w:vAlign w:val="bottom"/>
          </w:tcPr>
          <w:p>
            <w:pPr>
              <w:ind w:left="20"/>
              <w:spacing w:after="0" w:line="150" w:lineRule="exact"/>
              <w:rPr>
                <w:sz w:val="20"/>
                <w:szCs w:val="20"/>
                <w:color w:val="auto"/>
              </w:rPr>
            </w:pPr>
            <w:r>
              <w:rPr>
                <w:rFonts w:ascii="Arial" w:cs="Arial" w:eastAsia="Arial" w:hAnsi="Arial"/>
                <w:sz w:val="13"/>
                <w:szCs w:val="13"/>
                <w:color w:val="auto"/>
              </w:rPr>
              <w:t>10.10</w:t>
            </w:r>
            <w:r>
              <w:rPr>
                <w:rFonts w:ascii="Arial" w:cs="Arial" w:eastAsia="Arial" w:hAnsi="Arial"/>
                <w:sz w:val="16"/>
                <w:szCs w:val="16"/>
                <w:color w:val="auto"/>
                <w:vertAlign w:val="superscript"/>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8">
              <w:r>
                <w:rPr>
                  <w:rFonts w:ascii="Arial" w:cs="Arial" w:eastAsia="Arial" w:hAnsi="Arial"/>
                  <w:sz w:val="13"/>
                  <w:szCs w:val="13"/>
                  <w:color w:val="0000FF"/>
                </w:rPr>
                <w:t>Form of Change of Control and Severance Agreement between Wealthfront</w:t>
              </w:r>
            </w:hyperlink>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13"/>
                <w:szCs w:val="13"/>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8"/>
              </w:rPr>
              <w:t>September 29, 2025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gridSpan w:val="2"/>
            <w:vMerge w:val="restart"/>
          </w:tcPr>
          <w:p>
            <w:pPr>
              <w:ind w:left="20"/>
              <w:spacing w:after="0"/>
              <w:rPr>
                <w:sz w:val="20"/>
                <w:szCs w:val="20"/>
                <w:color w:val="auto"/>
              </w:rPr>
            </w:pPr>
            <w:r>
              <w:rPr>
                <w:rFonts w:ascii="Arial" w:cs="Arial" w:eastAsia="Arial" w:hAnsi="Arial"/>
                <w:sz w:val="13"/>
                <w:szCs w:val="13"/>
                <w:color w:val="auto"/>
              </w:rPr>
              <w:t>10.11</w:t>
            </w:r>
            <w:r>
              <w:rPr>
                <w:rFonts w:ascii="Arial" w:cs="Arial" w:eastAsia="Arial" w:hAnsi="Arial"/>
                <w:sz w:val="18"/>
                <w:szCs w:val="18"/>
                <w:color w:val="auto"/>
                <w:vertAlign w:val="superscript"/>
              </w:rPr>
              <w:t>†</w:t>
            </w:r>
          </w:p>
        </w:tc>
        <w:tc>
          <w:tcPr>
            <w:tcW w:w="20" w:type="dxa"/>
            <w:vAlign w:val="bottom"/>
          </w:tcPr>
          <w:p>
            <w:pPr>
              <w:spacing w:after="0"/>
              <w:rPr>
                <w:sz w:val="9"/>
                <w:szCs w:val="9"/>
                <w:color w:val="auto"/>
              </w:rPr>
            </w:pPr>
          </w:p>
        </w:tc>
        <w:tc>
          <w:tcPr>
            <w:tcW w:w="42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188">
              <w:r>
                <w:rPr>
                  <w:rFonts w:ascii="Arial" w:cs="Arial" w:eastAsia="Arial" w:hAnsi="Arial"/>
                  <w:sz w:val="12"/>
                  <w:szCs w:val="12"/>
                  <w:color w:val="0000FF"/>
                </w:rPr>
                <w:t>Corporation and each of its named executive officers.</w:t>
              </w:r>
            </w:hyperlink>
          </w:p>
        </w:tc>
        <w:tc>
          <w:tcPr>
            <w:tcW w:w="60" w:type="dxa"/>
            <w:vAlign w:val="bottom"/>
            <w:gridSpan w:val="3"/>
          </w:tcPr>
          <w:p>
            <w:pPr>
              <w:spacing w:after="0"/>
              <w:rPr>
                <w:sz w:val="9"/>
                <w:szCs w:val="9"/>
                <w:color w:val="auto"/>
              </w:rPr>
            </w:pPr>
          </w:p>
        </w:tc>
        <w:tc>
          <w:tcPr>
            <w:tcW w:w="220" w:type="dxa"/>
            <w:vAlign w:val="bottom"/>
            <w:gridSpan w:val="2"/>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0" w:type="dxa"/>
            <w:vAlign w:val="bottom"/>
            <w:tcBorders>
              <w:left w:val="single" w:sz="8" w:color="0000FF"/>
            </w:tcBorders>
            <w:gridSpan w:val="8"/>
            <w:shd w:val="clear" w:color="auto" w:fill="0000FF"/>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6"/>
          </w:tcPr>
          <w:p>
            <w:pPr>
              <w:spacing w:after="0"/>
              <w:rPr>
                <w:rFonts w:ascii="Arial" w:cs="Arial" w:eastAsia="Arial" w:hAnsi="Arial"/>
                <w:sz w:val="13"/>
                <w:szCs w:val="13"/>
                <w:color w:val="0000FF"/>
              </w:rPr>
            </w:pPr>
            <w:hyperlink r:id="rId189">
              <w:r>
                <w:rPr>
                  <w:rFonts w:ascii="Arial" w:cs="Arial" w:eastAsia="Arial" w:hAnsi="Arial"/>
                  <w:sz w:val="13"/>
                  <w:szCs w:val="13"/>
                  <w:color w:val="0000FF"/>
                </w:rPr>
                <w:t>Amended and Restated Credit Agreement between Wealthfront Corporation,</w:t>
              </w:r>
            </w:hyperlink>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320" w:type="dxa"/>
            <w:vAlign w:val="bottom"/>
            <w:tcBorders>
              <w:top w:val="single" w:sz="8" w:color="0000FF"/>
            </w:tcBorders>
            <w:gridSpan w:val="24"/>
          </w:tcPr>
          <w:p>
            <w:pPr>
              <w:spacing w:after="0" w:line="107" w:lineRule="exact"/>
              <w:rPr>
                <w:rFonts w:ascii="Arial" w:cs="Arial" w:eastAsia="Arial" w:hAnsi="Arial"/>
                <w:sz w:val="12"/>
                <w:szCs w:val="12"/>
                <w:color w:val="0000FF"/>
              </w:rPr>
            </w:pPr>
            <w:hyperlink r:id="rId189">
              <w:r>
                <w:rPr>
                  <w:rFonts w:ascii="Arial" w:cs="Arial" w:eastAsia="Arial" w:hAnsi="Arial"/>
                  <w:sz w:val="12"/>
                  <w:szCs w:val="12"/>
                  <w:color w:val="0000FF"/>
                </w:rPr>
                <w:t>as borrower, and Wells Fargo Bank, National Association, as lender, dated</w:t>
              </w:r>
            </w:hyperlink>
          </w:p>
        </w:tc>
        <w:tc>
          <w:tcPr>
            <w:tcW w:w="220" w:type="dxa"/>
            <w:vAlign w:val="bottom"/>
            <w:gridSpan w:val="2"/>
          </w:tcPr>
          <w:p>
            <w:pPr>
              <w:spacing w:after="0"/>
              <w:rPr>
                <w:sz w:val="9"/>
                <w:szCs w:val="9"/>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S-1/A</w:t>
            </w:r>
          </w:p>
        </w:tc>
        <w:tc>
          <w:tcPr>
            <w:tcW w:w="1460" w:type="dxa"/>
            <w:vAlign w:val="bottom"/>
            <w:vMerge w:val="restart"/>
          </w:tcPr>
          <w:p>
            <w:pPr>
              <w:ind w:left="20"/>
              <w:spacing w:after="0"/>
              <w:rPr>
                <w:sz w:val="20"/>
                <w:szCs w:val="20"/>
                <w:color w:val="auto"/>
              </w:rPr>
            </w:pPr>
            <w:r>
              <w:rPr>
                <w:rFonts w:ascii="Arial" w:cs="Arial" w:eastAsia="Arial" w:hAnsi="Arial"/>
                <w:sz w:val="13"/>
                <w:szCs w:val="13"/>
                <w:color w:val="auto"/>
              </w:rPr>
              <w:t>333-290583</w:t>
            </w:r>
          </w:p>
        </w:tc>
        <w:tc>
          <w:tcPr>
            <w:tcW w:w="80" w:type="dxa"/>
            <w:vAlign w:val="bottom"/>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color w:val="auto"/>
                <w:w w:val="97"/>
              </w:rPr>
              <w:t>December 2, 2025</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r:id="rId189">
              <w:r>
                <w:rPr>
                  <w:rFonts w:ascii="Arial" w:cs="Arial" w:eastAsia="Arial" w:hAnsi="Arial"/>
                  <w:sz w:val="12"/>
                  <w:szCs w:val="12"/>
                  <w:color w:val="0000FF"/>
                </w:rPr>
                <w:t>October 14, 2025.</w:t>
              </w:r>
            </w:hyperlink>
          </w:p>
        </w:tc>
        <w:tc>
          <w:tcPr>
            <w:tcW w:w="340" w:type="dxa"/>
            <w:vAlign w:val="bottom"/>
            <w:gridSpan w:val="6"/>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Filed or</w:t>
            </w:r>
          </w:p>
        </w:tc>
        <w:tc>
          <w:tcPr>
            <w:tcW w:w="0" w:type="dxa"/>
            <w:vAlign w:val="bottom"/>
          </w:tcPr>
          <w:p>
            <w:pPr>
              <w:spacing w:after="0"/>
              <w:rPr>
                <w:sz w:val="1"/>
                <w:szCs w:val="1"/>
                <w:color w:val="auto"/>
              </w:rPr>
            </w:pPr>
          </w:p>
        </w:tc>
      </w:tr>
      <w:tr>
        <w:trPr>
          <w:trHeight w:val="112"/>
        </w:trPr>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580" w:type="dxa"/>
            <w:vAlign w:val="bottom"/>
            <w:gridSpan w:val="2"/>
            <w:vMerge w:val="restart"/>
          </w:tcPr>
          <w:p>
            <w:pPr>
              <w:ind w:left="960"/>
              <w:spacing w:after="0"/>
              <w:rPr>
                <w:sz w:val="20"/>
                <w:szCs w:val="20"/>
                <w:color w:val="auto"/>
              </w:rPr>
            </w:pPr>
            <w:r>
              <w:rPr>
                <w:rFonts w:ascii="Arial" w:cs="Arial" w:eastAsia="Arial" w:hAnsi="Arial"/>
                <w:sz w:val="11"/>
                <w:szCs w:val="11"/>
                <w:b w:val="1"/>
                <w:bCs w:val="1"/>
                <w:color w:val="auto"/>
              </w:rPr>
              <w:t>Incorporated by Reference</w:t>
            </w:r>
          </w:p>
        </w:tc>
        <w:tc>
          <w:tcPr>
            <w:tcW w:w="1360" w:type="dxa"/>
            <w:vAlign w:val="bottom"/>
          </w:tcPr>
          <w:p>
            <w:pPr>
              <w:spacing w:after="0"/>
              <w:rPr>
                <w:sz w:val="9"/>
                <w:szCs w:val="9"/>
                <w:color w:val="auto"/>
              </w:rPr>
            </w:pPr>
          </w:p>
        </w:tc>
        <w:tc>
          <w:tcPr>
            <w:tcW w:w="640" w:type="dxa"/>
            <w:vAlign w:val="bottom"/>
          </w:tcPr>
          <w:p>
            <w:pPr>
              <w:ind w:left="100"/>
              <w:spacing w:after="0" w:line="113"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2"/>
            <w:vMerge w:val="continue"/>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129"/>
        </w:trPr>
        <w:tc>
          <w:tcPr>
            <w:tcW w:w="1140" w:type="dxa"/>
            <w:vAlign w:val="bottom"/>
          </w:tcPr>
          <w:p>
            <w:pPr>
              <w:spacing w:after="0" w:line="129" w:lineRule="exact"/>
              <w:rPr>
                <w:sz w:val="20"/>
                <w:szCs w:val="20"/>
                <w:color w:val="auto"/>
              </w:rPr>
            </w:pPr>
            <w:r>
              <w:rPr>
                <w:rFonts w:ascii="Arial" w:cs="Arial" w:eastAsia="Arial" w:hAnsi="Arial"/>
                <w:sz w:val="11"/>
                <w:szCs w:val="11"/>
                <w:color w:val="auto"/>
              </w:rPr>
              <w:t>10.12</w:t>
            </w:r>
            <w:r>
              <w:rPr>
                <w:rFonts w:ascii="Arial" w:cs="Arial" w:eastAsia="Arial" w:hAnsi="Arial"/>
                <w:sz w:val="14"/>
                <w:szCs w:val="14"/>
                <w:color w:val="auto"/>
                <w:vertAlign w:val="superscript"/>
              </w:rPr>
              <w:t>#</w:t>
            </w:r>
          </w:p>
        </w:tc>
        <w:tc>
          <w:tcPr>
            <w:tcW w:w="4520" w:type="dxa"/>
            <w:vAlign w:val="bottom"/>
            <w:gridSpan w:val="15"/>
          </w:tcPr>
          <w:p>
            <w:pPr>
              <w:spacing w:after="0" w:line="129" w:lineRule="exact"/>
              <w:rPr>
                <w:rFonts w:ascii="Arial" w:cs="Arial" w:eastAsia="Arial" w:hAnsi="Arial"/>
                <w:sz w:val="13"/>
                <w:szCs w:val="13"/>
                <w:color w:val="0000FF"/>
              </w:rPr>
            </w:pPr>
            <w:hyperlink r:id="rId191">
              <w:r>
                <w:rPr>
                  <w:rFonts w:ascii="Arial" w:cs="Arial" w:eastAsia="Arial" w:hAnsi="Arial"/>
                  <w:sz w:val="13"/>
                  <w:szCs w:val="13"/>
                  <w:color w:val="0000FF"/>
                </w:rPr>
                <w:t>Umbrella Bonus Plan.</w:t>
              </w:r>
            </w:hyperlink>
          </w:p>
        </w:tc>
        <w:tc>
          <w:tcPr>
            <w:tcW w:w="580" w:type="dxa"/>
            <w:vAlign w:val="bottom"/>
          </w:tcPr>
          <w:p>
            <w:pPr>
              <w:spacing w:after="0" w:line="129" w:lineRule="exact"/>
              <w:rPr>
                <w:sz w:val="20"/>
                <w:szCs w:val="20"/>
                <w:color w:val="auto"/>
              </w:rPr>
            </w:pPr>
            <w:r>
              <w:rPr>
                <w:rFonts w:ascii="Arial" w:cs="Arial" w:eastAsia="Arial" w:hAnsi="Arial"/>
                <w:sz w:val="13"/>
                <w:szCs w:val="13"/>
                <w:color w:val="auto"/>
              </w:rPr>
              <w:t>10-Q</w:t>
            </w:r>
          </w:p>
        </w:tc>
        <w:tc>
          <w:tcPr>
            <w:tcW w:w="1380" w:type="dxa"/>
            <w:vAlign w:val="bottom"/>
          </w:tcPr>
          <w:p>
            <w:pPr>
              <w:ind w:left="280"/>
              <w:spacing w:after="0" w:line="129" w:lineRule="exact"/>
              <w:rPr>
                <w:sz w:val="20"/>
                <w:szCs w:val="20"/>
                <w:color w:val="auto"/>
              </w:rPr>
            </w:pPr>
            <w:r>
              <w:rPr>
                <w:rFonts w:ascii="Arial" w:cs="Arial" w:eastAsia="Arial" w:hAnsi="Arial"/>
                <w:sz w:val="13"/>
                <w:szCs w:val="13"/>
                <w:color w:val="auto"/>
              </w:rPr>
              <w:t>001-42987</w:t>
            </w:r>
          </w:p>
        </w:tc>
        <w:tc>
          <w:tcPr>
            <w:tcW w:w="1200" w:type="dxa"/>
            <w:vAlign w:val="bottom"/>
          </w:tcPr>
          <w:p>
            <w:pPr>
              <w:ind w:left="440"/>
              <w:spacing w:after="0" w:line="129" w:lineRule="exact"/>
              <w:rPr>
                <w:sz w:val="20"/>
                <w:szCs w:val="20"/>
                <w:color w:val="auto"/>
              </w:rPr>
            </w:pPr>
            <w:r>
              <w:rPr>
                <w:rFonts w:ascii="Arial" w:cs="Arial" w:eastAsia="Arial" w:hAnsi="Arial"/>
                <w:sz w:val="13"/>
                <w:szCs w:val="13"/>
                <w:color w:val="auto"/>
              </w:rPr>
              <w:t>10.10</w:t>
            </w:r>
          </w:p>
        </w:tc>
        <w:tc>
          <w:tcPr>
            <w:tcW w:w="2000" w:type="dxa"/>
            <w:vAlign w:val="bottom"/>
            <w:gridSpan w:val="2"/>
          </w:tcPr>
          <w:p>
            <w:pPr>
              <w:jc w:val="center"/>
              <w:ind w:right="437"/>
              <w:spacing w:after="0" w:line="129" w:lineRule="exact"/>
              <w:rPr>
                <w:sz w:val="20"/>
                <w:szCs w:val="20"/>
                <w:color w:val="auto"/>
              </w:rPr>
            </w:pPr>
            <w:r>
              <w:rPr>
                <w:rFonts w:ascii="Arial" w:cs="Arial" w:eastAsia="Arial" w:hAnsi="Arial"/>
                <w:sz w:val="13"/>
                <w:szCs w:val="13"/>
                <w:color w:val="auto"/>
                <w:w w:val="97"/>
              </w:rPr>
              <w:t>January 23, 2026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line="150" w:lineRule="exact"/>
              <w:rPr>
                <w:sz w:val="20"/>
                <w:szCs w:val="20"/>
                <w:color w:val="auto"/>
              </w:rPr>
            </w:pPr>
            <w:r>
              <w:rPr>
                <w:rFonts w:ascii="Arial" w:cs="Arial" w:eastAsia="Arial" w:hAnsi="Arial"/>
                <w:sz w:val="13"/>
                <w:szCs w:val="13"/>
                <w:color w:val="auto"/>
              </w:rPr>
              <w:t>10.13</w:t>
            </w:r>
            <w:r>
              <w:rPr>
                <w:rFonts w:ascii="Arial" w:cs="Arial" w:eastAsia="Arial" w:hAnsi="Arial"/>
                <w:sz w:val="16"/>
                <w:szCs w:val="16"/>
                <w:color w:val="auto"/>
                <w:vertAlign w:val="superscript"/>
              </w:rPr>
              <w:t>+</w:t>
            </w:r>
          </w:p>
        </w:tc>
        <w:tc>
          <w:tcPr>
            <w:tcW w:w="4520" w:type="dxa"/>
            <w:vAlign w:val="bottom"/>
            <w:gridSpan w:val="15"/>
          </w:tcPr>
          <w:p>
            <w:pPr>
              <w:spacing w:after="0"/>
              <w:rPr>
                <w:rFonts w:ascii="Arial" w:cs="Arial" w:eastAsia="Arial" w:hAnsi="Arial"/>
                <w:sz w:val="13"/>
                <w:szCs w:val="13"/>
                <w:color w:val="0000FF"/>
              </w:rPr>
            </w:pPr>
            <w:hyperlink r:id="rId192">
              <w:r>
                <w:rPr>
                  <w:rFonts w:ascii="Arial" w:cs="Arial" w:eastAsia="Arial" w:hAnsi="Arial"/>
                  <w:sz w:val="13"/>
                  <w:szCs w:val="13"/>
                  <w:color w:val="0000FF"/>
                </w:rPr>
                <w:t>Equity Purchase Agreement dated as of February 16, 2026, by and among</w:t>
              </w:r>
            </w:hyperlink>
          </w:p>
        </w:tc>
        <w:tc>
          <w:tcPr>
            <w:tcW w:w="580" w:type="dxa"/>
            <w:vAlign w:val="bottom"/>
            <w:vMerge w:val="restart"/>
          </w:tcPr>
          <w:p>
            <w:pPr>
              <w:spacing w:after="0"/>
              <w:rPr>
                <w:sz w:val="20"/>
                <w:szCs w:val="20"/>
                <w:color w:val="auto"/>
              </w:rPr>
            </w:pPr>
            <w:r>
              <w:rPr>
                <w:rFonts w:ascii="Arial" w:cs="Arial" w:eastAsia="Arial" w:hAnsi="Arial"/>
                <w:sz w:val="13"/>
                <w:szCs w:val="13"/>
                <w:color w:val="auto"/>
              </w:rPr>
              <w:t>8-K</w:t>
            </w:r>
          </w:p>
        </w:tc>
        <w:tc>
          <w:tcPr>
            <w:tcW w:w="1380" w:type="dxa"/>
            <w:vAlign w:val="bottom"/>
            <w:vMerge w:val="restart"/>
          </w:tcPr>
          <w:p>
            <w:pPr>
              <w:ind w:left="280"/>
              <w:spacing w:after="0"/>
              <w:rPr>
                <w:sz w:val="20"/>
                <w:szCs w:val="20"/>
                <w:color w:val="auto"/>
              </w:rPr>
            </w:pPr>
            <w:r>
              <w:rPr>
                <w:rFonts w:ascii="Arial" w:cs="Arial" w:eastAsia="Arial" w:hAnsi="Arial"/>
                <w:sz w:val="13"/>
                <w:szCs w:val="13"/>
                <w:color w:val="auto"/>
              </w:rPr>
              <w:t>001-42987</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10.1</w:t>
            </w:r>
          </w:p>
        </w:tc>
        <w:tc>
          <w:tcPr>
            <w:tcW w:w="2000" w:type="dxa"/>
            <w:vAlign w:val="bottom"/>
            <w:gridSpan w:val="2"/>
            <w:vMerge w:val="restart"/>
          </w:tcPr>
          <w:p>
            <w:pPr>
              <w:jc w:val="center"/>
              <w:ind w:right="417"/>
              <w:spacing w:after="0"/>
              <w:rPr>
                <w:sz w:val="20"/>
                <w:szCs w:val="20"/>
                <w:color w:val="auto"/>
              </w:rPr>
            </w:pPr>
            <w:r>
              <w:rPr>
                <w:rFonts w:ascii="Arial" w:cs="Arial" w:eastAsia="Arial" w:hAnsi="Arial"/>
                <w:sz w:val="13"/>
                <w:szCs w:val="13"/>
                <w:color w:val="auto"/>
                <w:w w:val="97"/>
              </w:rPr>
              <w:t>February 18, 2026</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8"/>
                <w:szCs w:val="18"/>
                <w:color w:val="auto"/>
                <w:vertAlign w:val="superscript"/>
              </w:rPr>
              <w:t>†</w:t>
            </w:r>
          </w:p>
        </w:tc>
        <w:tc>
          <w:tcPr>
            <w:tcW w:w="4220" w:type="dxa"/>
            <w:vAlign w:val="bottom"/>
            <w:tcBorders>
              <w:top w:val="single" w:sz="8" w:color="0000FF"/>
            </w:tcBorders>
            <w:gridSpan w:val="10"/>
          </w:tcPr>
          <w:p>
            <w:pPr>
              <w:spacing w:after="0" w:line="107" w:lineRule="exact"/>
              <w:rPr>
                <w:rFonts w:ascii="Arial" w:cs="Arial" w:eastAsia="Arial" w:hAnsi="Arial"/>
                <w:sz w:val="12"/>
                <w:szCs w:val="12"/>
                <w:color w:val="0000FF"/>
              </w:rPr>
            </w:pPr>
            <w:hyperlink r:id="rId192">
              <w:r>
                <w:rPr>
                  <w:rFonts w:ascii="Arial" w:cs="Arial" w:eastAsia="Arial" w:hAnsi="Arial"/>
                  <w:sz w:val="12"/>
                  <w:szCs w:val="12"/>
                  <w:color w:val="0000FF"/>
                </w:rPr>
                <w:t>Wealthfront Corporation and David Fortunato</w:t>
              </w:r>
              <w:r>
                <w:rPr>
                  <w:rFonts w:ascii="Arial" w:cs="Arial" w:eastAsia="Arial" w:hAnsi="Arial"/>
                  <w:sz w:val="12"/>
                  <w:szCs w:val="12"/>
                  <w:color w:val="000000"/>
                </w:rPr>
                <w:t>.</w:t>
              </w:r>
            </w:hyperlink>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vMerge w:val="continue"/>
          </w:tcPr>
          <w:p>
            <w:pPr>
              <w:spacing w:after="0"/>
              <w:rPr>
                <w:sz w:val="13"/>
                <w:szCs w:val="13"/>
                <w:color w:val="auto"/>
              </w:rPr>
            </w:pPr>
          </w:p>
        </w:tc>
        <w:tc>
          <w:tcPr>
            <w:tcW w:w="4520" w:type="dxa"/>
            <w:vAlign w:val="bottom"/>
            <w:gridSpan w:val="15"/>
          </w:tcPr>
          <w:p>
            <w:pPr>
              <w:spacing w:after="0"/>
              <w:rPr>
                <w:rFonts w:ascii="Arial" w:cs="Arial" w:eastAsia="Arial" w:hAnsi="Arial"/>
                <w:sz w:val="13"/>
                <w:szCs w:val="13"/>
                <w:color w:val="0000FF"/>
              </w:rPr>
            </w:pPr>
            <w:hyperlink r:id="rId193">
              <w:r>
                <w:rPr>
                  <w:rFonts w:ascii="Arial" w:cs="Arial" w:eastAsia="Arial" w:hAnsi="Arial"/>
                  <w:sz w:val="13"/>
                  <w:szCs w:val="13"/>
                  <w:color w:val="0000FF"/>
                </w:rPr>
                <w:t>Sublease, between Palantir Technologies Inc. and Wealthfront Corporation,</w:t>
              </w:r>
            </w:hyperlink>
          </w:p>
        </w:tc>
        <w:tc>
          <w:tcPr>
            <w:tcW w:w="580" w:type="dxa"/>
            <w:vAlign w:val="bottom"/>
            <w:vMerge w:val="restart"/>
          </w:tcPr>
          <w:p>
            <w:pPr>
              <w:spacing w:after="0"/>
              <w:rPr>
                <w:sz w:val="20"/>
                <w:szCs w:val="20"/>
                <w:color w:val="auto"/>
              </w:rPr>
            </w:pPr>
            <w:r>
              <w:rPr>
                <w:rFonts w:ascii="Arial" w:cs="Arial" w:eastAsia="Arial" w:hAnsi="Arial"/>
                <w:sz w:val="13"/>
                <w:szCs w:val="13"/>
                <w:color w:val="auto"/>
              </w:rPr>
              <w:t>S-1</w:t>
            </w:r>
          </w:p>
        </w:tc>
        <w:tc>
          <w:tcPr>
            <w:tcW w:w="1380" w:type="dxa"/>
            <w:vAlign w:val="bottom"/>
            <w:vMerge w:val="restart"/>
          </w:tcPr>
          <w:p>
            <w:pPr>
              <w:ind w:left="280"/>
              <w:spacing w:after="0"/>
              <w:rPr>
                <w:sz w:val="20"/>
                <w:szCs w:val="20"/>
                <w:color w:val="auto"/>
              </w:rPr>
            </w:pPr>
            <w:r>
              <w:rPr>
                <w:rFonts w:ascii="Arial" w:cs="Arial" w:eastAsia="Arial" w:hAnsi="Arial"/>
                <w:sz w:val="13"/>
                <w:szCs w:val="13"/>
                <w:color w:val="auto"/>
              </w:rPr>
              <w:t>333-290583</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10.11</w:t>
            </w:r>
          </w:p>
        </w:tc>
        <w:tc>
          <w:tcPr>
            <w:tcW w:w="2000" w:type="dxa"/>
            <w:vAlign w:val="bottom"/>
            <w:gridSpan w:val="2"/>
            <w:vMerge w:val="restart"/>
          </w:tcPr>
          <w:p>
            <w:pPr>
              <w:jc w:val="center"/>
              <w:ind w:right="417"/>
              <w:spacing w:after="0"/>
              <w:rPr>
                <w:sz w:val="20"/>
                <w:szCs w:val="20"/>
                <w:color w:val="auto"/>
              </w:rPr>
            </w:pPr>
            <w:r>
              <w:rPr>
                <w:rFonts w:ascii="Arial" w:cs="Arial" w:eastAsia="Arial" w:hAnsi="Arial"/>
                <w:sz w:val="13"/>
                <w:szCs w:val="13"/>
                <w:color w:val="auto"/>
                <w:w w:val="98"/>
              </w:rPr>
              <w:t>September 29, 2025</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240" w:type="dxa"/>
            <w:vAlign w:val="bottom"/>
            <w:tcBorders>
              <w:top w:val="single" w:sz="8" w:color="0000FF"/>
            </w:tcBorders>
            <w:gridSpan w:val="11"/>
          </w:tcPr>
          <w:p>
            <w:pPr>
              <w:spacing w:after="0" w:line="107" w:lineRule="exact"/>
              <w:rPr>
                <w:rFonts w:ascii="Arial" w:cs="Arial" w:eastAsia="Arial" w:hAnsi="Arial"/>
                <w:sz w:val="12"/>
                <w:szCs w:val="12"/>
                <w:color w:val="0000FF"/>
              </w:rPr>
            </w:pPr>
            <w:hyperlink r:id="rId193">
              <w:r>
                <w:rPr>
                  <w:rFonts w:ascii="Arial" w:cs="Arial" w:eastAsia="Arial" w:hAnsi="Arial"/>
                  <w:sz w:val="12"/>
                  <w:szCs w:val="12"/>
                  <w:color w:val="0000FF"/>
                </w:rPr>
                <w:t>dated October 12, 2018.</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19.1</w:t>
            </w:r>
          </w:p>
        </w:tc>
        <w:tc>
          <w:tcPr>
            <w:tcW w:w="12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color w:val="0000FF"/>
                <w:w w:val="94"/>
              </w:rPr>
              <w:t>Insider Trading Policy.</w:t>
            </w:r>
          </w:p>
        </w:tc>
        <w:tc>
          <w:tcPr>
            <w:tcW w:w="120" w:type="dxa"/>
            <w:vAlign w:val="bottom"/>
            <w:tcBorders>
              <w:top w:val="single" w:sz="8" w:color="0000FF"/>
            </w:tcBorders>
          </w:tcPr>
          <w:p>
            <w:pPr>
              <w:spacing w:after="0"/>
              <w:rPr>
                <w:sz w:val="13"/>
                <w:szCs w:val="13"/>
                <w:color w:val="auto"/>
              </w:rPr>
            </w:pPr>
          </w:p>
        </w:tc>
        <w:tc>
          <w:tcPr>
            <w:tcW w:w="3160" w:type="dxa"/>
            <w:vAlign w:val="bottom"/>
            <w:gridSpan w:val="12"/>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21.1</w:t>
            </w:r>
          </w:p>
        </w:tc>
        <w:tc>
          <w:tcPr>
            <w:tcW w:w="170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6"/>
              </w:rPr>
              <w:t>Subsidiaries of the Registrant.</w:t>
            </w:r>
          </w:p>
        </w:tc>
        <w:tc>
          <w:tcPr>
            <w:tcW w:w="2820" w:type="dxa"/>
            <w:vAlign w:val="bottom"/>
            <w:gridSpan w:val="11"/>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23.1</w:t>
            </w:r>
          </w:p>
        </w:tc>
        <w:tc>
          <w:tcPr>
            <w:tcW w:w="4380" w:type="dxa"/>
            <w:vAlign w:val="bottom"/>
            <w:tcBorders>
              <w:bottom w:val="single" w:sz="8" w:color="0000FF"/>
            </w:tcBorders>
            <w:gridSpan w:val="13"/>
          </w:tcPr>
          <w:p>
            <w:pPr>
              <w:spacing w:after="0"/>
              <w:rPr>
                <w:sz w:val="20"/>
                <w:szCs w:val="20"/>
                <w:color w:val="auto"/>
              </w:rPr>
            </w:pPr>
            <w:r>
              <w:rPr>
                <w:rFonts w:ascii="Arial" w:cs="Arial" w:eastAsia="Arial" w:hAnsi="Arial"/>
                <w:sz w:val="13"/>
                <w:szCs w:val="13"/>
                <w:color w:val="0000FF"/>
                <w:w w:val="96"/>
              </w:rPr>
              <w:t>Consent of Ernst &amp; Young LLP, independent registered public accounting firm.</w:t>
            </w:r>
          </w:p>
        </w:tc>
        <w:tc>
          <w:tcPr>
            <w:tcW w:w="14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9"/>
        </w:trPr>
        <w:tc>
          <w:tcPr>
            <w:tcW w:w="1140" w:type="dxa"/>
            <w:vAlign w:val="bottom"/>
          </w:tcPr>
          <w:p>
            <w:pPr>
              <w:spacing w:after="0" w:line="139" w:lineRule="exact"/>
              <w:rPr>
                <w:sz w:val="20"/>
                <w:szCs w:val="20"/>
                <w:color w:val="auto"/>
              </w:rPr>
            </w:pPr>
            <w:r>
              <w:rPr>
                <w:rFonts w:ascii="Arial" w:cs="Arial" w:eastAsia="Arial" w:hAnsi="Arial"/>
                <w:sz w:val="13"/>
                <w:szCs w:val="13"/>
                <w:color w:val="auto"/>
              </w:rPr>
              <w:t>24.1</w:t>
            </w:r>
          </w:p>
        </w:tc>
        <w:tc>
          <w:tcPr>
            <w:tcW w:w="4520" w:type="dxa"/>
            <w:vAlign w:val="bottom"/>
            <w:gridSpan w:val="15"/>
          </w:tcPr>
          <w:p>
            <w:pPr>
              <w:spacing w:after="0" w:line="139" w:lineRule="exact"/>
              <w:rPr>
                <w:sz w:val="20"/>
                <w:szCs w:val="20"/>
                <w:color w:val="auto"/>
              </w:rPr>
            </w:pPr>
            <w:r>
              <w:rPr>
                <w:rFonts w:ascii="Arial" w:cs="Arial" w:eastAsia="Arial" w:hAnsi="Arial"/>
                <w:sz w:val="13"/>
                <w:szCs w:val="13"/>
                <w:color w:val="auto"/>
              </w:rPr>
              <w:t>Power of Attorney (incorporated by reference to the signature page of this</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520" w:type="dxa"/>
            <w:vAlign w:val="bottom"/>
            <w:gridSpan w:val="15"/>
          </w:tcPr>
          <w:p>
            <w:pPr>
              <w:spacing w:after="0"/>
              <w:rPr>
                <w:sz w:val="20"/>
                <w:szCs w:val="20"/>
                <w:color w:val="auto"/>
              </w:rPr>
            </w:pPr>
            <w:r>
              <w:rPr>
                <w:rFonts w:ascii="Arial" w:cs="Arial" w:eastAsia="Arial" w:hAnsi="Arial"/>
                <w:sz w:val="13"/>
                <w:szCs w:val="13"/>
                <w:color w:val="auto"/>
              </w:rPr>
              <w:t>Annual Report on Form 10-K).</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40" w:type="dxa"/>
            <w:vAlign w:val="bottom"/>
          </w:tcPr>
          <w:p>
            <w:pPr>
              <w:spacing w:after="0" w:line="141" w:lineRule="exact"/>
              <w:rPr>
                <w:sz w:val="20"/>
                <w:szCs w:val="20"/>
                <w:color w:val="auto"/>
              </w:rPr>
            </w:pPr>
            <w:r>
              <w:rPr>
                <w:rFonts w:ascii="Arial" w:cs="Arial" w:eastAsia="Arial" w:hAnsi="Arial"/>
                <w:sz w:val="13"/>
                <w:szCs w:val="13"/>
                <w:color w:val="auto"/>
              </w:rPr>
              <w:t>31.1</w:t>
            </w:r>
          </w:p>
        </w:tc>
        <w:tc>
          <w:tcPr>
            <w:tcW w:w="4520" w:type="dxa"/>
            <w:vAlign w:val="bottom"/>
            <w:gridSpan w:val="15"/>
          </w:tcPr>
          <w:p>
            <w:pPr>
              <w:spacing w:after="0" w:line="141" w:lineRule="exact"/>
              <w:rPr>
                <w:sz w:val="20"/>
                <w:szCs w:val="20"/>
                <w:color w:val="auto"/>
              </w:rPr>
            </w:pPr>
            <w:r>
              <w:rPr>
                <w:rFonts w:ascii="Arial" w:cs="Arial" w:eastAsia="Arial" w:hAnsi="Arial"/>
                <w:sz w:val="13"/>
                <w:szCs w:val="13"/>
                <w:color w:val="0000FF"/>
              </w:rPr>
              <w:t>Certification of Principal Executive Officer pursuant to Rules 13a-14(a) and</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200" w:type="dxa"/>
            <w:vAlign w:val="bottom"/>
            <w:tcBorders>
              <w:top w:val="single" w:sz="8" w:color="0000FF"/>
            </w:tcBorders>
            <w:gridSpan w:val="9"/>
          </w:tcPr>
          <w:p>
            <w:pPr>
              <w:spacing w:after="0" w:line="107" w:lineRule="exact"/>
              <w:rPr>
                <w:sz w:val="20"/>
                <w:szCs w:val="20"/>
                <w:color w:val="auto"/>
              </w:rPr>
            </w:pPr>
            <w:r>
              <w:rPr>
                <w:rFonts w:ascii="Arial" w:cs="Arial" w:eastAsia="Arial" w:hAnsi="Arial"/>
                <w:sz w:val="12"/>
                <w:szCs w:val="12"/>
                <w:color w:val="0000FF"/>
              </w:rPr>
              <w:t>15d-14(a) under the Exchange Act, as adopted pursuant to Section 302 of</w:t>
            </w:r>
          </w:p>
        </w:tc>
        <w:tc>
          <w:tcPr>
            <w:tcW w:w="320" w:type="dxa"/>
            <w:vAlign w:val="bottom"/>
            <w:gridSpan w:val="6"/>
          </w:tcPr>
          <w:p>
            <w:pPr>
              <w:spacing w:after="0" w:line="107" w:lineRule="exact"/>
              <w:rPr>
                <w:sz w:val="20"/>
                <w:szCs w:val="20"/>
                <w:color w:val="auto"/>
              </w:rPr>
            </w:pPr>
            <w:r>
              <w:rPr>
                <w:rFonts w:ascii="Arial" w:cs="Arial" w:eastAsia="Arial" w:hAnsi="Arial"/>
                <w:sz w:val="12"/>
                <w:szCs w:val="12"/>
                <w:color w:val="0000FF"/>
              </w:rPr>
              <w:t>the</w:t>
            </w: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380" w:type="dxa"/>
            <w:vAlign w:val="bottom"/>
            <w:tcBorders>
              <w:top w:val="single" w:sz="8" w:color="0000FF"/>
            </w:tcBorders>
            <w:gridSpan w:val="13"/>
          </w:tcPr>
          <w:p>
            <w:pPr>
              <w:spacing w:after="0" w:line="107" w:lineRule="exact"/>
              <w:rPr>
                <w:sz w:val="20"/>
                <w:szCs w:val="20"/>
                <w:color w:val="auto"/>
              </w:rPr>
            </w:pPr>
            <w:r>
              <w:rPr>
                <w:rFonts w:ascii="Arial" w:cs="Arial" w:eastAsia="Arial" w:hAnsi="Arial"/>
                <w:sz w:val="12"/>
                <w:szCs w:val="12"/>
                <w:color w:val="0000FF"/>
              </w:rPr>
              <w:t>Sarbanes-Oxley Act.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31.2</w:t>
            </w:r>
          </w:p>
        </w:tc>
        <w:tc>
          <w:tcPr>
            <w:tcW w:w="4520" w:type="dxa"/>
            <w:vAlign w:val="bottom"/>
            <w:gridSpan w:val="15"/>
          </w:tcPr>
          <w:p>
            <w:pPr>
              <w:spacing w:after="0"/>
              <w:rPr>
                <w:sz w:val="20"/>
                <w:szCs w:val="20"/>
                <w:color w:val="auto"/>
              </w:rPr>
            </w:pPr>
            <w:r>
              <w:rPr>
                <w:rFonts w:ascii="Arial" w:cs="Arial" w:eastAsia="Arial" w:hAnsi="Arial"/>
                <w:sz w:val="13"/>
                <w:szCs w:val="13"/>
                <w:color w:val="0000FF"/>
              </w:rPr>
              <w:t>Certification of Principal Financial Officer pursuant to Rules 13a-14(a) and</w:t>
            </w: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160" w:type="dxa"/>
            <w:vAlign w:val="bottom"/>
            <w:tcBorders>
              <w:top w:val="single" w:sz="8" w:color="0000FF"/>
            </w:tcBorders>
            <w:gridSpan w:val="8"/>
          </w:tcPr>
          <w:p>
            <w:pPr>
              <w:spacing w:after="0" w:line="107" w:lineRule="exact"/>
              <w:rPr>
                <w:sz w:val="20"/>
                <w:szCs w:val="20"/>
                <w:color w:val="auto"/>
              </w:rPr>
            </w:pPr>
            <w:r>
              <w:rPr>
                <w:rFonts w:ascii="Arial" w:cs="Arial" w:eastAsia="Arial" w:hAnsi="Arial"/>
                <w:sz w:val="12"/>
                <w:szCs w:val="12"/>
                <w:color w:val="0000FF"/>
              </w:rPr>
              <w:t>15d-14(a) under the Exchange Act, as adopted pursuant to Section 302 of</w:t>
            </w:r>
          </w:p>
        </w:tc>
        <w:tc>
          <w:tcPr>
            <w:tcW w:w="360" w:type="dxa"/>
            <w:vAlign w:val="bottom"/>
            <w:gridSpan w:val="7"/>
          </w:tcPr>
          <w:p>
            <w:pPr>
              <w:ind w:left="40"/>
              <w:spacing w:after="0" w:line="107" w:lineRule="exact"/>
              <w:rPr>
                <w:sz w:val="20"/>
                <w:szCs w:val="20"/>
                <w:color w:val="auto"/>
              </w:rPr>
            </w:pPr>
            <w:r>
              <w:rPr>
                <w:rFonts w:ascii="Arial" w:cs="Arial" w:eastAsia="Arial" w:hAnsi="Arial"/>
                <w:sz w:val="12"/>
                <w:szCs w:val="12"/>
                <w:color w:val="0000FF"/>
              </w:rPr>
              <w:t>the</w:t>
            </w: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380" w:type="dxa"/>
            <w:vAlign w:val="bottom"/>
            <w:tcBorders>
              <w:top w:val="single" w:sz="8" w:color="0000FF"/>
            </w:tcBorders>
            <w:gridSpan w:val="13"/>
          </w:tcPr>
          <w:p>
            <w:pPr>
              <w:spacing w:after="0" w:line="107" w:lineRule="exact"/>
              <w:rPr>
                <w:sz w:val="20"/>
                <w:szCs w:val="20"/>
                <w:color w:val="auto"/>
              </w:rPr>
            </w:pPr>
            <w:r>
              <w:rPr>
                <w:rFonts w:ascii="Arial" w:cs="Arial" w:eastAsia="Arial" w:hAnsi="Arial"/>
                <w:sz w:val="12"/>
                <w:szCs w:val="12"/>
                <w:color w:val="0000FF"/>
              </w:rPr>
              <w:t>Sarbanes-Oxley Act.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32.1*</w:t>
            </w:r>
          </w:p>
        </w:tc>
        <w:tc>
          <w:tcPr>
            <w:tcW w:w="4520" w:type="dxa"/>
            <w:vAlign w:val="bottom"/>
            <w:gridSpan w:val="15"/>
          </w:tcPr>
          <w:p>
            <w:pPr>
              <w:spacing w:after="0"/>
              <w:rPr>
                <w:sz w:val="20"/>
                <w:szCs w:val="20"/>
                <w:color w:val="auto"/>
              </w:rPr>
            </w:pPr>
            <w:r>
              <w:rPr>
                <w:rFonts w:ascii="Arial" w:cs="Arial" w:eastAsia="Arial" w:hAnsi="Arial"/>
                <w:sz w:val="13"/>
                <w:szCs w:val="13"/>
                <w:color w:val="0000FF"/>
                <w:w w:val="99"/>
              </w:rPr>
              <w:t>Certification of Principal Executive Officer pursuant to 18 U.S.C. Section 1350,</w:t>
            </w: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400" w:type="dxa"/>
            <w:vAlign w:val="bottom"/>
            <w:tcBorders>
              <w:top w:val="single" w:sz="8" w:color="0000FF"/>
            </w:tcBorders>
            <w:gridSpan w:val="14"/>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32.2 *</w:t>
            </w:r>
          </w:p>
        </w:tc>
        <w:tc>
          <w:tcPr>
            <w:tcW w:w="4520" w:type="dxa"/>
            <w:vAlign w:val="bottom"/>
            <w:gridSpan w:val="15"/>
          </w:tcPr>
          <w:p>
            <w:pPr>
              <w:spacing w:after="0"/>
              <w:rPr>
                <w:sz w:val="20"/>
                <w:szCs w:val="20"/>
                <w:color w:val="auto"/>
              </w:rPr>
            </w:pPr>
            <w:r>
              <w:rPr>
                <w:rFonts w:ascii="Arial" w:cs="Arial" w:eastAsia="Arial" w:hAnsi="Arial"/>
                <w:sz w:val="13"/>
                <w:szCs w:val="13"/>
                <w:color w:val="0000FF"/>
              </w:rPr>
              <w:t>Certification of Principal Financial Officer pursuant to 18 U.S.C. Section 1350,</w:t>
            </w: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40" w:type="dxa"/>
            <w:vAlign w:val="bottom"/>
          </w:tcPr>
          <w:p>
            <w:pPr>
              <w:spacing w:after="0"/>
              <w:rPr>
                <w:sz w:val="9"/>
                <w:szCs w:val="9"/>
                <w:color w:val="auto"/>
              </w:rPr>
            </w:pPr>
          </w:p>
        </w:tc>
        <w:tc>
          <w:tcPr>
            <w:tcW w:w="4360" w:type="dxa"/>
            <w:vAlign w:val="bottom"/>
            <w:tcBorders>
              <w:top w:val="single" w:sz="8" w:color="0000FF"/>
            </w:tcBorders>
            <w:gridSpan w:val="12"/>
          </w:tcPr>
          <w:p>
            <w:pPr>
              <w:spacing w:after="0" w:line="107" w:lineRule="exact"/>
              <w:rPr>
                <w:sz w:val="20"/>
                <w:szCs w:val="20"/>
                <w:color w:val="auto"/>
              </w:rPr>
            </w:pPr>
            <w:r>
              <w:rPr>
                <w:rFonts w:ascii="Arial" w:cs="Arial" w:eastAsia="Arial" w:hAnsi="Arial"/>
                <w:sz w:val="12"/>
                <w:szCs w:val="12"/>
                <w:color w:val="0000FF"/>
              </w:rPr>
              <w:t>as adopted pursuant to Section 906 of the Sarbanes-Oxley Act.</w:t>
            </w:r>
          </w:p>
        </w:tc>
        <w:tc>
          <w:tcPr>
            <w:tcW w:w="160" w:type="dxa"/>
            <w:vAlign w:val="bottom"/>
            <w:gridSpan w:val="3"/>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20"/>
                <w:szCs w:val="20"/>
                <w:color w:val="auto"/>
              </w:rPr>
            </w:pPr>
            <w:r>
              <w:rPr>
                <w:rFonts w:ascii="Arial" w:cs="Arial" w:eastAsia="Arial" w:hAnsi="Arial"/>
                <w:sz w:val="13"/>
                <w:szCs w:val="13"/>
                <w:color w:val="auto"/>
              </w:rPr>
              <w:t>97.1</w:t>
            </w:r>
          </w:p>
        </w:tc>
        <w:tc>
          <w:tcPr>
            <w:tcW w:w="3560" w:type="dxa"/>
            <w:vAlign w:val="bottom"/>
            <w:tcBorders>
              <w:top w:val="single" w:sz="8" w:color="0000FF"/>
            </w:tcBorders>
            <w:gridSpan w:val="7"/>
          </w:tcPr>
          <w:p>
            <w:pPr>
              <w:spacing w:after="0"/>
              <w:rPr>
                <w:sz w:val="20"/>
                <w:szCs w:val="20"/>
                <w:color w:val="auto"/>
              </w:rPr>
            </w:pPr>
            <w:r>
              <w:rPr>
                <w:rFonts w:ascii="Arial" w:cs="Arial" w:eastAsia="Arial" w:hAnsi="Arial"/>
                <w:sz w:val="13"/>
                <w:szCs w:val="13"/>
                <w:color w:val="0000FF"/>
              </w:rPr>
              <w:t>Compensation Recovery Policy.</w:t>
            </w:r>
          </w:p>
        </w:tc>
        <w:tc>
          <w:tcPr>
            <w:tcW w:w="960" w:type="dxa"/>
            <w:vAlign w:val="bottom"/>
            <w:gridSpan w:val="8"/>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40" w:type="dxa"/>
            <w:vAlign w:val="bottom"/>
          </w:tcPr>
          <w:p>
            <w:pPr>
              <w:spacing w:after="0" w:line="139" w:lineRule="exact"/>
              <w:rPr>
                <w:sz w:val="20"/>
                <w:szCs w:val="20"/>
                <w:color w:val="auto"/>
              </w:rPr>
            </w:pPr>
            <w:r>
              <w:rPr>
                <w:rFonts w:ascii="Arial" w:cs="Arial" w:eastAsia="Arial" w:hAnsi="Arial"/>
                <w:sz w:val="13"/>
                <w:szCs w:val="13"/>
                <w:color w:val="auto"/>
              </w:rPr>
              <w:t>101.INS</w:t>
            </w:r>
          </w:p>
        </w:tc>
        <w:tc>
          <w:tcPr>
            <w:tcW w:w="4520" w:type="dxa"/>
            <w:vAlign w:val="bottom"/>
            <w:gridSpan w:val="15"/>
          </w:tcPr>
          <w:p>
            <w:pPr>
              <w:spacing w:after="0" w:line="139" w:lineRule="exact"/>
              <w:rPr>
                <w:sz w:val="20"/>
                <w:szCs w:val="20"/>
                <w:color w:val="auto"/>
              </w:rPr>
            </w:pPr>
            <w:r>
              <w:rPr>
                <w:rFonts w:ascii="Arial" w:cs="Arial" w:eastAsia="Arial" w:hAnsi="Arial"/>
                <w:sz w:val="13"/>
                <w:szCs w:val="13"/>
                <w:color w:val="auto"/>
              </w:rPr>
              <w:t>Inline XBRL Instance Document (the instance document does not appear in</w:t>
            </w:r>
          </w:p>
        </w:tc>
        <w:tc>
          <w:tcPr>
            <w:tcW w:w="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40" w:type="dxa"/>
            <w:vAlign w:val="bottom"/>
          </w:tcPr>
          <w:p>
            <w:pPr>
              <w:spacing w:after="0"/>
              <w:rPr>
                <w:sz w:val="11"/>
                <w:szCs w:val="11"/>
                <w:color w:val="auto"/>
              </w:rPr>
            </w:pPr>
          </w:p>
        </w:tc>
        <w:tc>
          <w:tcPr>
            <w:tcW w:w="4520" w:type="dxa"/>
            <w:vAlign w:val="bottom"/>
            <w:gridSpan w:val="15"/>
          </w:tcPr>
          <w:p>
            <w:pPr>
              <w:spacing w:after="0" w:line="128" w:lineRule="exact"/>
              <w:rPr>
                <w:sz w:val="20"/>
                <w:szCs w:val="20"/>
                <w:color w:val="auto"/>
              </w:rPr>
            </w:pPr>
            <w:r>
              <w:rPr>
                <w:rFonts w:ascii="Arial" w:cs="Arial" w:eastAsia="Arial" w:hAnsi="Arial"/>
                <w:sz w:val="13"/>
                <w:szCs w:val="13"/>
                <w:color w:val="auto"/>
              </w:rPr>
              <w:t>the Interactive Data File because its XBRL tags are embedded within the</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520" w:type="dxa"/>
            <w:vAlign w:val="bottom"/>
            <w:gridSpan w:val="15"/>
          </w:tcPr>
          <w:p>
            <w:pPr>
              <w:spacing w:after="0"/>
              <w:rPr>
                <w:sz w:val="20"/>
                <w:szCs w:val="20"/>
                <w:color w:val="auto"/>
              </w:rPr>
            </w:pPr>
            <w:r>
              <w:rPr>
                <w:rFonts w:ascii="Arial" w:cs="Arial" w:eastAsia="Arial" w:hAnsi="Arial"/>
                <w:sz w:val="13"/>
                <w:szCs w:val="13"/>
                <w:color w:val="auto"/>
              </w:rPr>
              <w:t>Inline XBRL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40" w:type="dxa"/>
            <w:vAlign w:val="bottom"/>
          </w:tcPr>
          <w:p>
            <w:pPr>
              <w:spacing w:after="0"/>
              <w:rPr>
                <w:sz w:val="20"/>
                <w:szCs w:val="20"/>
                <w:color w:val="auto"/>
              </w:rPr>
            </w:pPr>
            <w:r>
              <w:rPr>
                <w:rFonts w:ascii="Arial" w:cs="Arial" w:eastAsia="Arial" w:hAnsi="Arial"/>
                <w:sz w:val="13"/>
                <w:szCs w:val="13"/>
                <w:color w:val="auto"/>
              </w:rPr>
              <w:t>101.SCH</w:t>
            </w:r>
          </w:p>
        </w:tc>
        <w:tc>
          <w:tcPr>
            <w:tcW w:w="4520" w:type="dxa"/>
            <w:vAlign w:val="bottom"/>
            <w:gridSpan w:val="15"/>
          </w:tcPr>
          <w:p>
            <w:pPr>
              <w:spacing w:after="0"/>
              <w:rPr>
                <w:sz w:val="20"/>
                <w:szCs w:val="20"/>
                <w:color w:val="auto"/>
              </w:rPr>
            </w:pPr>
            <w:r>
              <w:rPr>
                <w:rFonts w:ascii="Arial" w:cs="Arial" w:eastAsia="Arial" w:hAnsi="Arial"/>
                <w:sz w:val="13"/>
                <w:szCs w:val="13"/>
                <w:color w:val="auto"/>
              </w:rPr>
              <w:t>iXBRL Taxonomy Extension Schema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20"/>
                <w:szCs w:val="20"/>
                <w:color w:val="auto"/>
              </w:rPr>
            </w:pPr>
            <w:r>
              <w:rPr>
                <w:rFonts w:ascii="Arial" w:cs="Arial" w:eastAsia="Arial" w:hAnsi="Arial"/>
                <w:sz w:val="13"/>
                <w:szCs w:val="13"/>
                <w:color w:val="auto"/>
              </w:rPr>
              <w:t>101.CAL</w:t>
            </w:r>
          </w:p>
        </w:tc>
        <w:tc>
          <w:tcPr>
            <w:tcW w:w="4520" w:type="dxa"/>
            <w:vAlign w:val="bottom"/>
            <w:gridSpan w:val="15"/>
          </w:tcPr>
          <w:p>
            <w:pPr>
              <w:spacing w:after="0"/>
              <w:rPr>
                <w:sz w:val="20"/>
                <w:szCs w:val="20"/>
                <w:color w:val="auto"/>
              </w:rPr>
            </w:pPr>
            <w:r>
              <w:rPr>
                <w:rFonts w:ascii="Arial" w:cs="Arial" w:eastAsia="Arial" w:hAnsi="Arial"/>
                <w:sz w:val="13"/>
                <w:szCs w:val="13"/>
                <w:color w:val="auto"/>
              </w:rPr>
              <w:t>iXBRL Taxonomy Extension Calculation Linkbase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20"/>
                <w:szCs w:val="20"/>
                <w:color w:val="auto"/>
              </w:rPr>
            </w:pPr>
            <w:r>
              <w:rPr>
                <w:rFonts w:ascii="Arial" w:cs="Arial" w:eastAsia="Arial" w:hAnsi="Arial"/>
                <w:sz w:val="13"/>
                <w:szCs w:val="13"/>
                <w:color w:val="auto"/>
              </w:rPr>
              <w:t>101.DEF</w:t>
            </w:r>
          </w:p>
        </w:tc>
        <w:tc>
          <w:tcPr>
            <w:tcW w:w="4520" w:type="dxa"/>
            <w:vAlign w:val="bottom"/>
            <w:gridSpan w:val="15"/>
          </w:tcPr>
          <w:p>
            <w:pPr>
              <w:spacing w:after="0"/>
              <w:rPr>
                <w:sz w:val="20"/>
                <w:szCs w:val="20"/>
                <w:color w:val="auto"/>
              </w:rPr>
            </w:pPr>
            <w:r>
              <w:rPr>
                <w:rFonts w:ascii="Arial" w:cs="Arial" w:eastAsia="Arial" w:hAnsi="Arial"/>
                <w:sz w:val="13"/>
                <w:szCs w:val="13"/>
                <w:color w:val="auto"/>
              </w:rPr>
              <w:t>iXBRL Taxonomy Extension Definition Linkbase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20"/>
                <w:szCs w:val="20"/>
                <w:color w:val="auto"/>
              </w:rPr>
            </w:pPr>
            <w:r>
              <w:rPr>
                <w:rFonts w:ascii="Arial" w:cs="Arial" w:eastAsia="Arial" w:hAnsi="Arial"/>
                <w:sz w:val="13"/>
                <w:szCs w:val="13"/>
                <w:color w:val="auto"/>
              </w:rPr>
              <w:t>101.LAB</w:t>
            </w:r>
          </w:p>
        </w:tc>
        <w:tc>
          <w:tcPr>
            <w:tcW w:w="4520" w:type="dxa"/>
            <w:vAlign w:val="bottom"/>
            <w:gridSpan w:val="15"/>
          </w:tcPr>
          <w:p>
            <w:pPr>
              <w:spacing w:after="0"/>
              <w:rPr>
                <w:sz w:val="20"/>
                <w:szCs w:val="20"/>
                <w:color w:val="auto"/>
              </w:rPr>
            </w:pPr>
            <w:r>
              <w:rPr>
                <w:rFonts w:ascii="Arial" w:cs="Arial" w:eastAsia="Arial" w:hAnsi="Arial"/>
                <w:sz w:val="13"/>
                <w:szCs w:val="13"/>
                <w:color w:val="auto"/>
              </w:rPr>
              <w:t>iXBRL Taxonomy Extension Label Linkbase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20"/>
                <w:szCs w:val="20"/>
                <w:color w:val="auto"/>
              </w:rPr>
            </w:pPr>
            <w:r>
              <w:rPr>
                <w:rFonts w:ascii="Arial" w:cs="Arial" w:eastAsia="Arial" w:hAnsi="Arial"/>
                <w:sz w:val="13"/>
                <w:szCs w:val="13"/>
                <w:color w:val="auto"/>
              </w:rPr>
              <w:t>101.PRE</w:t>
            </w:r>
          </w:p>
        </w:tc>
        <w:tc>
          <w:tcPr>
            <w:tcW w:w="4520" w:type="dxa"/>
            <w:vAlign w:val="bottom"/>
            <w:gridSpan w:val="15"/>
          </w:tcPr>
          <w:p>
            <w:pPr>
              <w:spacing w:after="0"/>
              <w:rPr>
                <w:sz w:val="20"/>
                <w:szCs w:val="20"/>
                <w:color w:val="auto"/>
              </w:rPr>
            </w:pPr>
            <w:r>
              <w:rPr>
                <w:rFonts w:ascii="Arial" w:cs="Arial" w:eastAsia="Arial" w:hAnsi="Arial"/>
                <w:sz w:val="13"/>
                <w:szCs w:val="13"/>
                <w:color w:val="auto"/>
              </w:rPr>
              <w:t>iXBRL Taxonomy Extension Presentation Linkbase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30"/>
        </w:trPr>
        <w:tc>
          <w:tcPr>
            <w:tcW w:w="1140" w:type="dxa"/>
            <w:vAlign w:val="bottom"/>
          </w:tcPr>
          <w:p>
            <w:pPr>
              <w:spacing w:after="0" w:line="130" w:lineRule="exact"/>
              <w:rPr>
                <w:sz w:val="20"/>
                <w:szCs w:val="20"/>
                <w:color w:val="auto"/>
              </w:rPr>
            </w:pPr>
            <w:r>
              <w:rPr>
                <w:rFonts w:ascii="Arial" w:cs="Arial" w:eastAsia="Arial" w:hAnsi="Arial"/>
                <w:sz w:val="13"/>
                <w:szCs w:val="13"/>
                <w:color w:val="auto"/>
              </w:rPr>
              <w:t>104</w:t>
            </w:r>
          </w:p>
        </w:tc>
        <w:tc>
          <w:tcPr>
            <w:tcW w:w="4520" w:type="dxa"/>
            <w:vAlign w:val="bottom"/>
            <w:gridSpan w:val="15"/>
          </w:tcPr>
          <w:p>
            <w:pPr>
              <w:spacing w:after="0" w:line="130" w:lineRule="exact"/>
              <w:rPr>
                <w:sz w:val="20"/>
                <w:szCs w:val="20"/>
                <w:color w:val="auto"/>
              </w:rPr>
            </w:pPr>
            <w:r>
              <w:rPr>
                <w:rFonts w:ascii="Arial" w:cs="Arial" w:eastAsia="Arial" w:hAnsi="Arial"/>
                <w:sz w:val="13"/>
                <w:szCs w:val="13"/>
                <w:color w:val="auto"/>
              </w:rPr>
              <w:t>Cover Page Interactive Data File - the cover page XBRL tags are embedded</w:t>
            </w:r>
          </w:p>
        </w:tc>
        <w:tc>
          <w:tcPr>
            <w:tcW w:w="5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vMerge w:val="restart"/>
          </w:tcPr>
          <w:p>
            <w:pPr>
              <w:ind w:left="5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520" w:type="dxa"/>
            <w:vAlign w:val="bottom"/>
            <w:gridSpan w:val="15"/>
          </w:tcPr>
          <w:p>
            <w:pPr>
              <w:spacing w:after="0"/>
              <w:rPr>
                <w:sz w:val="20"/>
                <w:szCs w:val="20"/>
                <w:color w:val="auto"/>
              </w:rPr>
            </w:pPr>
            <w:r>
              <w:rPr>
                <w:rFonts w:ascii="Arial" w:cs="Arial" w:eastAsia="Arial" w:hAnsi="Arial"/>
                <w:sz w:val="13"/>
                <w:szCs w:val="13"/>
                <w:color w:val="auto"/>
              </w:rPr>
              <w:t>within the Inline XBRL document.</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hanging="255"/>
        <w:spacing w:after="0" w:line="247" w:lineRule="auto"/>
        <w:tabs>
          <w:tab w:leader="none" w:pos="256"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This certification is not deemed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hanging="255"/>
        <w:spacing w:after="0" w:line="253" w:lineRule="auto"/>
        <w:tabs>
          <w:tab w:leader="none" w:pos="256" w:val="left"/>
        </w:tabs>
        <w:numPr>
          <w:ilvl w:val="0"/>
          <w:numId w:val="42"/>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Item 601(a)(5) of Regulation S-K, and we agree to furnish supplementally to the SEC a copy of any omitted schedules or exhibits upon request.</w:t>
      </w:r>
    </w:p>
    <w:p>
      <w:pPr>
        <w:spacing w:after="0" w:line="1" w:lineRule="exact"/>
        <w:rPr>
          <w:sz w:val="20"/>
          <w:szCs w:val="20"/>
          <w:color w:val="auto"/>
        </w:rPr>
      </w:pPr>
    </w:p>
    <w:p>
      <w:pPr>
        <w:ind w:left="260" w:hanging="255"/>
        <w:spacing w:after="0"/>
        <w:tabs>
          <w:tab w:leader="none" w:pos="2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Certain personally identifiable information has been omitted from this exhibit pursuant to Item 601(a)(6) of Regulation S-K.</w:t>
      </w:r>
    </w:p>
    <w:p>
      <w:pPr>
        <w:spacing w:after="0" w:line="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 Financial Statement Schedules.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All financial statement schedules are omitted because the information required to be set forth therein is not applicable or is shown in the consolidated financial statements or the notes thereto.</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16. FORM 10–K SUMMARY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137160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83" w:lineRule="exact"/>
        <w:rPr>
          <w:sz w:val="20"/>
          <w:szCs w:val="20"/>
          <w:color w:val="auto"/>
        </w:rPr>
      </w:pPr>
    </w:p>
    <w:p>
      <w:pPr>
        <w:ind w:right="320"/>
        <w:spacing w:after="0" w:line="274"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48" w:lineRule="exact"/>
        <w:rPr>
          <w:sz w:val="20"/>
          <w:szCs w:val="20"/>
          <w:color w:val="auto"/>
        </w:rPr>
      </w:pPr>
    </w:p>
    <w:tbl>
      <w:tblPr>
        <w:tblLayout w:type="fixed"/>
        <w:tblInd w:w="4040" w:type="dxa"/>
        <w:tblCellMar>
          <w:top w:w="0" w:type="dxa"/>
          <w:left w:w="0" w:type="dxa"/>
          <w:bottom w:w="0" w:type="dxa"/>
          <w:right w:w="0" w:type="dxa"/>
        </w:tblCellMar>
      </w:tblPr>
      <w:tr>
        <w:trPr>
          <w:trHeight w:val="194"/>
        </w:trPr>
        <w:tc>
          <w:tcPr>
            <w:tcW w:w="1540" w:type="dxa"/>
            <w:vAlign w:val="bottom"/>
          </w:tcPr>
          <w:p>
            <w:pPr>
              <w:spacing w:after="0"/>
              <w:rPr>
                <w:sz w:val="16"/>
                <w:szCs w:val="16"/>
                <w:color w:val="auto"/>
              </w:rPr>
            </w:pPr>
          </w:p>
        </w:tc>
        <w:tc>
          <w:tcPr>
            <w:tcW w:w="5700" w:type="dxa"/>
            <w:vAlign w:val="bottom"/>
            <w:gridSpan w:val="2"/>
          </w:tcPr>
          <w:p>
            <w:pPr>
              <w:ind w:left="300"/>
              <w:spacing w:after="0"/>
              <w:rPr>
                <w:sz w:val="20"/>
                <w:szCs w:val="20"/>
                <w:color w:val="auto"/>
              </w:rPr>
            </w:pPr>
            <w:r>
              <w:rPr>
                <w:rFonts w:ascii="Arial" w:cs="Arial" w:eastAsia="Arial" w:hAnsi="Arial"/>
                <w:sz w:val="14"/>
                <w:szCs w:val="14"/>
                <w:b w:val="1"/>
                <w:bCs w:val="1"/>
                <w:color w:val="auto"/>
              </w:rPr>
              <w:t>WEALTHFRONT CORPORATION</w:t>
            </w:r>
          </w:p>
        </w:tc>
      </w:tr>
      <w:tr>
        <w:trPr>
          <w:trHeight w:val="256"/>
        </w:trPr>
        <w:tc>
          <w:tcPr>
            <w:tcW w:w="1540" w:type="dxa"/>
            <w:vAlign w:val="bottom"/>
          </w:tcPr>
          <w:p>
            <w:pPr>
              <w:spacing w:after="0"/>
              <w:rPr>
                <w:sz w:val="20"/>
                <w:szCs w:val="20"/>
                <w:color w:val="auto"/>
              </w:rPr>
            </w:pPr>
            <w:r>
              <w:rPr>
                <w:rFonts w:ascii="Arial" w:cs="Arial" w:eastAsia="Arial" w:hAnsi="Arial"/>
                <w:sz w:val="14"/>
                <w:szCs w:val="14"/>
                <w:color w:val="auto"/>
              </w:rPr>
              <w:t>Date: April 24, 2026</w:t>
            </w:r>
          </w:p>
        </w:tc>
        <w:tc>
          <w:tcPr>
            <w:tcW w:w="860" w:type="dxa"/>
            <w:vAlign w:val="bottom"/>
          </w:tcPr>
          <w:p>
            <w:pPr>
              <w:ind w:left="300"/>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Fortunato</w:t>
            </w:r>
          </w:p>
        </w:tc>
      </w:tr>
      <w:tr>
        <w:trPr>
          <w:trHeight w:val="167"/>
        </w:trPr>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David Fortunato</w:t>
            </w:r>
          </w:p>
        </w:tc>
      </w:tr>
      <w:tr>
        <w:trPr>
          <w:trHeight w:val="186"/>
        </w:trPr>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40" w:type="dxa"/>
            <w:vAlign w:val="bottom"/>
          </w:tcPr>
          <w:p>
            <w:pPr>
              <w:ind w:left="20"/>
              <w:spacing w:after="0"/>
              <w:rPr>
                <w:sz w:val="20"/>
                <w:szCs w:val="20"/>
                <w:color w:val="auto"/>
              </w:rPr>
            </w:pPr>
            <w:r>
              <w:rPr>
                <w:rFonts w:ascii="Arial" w:cs="Arial" w:eastAsia="Arial" w:hAnsi="Arial"/>
                <w:sz w:val="14"/>
                <w:szCs w:val="14"/>
                <w:color w:val="auto"/>
              </w:rPr>
              <w:t>Chief Executive Officer and President</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David Fortunato and Alan Imberman,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1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Signature</w:t>
            </w:r>
          </w:p>
        </w:tc>
        <w:tc>
          <w:tcPr>
            <w:tcW w:w="80" w:type="dxa"/>
            <w:vAlign w:val="bottom"/>
          </w:tcPr>
          <w:p>
            <w:pPr>
              <w:spacing w:after="0"/>
              <w:rPr>
                <w:sz w:val="13"/>
                <w:szCs w:val="13"/>
                <w:color w:val="auto"/>
              </w:rPr>
            </w:pPr>
          </w:p>
        </w:tc>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92"/>
        </w:trPr>
        <w:tc>
          <w:tcPr>
            <w:tcW w:w="2960" w:type="dxa"/>
            <w:vAlign w:val="bottom"/>
          </w:tcPr>
          <w:p>
            <w:pPr>
              <w:jc w:val="center"/>
              <w:spacing w:after="0"/>
              <w:rPr>
                <w:sz w:val="20"/>
                <w:szCs w:val="20"/>
                <w:color w:val="auto"/>
              </w:rPr>
            </w:pPr>
            <w:r>
              <w:rPr>
                <w:rFonts w:ascii="Arial" w:cs="Arial" w:eastAsia="Arial" w:hAnsi="Arial"/>
                <w:sz w:val="14"/>
                <w:szCs w:val="14"/>
                <w:color w:val="auto"/>
              </w:rPr>
              <w:t>/s/ David Fortunato</w:t>
            </w:r>
          </w:p>
        </w:tc>
        <w:tc>
          <w:tcPr>
            <w:tcW w:w="80" w:type="dxa"/>
            <w:vAlign w:val="bottom"/>
          </w:tcPr>
          <w:p>
            <w:pPr>
              <w:spacing w:after="0"/>
              <w:rPr>
                <w:sz w:val="16"/>
                <w:szCs w:val="16"/>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rPr>
              <w:t>Chief Executive Officer, President, and 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32"/>
        </w:trPr>
        <w:tc>
          <w:tcPr>
            <w:tcW w:w="2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i w:val="1"/>
                <w:iCs w:val="1"/>
                <w:color w:val="auto"/>
              </w:rPr>
              <w:t>(Principal Executive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David Fortunato</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2960" w:type="dxa"/>
            <w:vAlign w:val="bottom"/>
          </w:tcPr>
          <w:p>
            <w:pPr>
              <w:jc w:val="center"/>
              <w:spacing w:after="0"/>
              <w:rPr>
                <w:sz w:val="20"/>
                <w:szCs w:val="20"/>
                <w:color w:val="auto"/>
              </w:rPr>
            </w:pPr>
            <w:r>
              <w:rPr>
                <w:rFonts w:ascii="Arial" w:cs="Arial" w:eastAsia="Arial" w:hAnsi="Arial"/>
                <w:sz w:val="14"/>
                <w:szCs w:val="14"/>
                <w:color w:val="auto"/>
              </w:rPr>
              <w:t>/s/ Alan Imberman</w:t>
            </w:r>
          </w:p>
        </w:tc>
        <w:tc>
          <w:tcPr>
            <w:tcW w:w="80" w:type="dxa"/>
            <w:vAlign w:val="bottom"/>
          </w:tcPr>
          <w:p>
            <w:pPr>
              <w:spacing w:after="0"/>
              <w:rPr>
                <w:sz w:val="18"/>
                <w:szCs w:val="18"/>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4"/>
                <w:szCs w:val="14"/>
                <w:color w:val="auto"/>
              </w:rPr>
              <w:t>Chief Financial Officer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32"/>
        </w:trPr>
        <w:tc>
          <w:tcPr>
            <w:tcW w:w="2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i w:val="1"/>
                <w:iCs w:val="1"/>
                <w:color w:val="auto"/>
              </w:rPr>
              <w:t>(Principal Accounting and Financial Officer)</w:t>
            </w: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Alan Imberman</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/s/Andrew S. Rachleff</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Andrew S. Rachleff</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Jaleh Bisharat</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w w:val="99"/>
              </w:rPr>
              <w:t>Jaleh Bisharat</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Kenneth A. Goldman</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Kenneth A. Goldman</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Jason Kilar</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Jason Kilar</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Michael Schmidt</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Michael Schmidt</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Michelangelo Volpi</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w w:val="98"/>
              </w:rPr>
              <w:t>Michelangelo Volpi</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Michelle Wilson</w:t>
            </w:r>
          </w:p>
        </w:tc>
        <w:tc>
          <w:tcPr>
            <w:tcW w:w="80" w:type="dxa"/>
            <w:vAlign w:val="bottom"/>
          </w:tcPr>
          <w:p>
            <w:pPr>
              <w:spacing w:after="0"/>
              <w:rPr>
                <w:sz w:val="21"/>
                <w:szCs w:val="21"/>
                <w:color w:val="auto"/>
              </w:rPr>
            </w:pPr>
          </w:p>
        </w:tc>
        <w:tc>
          <w:tcPr>
            <w:tcW w:w="584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Director</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auto"/>
              </w:rPr>
              <w:t>April 24, 2026</w:t>
            </w:r>
          </w:p>
        </w:tc>
        <w:tc>
          <w:tcPr>
            <w:tcW w:w="0" w:type="dxa"/>
            <w:vAlign w:val="bottom"/>
          </w:tcPr>
          <w:p>
            <w:pPr>
              <w:spacing w:after="0"/>
              <w:rPr>
                <w:sz w:val="1"/>
                <w:szCs w:val="1"/>
                <w:color w:val="auto"/>
              </w:rPr>
            </w:pPr>
          </w:p>
        </w:tc>
      </w:tr>
      <w:tr>
        <w:trPr>
          <w:trHeight w:val="66"/>
        </w:trPr>
        <w:tc>
          <w:tcPr>
            <w:tcW w:w="2960" w:type="dxa"/>
            <w:vAlign w:val="bottom"/>
            <w:vMerge w:val="restart"/>
          </w:tcPr>
          <w:p>
            <w:pPr>
              <w:jc w:val="center"/>
              <w:spacing w:after="0"/>
              <w:rPr>
                <w:sz w:val="20"/>
                <w:szCs w:val="20"/>
                <w:color w:val="auto"/>
              </w:rPr>
            </w:pPr>
            <w:r>
              <w:rPr>
                <w:rFonts w:ascii="Arial" w:cs="Arial" w:eastAsia="Arial" w:hAnsi="Arial"/>
                <w:sz w:val="14"/>
                <w:szCs w:val="14"/>
                <w:color w:val="auto"/>
              </w:rPr>
              <w:t>Michelle Wilson</w:t>
            </w:r>
          </w:p>
        </w:tc>
        <w:tc>
          <w:tcPr>
            <w:tcW w:w="80" w:type="dxa"/>
            <w:vAlign w:val="bottom"/>
          </w:tcPr>
          <w:p>
            <w:pPr>
              <w:spacing w:after="0"/>
              <w:rPr>
                <w:sz w:val="5"/>
                <w:szCs w:val="5"/>
                <w:color w:val="auto"/>
              </w:rPr>
            </w:pPr>
          </w:p>
        </w:tc>
        <w:tc>
          <w:tcPr>
            <w:tcW w:w="5840" w:type="dxa"/>
            <w:vAlign w:val="bottom"/>
            <w:gridSpan w:val="2"/>
            <w:vMerge w:val="continue"/>
          </w:tcPr>
          <w:p>
            <w:pPr>
              <w:spacing w:after="0"/>
              <w:rPr>
                <w:sz w:val="5"/>
                <w:szCs w:val="5"/>
                <w:color w:val="auto"/>
              </w:rPr>
            </w:pPr>
          </w:p>
        </w:tc>
        <w:tc>
          <w:tcPr>
            <w:tcW w:w="2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210" w:right="319" w:bottom="1440"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6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91" w:lineRule="auto"/>
        <w:rPr>
          <w:sz w:val="20"/>
          <w:szCs w:val="20"/>
          <w:color w:val="auto"/>
        </w:rPr>
      </w:pPr>
      <w:r>
        <w:rPr>
          <w:rFonts w:ascii="Arial" w:cs="Arial" w:eastAsia="Arial" w:hAnsi="Arial"/>
          <w:sz w:val="17"/>
          <w:szCs w:val="17"/>
          <w:b w:val="1"/>
          <w:bCs w:val="1"/>
          <w:color w:val="auto"/>
        </w:rPr>
        <w:t>CERTIFICATION PURSUANT TO RULE 13a-14(a) OR 15d-14(a) OF THE SECURITIES EXCHANGE ACT OF 1934, AS ADOPTED PURSUANT TO SECTION 302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 David Fortunato, certify that:</w:t>
      </w:r>
    </w:p>
    <w:p>
      <w:pPr>
        <w:spacing w:after="0" w:line="208" w:lineRule="exact"/>
        <w:rPr>
          <w:sz w:val="20"/>
          <w:szCs w:val="20"/>
          <w:color w:val="auto"/>
        </w:rPr>
      </w:pPr>
    </w:p>
    <w:p>
      <w:pPr>
        <w:ind w:left="500" w:hanging="240"/>
        <w:spacing w:after="0"/>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Wealthfront Corporation;</w:t>
      </w:r>
    </w:p>
    <w:p>
      <w:pPr>
        <w:spacing w:after="0" w:line="22" w:lineRule="exact"/>
        <w:rPr>
          <w:rFonts w:ascii="Arial" w:cs="Arial" w:eastAsia="Arial" w:hAnsi="Arial"/>
          <w:sz w:val="17"/>
          <w:szCs w:val="17"/>
          <w:color w:val="auto"/>
        </w:rPr>
      </w:pPr>
    </w:p>
    <w:p>
      <w:pPr>
        <w:jc w:val="both"/>
        <w:ind w:left="520" w:right="80" w:hanging="260"/>
        <w:spacing w:after="0" w:line="247"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520" w:right="220" w:hanging="260"/>
        <w:spacing w:after="0" w:line="254"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120" w:hanging="260"/>
        <w:spacing w:after="0" w:line="247"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ind w:left="1020" w:right="100" w:hanging="251"/>
        <w:spacing w:after="0" w:line="249" w:lineRule="auto"/>
        <w:tabs>
          <w:tab w:leader="none" w:pos="1013"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020" w:right="20" w:hanging="251"/>
        <w:spacing w:after="0" w:line="265" w:lineRule="auto"/>
        <w:tabs>
          <w:tab w:leader="none" w:pos="1013"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020" w:right="220" w:hanging="251"/>
        <w:spacing w:after="0" w:line="249" w:lineRule="auto"/>
        <w:tabs>
          <w:tab w:leader="none" w:pos="101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7"/>
          <w:szCs w:val="17"/>
          <w:color w:val="auto"/>
        </w:rPr>
      </w:pPr>
    </w:p>
    <w:p>
      <w:pPr>
        <w:ind w:left="520" w:right="160" w:hanging="260"/>
        <w:spacing w:after="0" w:line="250"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47" w:lineRule="auto"/>
        <w:tabs>
          <w:tab w:leader="none" w:pos="1013"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140" w:hanging="251"/>
        <w:spacing w:after="0" w:line="275" w:lineRule="auto"/>
        <w:tabs>
          <w:tab w:leader="none" w:pos="1013"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9" w:right="3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620" w:val="left"/>
        </w:tabs>
        <w:rPr>
          <w:sz w:val="20"/>
          <w:szCs w:val="20"/>
          <w:color w:val="auto"/>
        </w:rPr>
      </w:pPr>
      <w:r>
        <w:rPr>
          <w:rFonts w:ascii="Arial" w:cs="Arial" w:eastAsia="Arial" w:hAnsi="Arial"/>
          <w:sz w:val="17"/>
          <w:szCs w:val="17"/>
          <w:color w:val="auto"/>
        </w:rPr>
        <w:t>Date: April 24, 2026</w:t>
      </w:r>
      <w:r>
        <w:rPr>
          <w:sz w:val="20"/>
          <w:szCs w:val="20"/>
          <w:color w:val="auto"/>
        </w:rPr>
        <w:tab/>
      </w:r>
      <w:r>
        <w:rPr>
          <w:rFonts w:ascii="Arial" w:cs="Arial" w:eastAsia="Arial" w:hAnsi="Arial"/>
          <w:sz w:val="17"/>
          <w:szCs w:val="17"/>
          <w:color w:val="auto"/>
        </w:rPr>
        <w:t>/s/ David Fortunato</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__________________________</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David Fortunato</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Chief Executive Officer</w:t>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p>
    <w:p>
      <w:pPr>
        <w:sectPr>
          <w:pgSz w:w="11900" w:h="16838" w:orient="portrait"/>
          <w:cols w:equalWidth="0" w:num="1">
            <w:col w:w="11280"/>
          </w:cols>
          <w:pgMar w:left="300" w:top="129" w:right="3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line="291" w:lineRule="auto"/>
        <w:rPr>
          <w:sz w:val="20"/>
          <w:szCs w:val="20"/>
          <w:color w:val="auto"/>
        </w:rPr>
      </w:pPr>
      <w:r>
        <w:rPr>
          <w:rFonts w:ascii="Arial" w:cs="Arial" w:eastAsia="Arial" w:hAnsi="Arial"/>
          <w:sz w:val="17"/>
          <w:szCs w:val="17"/>
          <w:b w:val="1"/>
          <w:bCs w:val="1"/>
          <w:color w:val="auto"/>
        </w:rPr>
        <w:t>CERTIFICATION PURSUANT TO RULE 13a-14(a) OR 15d-14(a) OF THE SECURITIES EXCHANGE ACT OF 1934, AS ADOPTED PURSUANT TO SECTION 302 OF THE SARBANES-OXLEY ACT OF 2002</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I, Alan Imberman, certify that:</w:t>
      </w:r>
    </w:p>
    <w:p>
      <w:pPr>
        <w:spacing w:after="0" w:line="208" w:lineRule="exact"/>
        <w:rPr>
          <w:sz w:val="20"/>
          <w:szCs w:val="20"/>
          <w:color w:val="auto"/>
        </w:rPr>
      </w:pPr>
    </w:p>
    <w:p>
      <w:pPr>
        <w:ind w:left="500" w:hanging="240"/>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Wealthfront Corporation;</w:t>
      </w:r>
    </w:p>
    <w:p>
      <w:pPr>
        <w:spacing w:after="0" w:line="22" w:lineRule="exact"/>
        <w:rPr>
          <w:rFonts w:ascii="Arial" w:cs="Arial" w:eastAsia="Arial" w:hAnsi="Arial"/>
          <w:sz w:val="17"/>
          <w:szCs w:val="17"/>
          <w:color w:val="auto"/>
        </w:rPr>
      </w:pPr>
    </w:p>
    <w:p>
      <w:pPr>
        <w:jc w:val="both"/>
        <w:ind w:left="520" w:right="80" w:hanging="260"/>
        <w:spacing w:after="0" w:line="247"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520" w:right="220" w:hanging="260"/>
        <w:spacing w:after="0" w:line="254"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120" w:hanging="260"/>
        <w:spacing w:after="0" w:line="247"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ind w:left="1020" w:right="100" w:hanging="251"/>
        <w:spacing w:after="0" w:line="249" w:lineRule="auto"/>
        <w:tabs>
          <w:tab w:leader="none" w:pos="1013"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7"/>
          <w:szCs w:val="17"/>
          <w:color w:val="auto"/>
        </w:rPr>
      </w:pPr>
    </w:p>
    <w:p>
      <w:pPr>
        <w:jc w:val="both"/>
        <w:ind w:left="1020" w:right="20" w:hanging="251"/>
        <w:spacing w:after="0" w:line="265" w:lineRule="auto"/>
        <w:tabs>
          <w:tab w:leader="none" w:pos="1013"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020" w:right="220" w:hanging="251"/>
        <w:spacing w:after="0" w:line="249" w:lineRule="auto"/>
        <w:tabs>
          <w:tab w:leader="none" w:pos="1014"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7"/>
          <w:szCs w:val="17"/>
          <w:color w:val="auto"/>
        </w:rPr>
      </w:pPr>
    </w:p>
    <w:p>
      <w:pPr>
        <w:ind w:left="520" w:right="160" w:hanging="260"/>
        <w:spacing w:after="0" w:line="250" w:lineRule="auto"/>
        <w:tabs>
          <w:tab w:leader="none" w:pos="51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520" w:hanging="251"/>
        <w:spacing w:after="0" w:line="247" w:lineRule="auto"/>
        <w:tabs>
          <w:tab w:leader="none" w:pos="1013"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right="140" w:hanging="251"/>
        <w:spacing w:after="0" w:line="275" w:lineRule="auto"/>
        <w:tabs>
          <w:tab w:leader="none" w:pos="1013"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9" w:right="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2620" w:val="left"/>
        </w:tabs>
        <w:rPr>
          <w:sz w:val="20"/>
          <w:szCs w:val="20"/>
          <w:color w:val="auto"/>
        </w:rPr>
      </w:pPr>
      <w:r>
        <w:rPr>
          <w:rFonts w:ascii="Arial" w:cs="Arial" w:eastAsia="Arial" w:hAnsi="Arial"/>
          <w:sz w:val="17"/>
          <w:szCs w:val="17"/>
          <w:color w:val="auto"/>
        </w:rPr>
        <w:t>Date: April 24, 2026</w:t>
      </w:r>
      <w:r>
        <w:rPr>
          <w:sz w:val="20"/>
          <w:szCs w:val="20"/>
          <w:color w:val="auto"/>
        </w:rPr>
        <w:tab/>
      </w:r>
      <w:r>
        <w:rPr>
          <w:rFonts w:ascii="Arial" w:cs="Arial" w:eastAsia="Arial" w:hAnsi="Arial"/>
          <w:sz w:val="17"/>
          <w:szCs w:val="17"/>
          <w:color w:val="auto"/>
        </w:rPr>
        <w:t>/s/ Alan Imberman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__________________________</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Alan Imberman</w:t>
      </w:r>
    </w:p>
    <w:p>
      <w:pPr>
        <w:spacing w:after="0" w:line="1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Chief Financial Officer</w:t>
      </w:r>
    </w:p>
    <w:p>
      <w:pPr>
        <w:spacing w:after="0" w:line="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p>
    <w:p>
      <w:pPr>
        <w:sectPr>
          <w:pgSz w:w="11900" w:h="16838" w:orient="portrait"/>
          <w:cols w:equalWidth="0" w:num="1">
            <w:col w:w="11280"/>
          </w:cols>
          <w:pgMar w:left="300" w:top="129"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SECTION 906 OF THE SARBANES-OXLEY ACT OF 2002</w:t>
      </w:r>
    </w:p>
    <w:p>
      <w:pPr>
        <w:spacing w:after="0" w:line="19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Annual Report of Wealthfront Corporation (the “Company”) on Form 10-K for the fiscal year ended January 31, 2026, as filed with the Securities and Exchange Commission on the date hereof (the “Report”), I, David Fortunato, Chief Executive Officer of the Company, hereby certify, pursuant to 18 U.S.C. Section 1350, as adopted pursuant to Section 906 of the Sarbanes-Oxley Act of 2002, that to the best of my knowledge:</w:t>
      </w:r>
    </w:p>
    <w:p>
      <w:pPr>
        <w:spacing w:after="0" w:line="133" w:lineRule="exact"/>
        <w:rPr>
          <w:sz w:val="20"/>
          <w:szCs w:val="20"/>
          <w:color w:val="auto"/>
        </w:rPr>
      </w:pPr>
    </w:p>
    <w:p>
      <w:pPr>
        <w:ind w:left="500" w:hanging="240"/>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7" w:lineRule="exact"/>
        <w:rPr>
          <w:rFonts w:ascii="Arial" w:cs="Arial" w:eastAsia="Arial" w:hAnsi="Arial"/>
          <w:sz w:val="17"/>
          <w:szCs w:val="17"/>
          <w:color w:val="auto"/>
        </w:rPr>
      </w:pPr>
    </w:p>
    <w:p>
      <w:pPr>
        <w:ind w:left="520" w:right="800" w:hanging="260"/>
        <w:spacing w:after="0" w:line="295" w:lineRule="auto"/>
        <w:tabs>
          <w:tab w:leader="none" w:pos="5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Date: April 24, 2026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David Fortunato</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David Fortunato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p>
    <w:p>
      <w:pPr>
        <w:sectPr>
          <w:pgSz w:w="11900" w:h="16838" w:orient="portrait"/>
          <w:cols w:equalWidth="0" w:num="1">
            <w:col w:w="11280"/>
          </w:cols>
          <w:pgMar w:left="300" w:top="129"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SECTION 906 OF THE SARBANES-OXLEY ACT OF 2002</w:t>
      </w:r>
    </w:p>
    <w:p>
      <w:pPr>
        <w:spacing w:after="0" w:line="19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Annual Report of Wealthfront Corporation (the “Company”) on Form 10-K for the fiscal year ended January 31, 2026, as filed with the Securities and Exchange Commission on the date hereof (the “Report”), I, Alan Imberman, Chief Financial Officer of the Company, hereby certify, pursuant to 18 U.S.C. Section 1350, as adopted pursuant to Section 906 of the Sarbanes-Oxley Act of 2002, that to the best of my knowledge:</w:t>
      </w:r>
    </w:p>
    <w:p>
      <w:pPr>
        <w:spacing w:after="0" w:line="133" w:lineRule="exact"/>
        <w:rPr>
          <w:sz w:val="20"/>
          <w:szCs w:val="20"/>
          <w:color w:val="auto"/>
        </w:rPr>
      </w:pPr>
    </w:p>
    <w:p>
      <w:pPr>
        <w:ind w:left="500" w:hanging="240"/>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7" w:lineRule="exact"/>
        <w:rPr>
          <w:rFonts w:ascii="Arial" w:cs="Arial" w:eastAsia="Arial" w:hAnsi="Arial"/>
          <w:sz w:val="17"/>
          <w:szCs w:val="17"/>
          <w:color w:val="auto"/>
        </w:rPr>
      </w:pPr>
    </w:p>
    <w:p>
      <w:pPr>
        <w:ind w:left="520" w:right="800" w:hanging="260"/>
        <w:spacing w:after="0" w:line="295" w:lineRule="auto"/>
        <w:tabs>
          <w:tab w:leader="none" w:pos="51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Date: April 24, 2026</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 Alan Imberman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Alan Imberman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80"/>
          </w:cols>
          <w:pgMar w:left="300" w:top="129" w:right="319" w:bottom="1440"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lvl w:ilvl="1">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2"/>
      <w:numFmt w:val="bullet"/>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3"/>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2"/>
    </w:lvl>
  </w:abstractNum>
  <w:abstractNum w:abstractNumId="33">
    <w:nsid w:val="580BD78F"/>
    <w:multiLevelType w:val="hybridMultilevel"/>
    <w:lvl w:ilvl="0">
      <w:lvlJc w:val="left"/>
      <w:lvlText w:val="%1."/>
      <w:numFmt w:val="decimal"/>
      <w:start w:val="3"/>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4"/>
    </w:lvl>
  </w:abstractNum>
  <w:abstractNum w:abstractNumId="36">
    <w:nsid w:val="70A64E2A"/>
    <w:multiLevelType w:val="hybridMultilevel"/>
    <w:lvl w:ilvl="0">
      <w:lvlJc w:val="left"/>
      <w:lvlText w:val="%1."/>
      <w:numFmt w:val="decimal"/>
      <w:start w:val="6"/>
    </w:lvl>
  </w:abstractNum>
  <w:abstractNum w:abstractNumId="37">
    <w:nsid w:val="6A2342EC"/>
    <w:multiLevelType w:val="hybridMultilevel"/>
    <w:lvl w:ilvl="0">
      <w:lvlJc w:val="left"/>
      <w:lvlText w:val="%1."/>
      <w:numFmt w:val="decimal"/>
      <w:start w:val="7"/>
    </w:lvl>
  </w:abstractNum>
  <w:abstractNum w:abstractNumId="38">
    <w:nsid w:val="2A487CB0"/>
    <w:multiLevelType w:val="hybridMultilevel"/>
    <w:lvl w:ilvl="0">
      <w:lvlJc w:val="left"/>
      <w:lvlText w:val="%1."/>
      <w:numFmt w:val="decimal"/>
      <w:start w:val="8"/>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90"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173" Type="http://schemas.openxmlformats.org/officeDocument/2006/relationships/hyperlink" Target="https://www.sec.gov/Archives/edgar/data/1524566/000162828026003332/exhibit31wlthcertificate.htm" TargetMode="External"/><Relationship Id="rId174" Type="http://schemas.openxmlformats.org/officeDocument/2006/relationships/hyperlink" Target="https://www.sec.gov/Archives/edgar/data/1524566/000162828026003332/exhibit32wlthbylaws.htm" TargetMode="External"/><Relationship Id="rId175" Type="http://schemas.openxmlformats.org/officeDocument/2006/relationships/hyperlink" Target="https://www.sec.gov/Archives/edgar/data/1524566/000162828025054592/exhibit41-sx1a1.htm" TargetMode="External"/><Relationship Id="rId176" Type="http://schemas.openxmlformats.org/officeDocument/2006/relationships/hyperlink" Target="https://www.sec.gov/Archives/edgar/data/1524566/000162828025043113/exhibit42-sx1.htm" TargetMode="External"/><Relationship Id="rId177" Type="http://schemas.openxmlformats.org/officeDocument/2006/relationships/hyperlink" Target="https://www.sec.gov/Archives/edgar/data/1524566/000162828025043113/exhibit43-sx1.htm" TargetMode="External"/><Relationship Id="rId178" Type="http://schemas.openxmlformats.org/officeDocument/2006/relationships/hyperlink" Target="https://www.sec.gov/Archives/edgar/data/1524566/000162828025043113/exhibit44-sx1.htm" TargetMode="External"/><Relationship Id="rId179" Type="http://schemas.openxmlformats.org/officeDocument/2006/relationships/hyperlink" Target="https://www.sec.gov/Archives/edgar/data/1524566/000162828025043113/exhibit46-sx1.htm" TargetMode="External"/><Relationship Id="rId180" Type="http://schemas.openxmlformats.org/officeDocument/2006/relationships/hyperlink" Target="https://www.sec.gov/Archives/edgar/data/1524566/000162828025043113/exhibit101-sx1.htm" TargetMode="External"/><Relationship Id="rId181" Type="http://schemas.openxmlformats.org/officeDocument/2006/relationships/hyperlink" Target="https://www.sec.gov/Archives/edgar/data/1524566/000162828025043113/exhibit102-sx1.htm" TargetMode="External"/><Relationship Id="rId182" Type="http://schemas.openxmlformats.org/officeDocument/2006/relationships/hyperlink" Target="https://www.sec.gov/Archives/edgar/data/1524566/000162828025043113/exhibit103-sx1.htm" TargetMode="External"/><Relationship Id="rId183" Type="http://schemas.openxmlformats.org/officeDocument/2006/relationships/hyperlink" Target="https://www.sec.gov/Archives/edgar/data/1524566/000162828025043113/exhibit104-sx1.htm" TargetMode="External"/><Relationship Id="rId184" Type="http://schemas.openxmlformats.org/officeDocument/2006/relationships/hyperlink" Target="https://www.sec.gov/Archives/edgar/data/1524566/000162828025043113/exhibit105-sx1.htm" TargetMode="External"/><Relationship Id="rId185" Type="http://schemas.openxmlformats.org/officeDocument/2006/relationships/hyperlink" Target="https://www.sec.gov/Archives/edgar/data/1524566/000162828025043113/exhibit106-sx1.htm" TargetMode="External"/><Relationship Id="rId186" Type="http://schemas.openxmlformats.org/officeDocument/2006/relationships/hyperlink" Target="https://www.sec.gov/Archives/edgar/data/1524566/000162828025043113/exhibit107-sx1.htm" TargetMode="External"/><Relationship Id="rId187" Type="http://schemas.openxmlformats.org/officeDocument/2006/relationships/hyperlink" Target="https://www.sec.gov/Archives/edgar/data/1524566/000162828025043113/exhibit109-sx1.htm" TargetMode="External"/><Relationship Id="rId188" Type="http://schemas.openxmlformats.org/officeDocument/2006/relationships/hyperlink" Target="https://www.sec.gov/Archives/edgar/data/1524566/000162828025043113/exhibit1010-sx1.htm" TargetMode="External"/><Relationship Id="rId189" Type="http://schemas.openxmlformats.org/officeDocument/2006/relationships/hyperlink" Target="https://www.sec.gov/Archives/edgar/data/1524566/000162828025054592/exhibit1012-sx1a1.htm" TargetMode="External"/><Relationship Id="rId191" Type="http://schemas.openxmlformats.org/officeDocument/2006/relationships/hyperlink" Target="https://www.sec.gov/Archives/edgar/data/1524566/000162828025043113/exhibit1013-sx1.htm" TargetMode="External"/><Relationship Id="rId192" Type="http://schemas.openxmlformats.org/officeDocument/2006/relationships/hyperlink" Target="https://www.sec.gov/Archives/edgar/data/1524566/000162828026008816/wlth-equitypurchaseagree.htm" TargetMode="External"/><Relationship Id="rId193" Type="http://schemas.openxmlformats.org/officeDocument/2006/relationships/hyperlink" Target="https://www.sec.gov/Archives/edgar/data/1524566/000162828025043113/exhibit10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2026-04-24T17:00:09Z</dcterms:created>
  <dcterms:modified xsi:type="dcterms:W3CDTF">2026-04-24T17:00:09Z</dcterms:modified>
</cp:coreProperties>
</file>