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214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21474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Imberman Alan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80"/>
        <w:spacing w:after="0" w:line="328" w:lineRule="auto"/>
        <w:rPr>
          <w:sz w:val="20"/>
          <w:szCs w:val="20"/>
          <w:color w:val="auto"/>
        </w:rPr>
      </w:pPr>
      <w:r>
        <w:rPr>
          <w:rFonts w:ascii="Times New Roman" w:cs="Times New Roman" w:eastAsia="Times New Roman" w:hAnsi="Times New Roman"/>
          <w:sz w:val="16"/>
          <w:szCs w:val="16"/>
          <w:color w:val="0000FF"/>
        </w:rPr>
        <w:t>C/O WEALTHFRONT CORPORATION 261 HAMILTON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2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WEALTHFRONT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WLTH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37"/>
        <w:spacing w:after="0"/>
        <w:rPr>
          <w:sz w:val="20"/>
          <w:szCs w:val="20"/>
          <w:color w:val="auto"/>
        </w:rPr>
      </w:pPr>
      <w:r>
        <w:rPr>
          <w:rFonts w:ascii="Times New Roman" w:cs="Times New Roman" w:eastAsia="Times New Roman" w:hAnsi="Times New Roman"/>
          <w:sz w:val="17"/>
          <w:szCs w:val="17"/>
          <w:color w:val="0000FF"/>
        </w:rPr>
        <w:t>CFO and Treasurer</w:t>
      </w:r>
    </w:p>
    <w:p>
      <w:pPr>
        <w:spacing w:after="0" w:line="437"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700" w:type="dxa"/>
            <w:vAlign w:val="bottom"/>
            <w:gridSpan w:val="8"/>
          </w:tcPr>
          <w:p>
            <w:pPr>
              <w:jc w:val="center"/>
              <w:ind w:right="28"/>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94301</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52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jc w:val="center"/>
              <w:ind w:left="62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629"/>
              <w:spacing w:after="0"/>
              <w:rPr>
                <w:sz w:val="20"/>
                <w:szCs w:val="20"/>
                <w:color w:val="auto"/>
              </w:rPr>
            </w:pPr>
            <w:r>
              <w:rPr>
                <w:rFonts w:ascii="Times New Roman" w:cs="Times New Roman" w:eastAsia="Times New Roman" w:hAnsi="Times New Roman"/>
                <w:sz w:val="17"/>
                <w:szCs w:val="17"/>
                <w:color w:val="0000FF"/>
              </w:rPr>
              <w:t>06/15/2026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22,813</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419,783</w:t>
            </w:r>
            <w:r>
              <w:rPr>
                <w:rFonts w:ascii="Times New Roman" w:cs="Times New Roman" w:eastAsia="Times New Roman" w:hAnsi="Times New Roman"/>
                <w:sz w:val="21"/>
                <w:szCs w:val="21"/>
                <w:color w:val="008000"/>
                <w:w w:val="94"/>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80" w:type="dxa"/>
            <w:vAlign w:val="bottom"/>
            <w:gridSpan w:val="3"/>
          </w:tcPr>
          <w:p>
            <w:pPr>
              <w:jc w:val="center"/>
              <w:ind w:left="629"/>
              <w:spacing w:after="0"/>
              <w:rPr>
                <w:sz w:val="20"/>
                <w:szCs w:val="20"/>
                <w:color w:val="auto"/>
              </w:rPr>
            </w:pPr>
            <w:r>
              <w:rPr>
                <w:rFonts w:ascii="Times New Roman" w:cs="Times New Roman" w:eastAsia="Times New Roman" w:hAnsi="Times New Roman"/>
                <w:sz w:val="17"/>
                <w:szCs w:val="17"/>
                <w:color w:val="0000FF"/>
              </w:rPr>
              <w:t>06/15/2026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23,625</w:t>
            </w: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443,408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80" w:type="dxa"/>
            <w:vAlign w:val="bottom"/>
            <w:gridSpan w:val="3"/>
          </w:tcPr>
          <w:p>
            <w:pPr>
              <w:jc w:val="center"/>
              <w:ind w:left="629"/>
              <w:spacing w:after="0"/>
              <w:rPr>
                <w:sz w:val="20"/>
                <w:szCs w:val="20"/>
                <w:color w:val="auto"/>
              </w:rPr>
            </w:pPr>
            <w:r>
              <w:rPr>
                <w:rFonts w:ascii="Times New Roman" w:cs="Times New Roman" w:eastAsia="Times New Roman" w:hAnsi="Times New Roman"/>
                <w:sz w:val="17"/>
                <w:szCs w:val="17"/>
                <w:color w:val="0000FF"/>
              </w:rPr>
              <w:t>06/15/2026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17,763</w:t>
            </w: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461,171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629"/>
              <w:spacing w:after="0"/>
              <w:rPr>
                <w:sz w:val="20"/>
                <w:szCs w:val="20"/>
                <w:color w:val="auto"/>
              </w:rPr>
            </w:pPr>
            <w:r>
              <w:rPr>
                <w:rFonts w:ascii="Times New Roman" w:cs="Times New Roman" w:eastAsia="Times New Roman" w:hAnsi="Times New Roman"/>
                <w:sz w:val="17"/>
                <w:szCs w:val="17"/>
                <w:color w:val="0000FF"/>
              </w:rPr>
              <w:t>06/15/2026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25,264</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435,907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22,813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0000FF"/>
              </w:rPr>
              <w:t>22,813</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136,875</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23,625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0000FF"/>
              </w:rPr>
              <w:t>23,625</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236,250</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17,763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0000FF"/>
              </w:rPr>
              <w:t>17,763</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248,675</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2,500 shares of Class A Common Stock acquired by the reporting person in one or more transactions with Issuer pursuant to its Employee Stock Purchase Plan, which transactions are exempt pursuant to Rules 16a3(f)(1)(i)(B) and 16b3(c).</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represents the number of shares of Common Stock withheld by the Issuer to satisfy tax withholding liabilities in connection with the net settlement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upon settlement.</w:t>
      </w:r>
    </w:p>
    <w:p>
      <w:pPr>
        <w:spacing w:after="0" w:line="44"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vested or vests as to 1/16 of the total award quarterly on the fifteenth calendar day of March, June, September, and December, subject to the reporting person's continued service to the Issuer on each vesting date, with the first tranche vested on March 15, 2024.</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do not expire; they either vest or are cancelled prior to the vesting date.</w:t>
      </w:r>
    </w:p>
    <w:p>
      <w:pPr>
        <w:spacing w:after="0" w:line="44"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vested or vests as to 1/16 of the total award quarterly on the fifteenth calendar day of March, June, September, and December, subject to the reporting person's continued service to the Issuer on each vesting date, with the first tranche vested on March 15, 2025.</w:t>
      </w:r>
    </w:p>
    <w:p>
      <w:pPr>
        <w:spacing w:after="0" w:line="16"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vested or vests as to 1/16 of the total award quarterly on the fifteenth calendar day of March, June, September, and December, subject to the reporting person's continued service to the Issuer on each vesting date, with the first tranche vested on March 15, 2026.</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Lauren Lin, as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2642" TargetMode="External"/><Relationship Id="rId14" Type="http://schemas.openxmlformats.org/officeDocument/2006/relationships/hyperlink" Target="http://www.sec.gov/cgi-bin/browse-edgar?action=getcompany&amp;CIK=00015245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2026-06-17T15:23:09Z</dcterms:created>
  <dcterms:modified xsi:type="dcterms:W3CDTF">2026-06-17T15:23:09Z</dcterms:modified>
</cp:coreProperties>
</file>