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8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805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 Lauren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80"/>
        <w:spacing w:after="0" w:line="328" w:lineRule="auto"/>
        <w:rPr>
          <w:sz w:val="20"/>
          <w:szCs w:val="20"/>
          <w:color w:val="auto"/>
        </w:rPr>
      </w:pPr>
      <w:r>
        <w:rPr>
          <w:rFonts w:ascii="Times New Roman" w:cs="Times New Roman" w:eastAsia="Times New Roman" w:hAnsi="Times New Roman"/>
          <w:sz w:val="16"/>
          <w:szCs w:val="16"/>
          <w:color w:val="0000FF"/>
        </w:rPr>
        <w:t>C/O WEALTHFRONT CORPORATION 261 HAMILTON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WEALTHFRONT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WLTH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CLO, CCO and Secretary</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ind w:left="16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jc w:val="center"/>
              <w:ind w:left="6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156,075</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3"/>
              </w:rPr>
              <w:t>9,375</w:t>
            </w:r>
          </w:p>
        </w:tc>
        <w:tc>
          <w:tcPr>
            <w:tcW w:w="60" w:type="dxa"/>
            <w:vAlign w:val="bottom"/>
          </w:tcPr>
          <w:p>
            <w:pPr>
              <w:spacing w:after="0"/>
              <w:rPr>
                <w:sz w:val="22"/>
                <w:szCs w:val="22"/>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165,450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73"/>
              <w:spacing w:after="0"/>
              <w:rPr>
                <w:sz w:val="20"/>
                <w:szCs w:val="20"/>
                <w:color w:val="auto"/>
              </w:rPr>
            </w:pPr>
            <w:r>
              <w:rPr>
                <w:rFonts w:ascii="Times New Roman" w:cs="Times New Roman" w:eastAsia="Times New Roman" w:hAnsi="Times New Roman"/>
                <w:sz w:val="17"/>
                <w:szCs w:val="17"/>
                <w:color w:val="0000FF"/>
                <w:w w:val="93"/>
              </w:rPr>
              <w:t>4,687</w:t>
            </w:r>
          </w:p>
        </w:tc>
        <w:tc>
          <w:tcPr>
            <w:tcW w:w="60" w:type="dxa"/>
            <w:vAlign w:val="bottom"/>
          </w:tcPr>
          <w:p>
            <w:pPr>
              <w:spacing w:after="0"/>
              <w:rPr>
                <w:sz w:val="22"/>
                <w:szCs w:val="22"/>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170,137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0000FF"/>
              </w:rPr>
              <w:t>12,847</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182,984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rPr>
              <w:t>20,052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162,932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33"/>
              <w:spacing w:after="0" w:line="129"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5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60"/>
              <w:spacing w:after="0" w:line="129" w:lineRule="exact"/>
              <w:rPr>
                <w:sz w:val="20"/>
                <w:szCs w:val="20"/>
                <w:color w:val="auto"/>
              </w:rPr>
            </w:pPr>
            <w:r>
              <w:rPr>
                <w:rFonts w:ascii="Times New Roman" w:cs="Times New Roman" w:eastAsia="Times New Roman" w:hAnsi="Times New Roman"/>
                <w:sz w:val="13"/>
                <w:szCs w:val="13"/>
                <w:color w:val="0000FF"/>
                <w:w w:val="94"/>
              </w:rPr>
              <w:t>12,500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220" w:type="dxa"/>
            <w:vAlign w:val="bottom"/>
          </w:tcPr>
          <w:p>
            <w:pPr>
              <w:spacing w:after="0"/>
              <w:rPr>
                <w:sz w:val="15"/>
                <w:szCs w:val="15"/>
                <w:color w:val="auto"/>
              </w:rPr>
            </w:pPr>
          </w:p>
        </w:tc>
        <w:tc>
          <w:tcPr>
            <w:tcW w:w="5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9,375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9,375</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46,875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15"/>
                <w:szCs w:val="15"/>
                <w:color w:val="auto"/>
              </w:rPr>
            </w:pPr>
          </w:p>
        </w:tc>
        <w:tc>
          <w:tcPr>
            <w:tcW w:w="5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7"/>
                <w:szCs w:val="17"/>
                <w:color w:val="0000FF"/>
              </w:rPr>
              <w:t>4,687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center"/>
              <w:ind w:left="260"/>
              <w:spacing w:after="0" w:line="142" w:lineRule="exact"/>
              <w:rPr>
                <w:sz w:val="20"/>
                <w:szCs w:val="20"/>
                <w:color w:val="auto"/>
              </w:rPr>
            </w:pPr>
            <w:r>
              <w:rPr>
                <w:rFonts w:ascii="Times New Roman" w:cs="Times New Roman" w:eastAsia="Times New Roman" w:hAnsi="Times New Roman"/>
                <w:sz w:val="13"/>
                <w:szCs w:val="13"/>
                <w:color w:val="0000FF"/>
              </w:rPr>
              <w:t>4,687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w w:val="94"/>
              </w:rPr>
              <w:t>42,188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220" w:type="dxa"/>
            <w:vAlign w:val="bottom"/>
          </w:tcPr>
          <w:p>
            <w:pPr>
              <w:spacing w:after="0"/>
              <w:rPr>
                <w:sz w:val="15"/>
                <w:szCs w:val="15"/>
                <w:color w:val="auto"/>
              </w:rPr>
            </w:pPr>
          </w:p>
        </w:tc>
        <w:tc>
          <w:tcPr>
            <w:tcW w:w="5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12,847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260"/>
              <w:spacing w:after="0" w:line="129" w:lineRule="exact"/>
              <w:rPr>
                <w:sz w:val="20"/>
                <w:szCs w:val="20"/>
                <w:color w:val="auto"/>
              </w:rPr>
            </w:pPr>
            <w:r>
              <w:rPr>
                <w:rFonts w:ascii="Times New Roman" w:cs="Times New Roman" w:eastAsia="Times New Roman" w:hAnsi="Times New Roman"/>
                <w:sz w:val="13"/>
                <w:szCs w:val="13"/>
                <w:color w:val="0000FF"/>
                <w:w w:val="94"/>
              </w:rPr>
              <w:t>12,847</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167,010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2,385 shares of Class A Common Stock acquired by the reporting person in one or more transactions with Issuer pursuant to its Employee Stock Purchase Plan, which transactions are exempt pursuant to Rules 16a3(f)(1)(i)(B) and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the number of shares of Common Stock withheld by the Issuer to satisfy tax withholding liabilities in connection with the net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2023.</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December, March, June, and September, subject to the reporting person's continued service to the Issuer on each vesting date, with the first tranche vested on December 15, 2023.</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December, March, June, and September, subject to the reporting person's continued service to the Issuer on each vesting date, with the first tranche vested on December 15, 2024.</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December, March, June, and September, subject to the reporting person's continued service to the Issuer on each vesting date, with the first tranche vested on December 15, 2025.</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Lauren Lin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06/17/2026</w:t>
            </w:r>
          </w:p>
        </w:tc>
      </w:tr>
      <w:tr>
        <w:trPr>
          <w:trHeight w:val="20"/>
        </w:trPr>
        <w:tc>
          <w:tcPr>
            <w:tcW w:w="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674"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2026-06-17T15:23:13Z</dcterms:created>
  <dcterms:modified xsi:type="dcterms:W3CDTF">2026-06-17T15:23:13Z</dcterms:modified>
</cp:coreProperties>
</file>